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8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October 1, 2022</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5"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4" w:lineRule="exact"/>
        <w:rPr>
          <w:sz w:val="24"/>
          <w:szCs w:val="24"/>
          <w:color w:val="auto"/>
        </w:rPr>
      </w:pPr>
    </w:p>
    <w:p>
      <w:pPr>
        <w:ind w:left="410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p>
      <w:pPr>
        <w:spacing w:after="0" w:line="11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760" w:type="dxa"/>
            <w:vAlign w:val="bottom"/>
          </w:tcPr>
          <w:p>
            <w:pPr>
              <w:jc w:val="center"/>
              <w:ind w:left="14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0"/>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2435 Commerce Ave</w:t>
            </w:r>
          </w:p>
        </w:tc>
        <w:tc>
          <w:tcPr>
            <w:tcW w:w="2760" w:type="dxa"/>
            <w:vAlign w:val="bottom"/>
          </w:tcPr>
          <w:p>
            <w:pPr>
              <w:spacing w:after="0"/>
              <w:rPr>
                <w:sz w:val="23"/>
                <w:szCs w:val="23"/>
                <w:color w:val="auto"/>
              </w:rPr>
            </w:pP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27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2760" w:type="dxa"/>
            <w:vAlign w:val="bottom"/>
          </w:tcPr>
          <w:p>
            <w:pPr>
              <w:jc w:val="center"/>
              <w:ind w:left="147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4120" w:type="dxa"/>
            <w:vAlign w:val="bottom"/>
          </w:tcPr>
          <w:p>
            <w:pPr>
              <w:jc w:val="center"/>
              <w:ind w:right="14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spacing w:after="0"/>
              <w:rPr>
                <w:sz w:val="18"/>
                <w:szCs w:val="18"/>
                <w:color w:val="auto"/>
              </w:rPr>
            </w:pPr>
          </w:p>
        </w:tc>
      </w:tr>
    </w:tbl>
    <w:p>
      <w:pPr>
        <w:spacing w:after="0" w:line="6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5"/>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EYE</w:t>
            </w:r>
          </w:p>
        </w:tc>
        <w:tc>
          <w:tcPr>
            <w:tcW w:w="120" w:type="dxa"/>
            <w:vAlign w:val="bottom"/>
          </w:tcPr>
          <w:p>
            <w:pPr>
              <w:spacing w:after="0"/>
              <w:rPr>
                <w:sz w:val="17"/>
                <w:szCs w:val="17"/>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w:t>
            </w:r>
          </w:p>
        </w:tc>
      </w:tr>
    </w:tbl>
    <w:p>
      <w:pPr>
        <w:spacing w:after="0" w:line="181" w:lineRule="exact"/>
        <w:rPr>
          <w:sz w:val="24"/>
          <w:szCs w:val="24"/>
          <w:color w:val="auto"/>
        </w:rPr>
      </w:pPr>
    </w:p>
    <w:p>
      <w:pPr>
        <w:ind w:right="380"/>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7"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2"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1800" w:type="dxa"/>
        <w:tblCellMar>
          <w:top w:w="0" w:type="dxa"/>
          <w:left w:w="0" w:type="dxa"/>
          <w:bottom w:w="0" w:type="dxa"/>
          <w:right w:w="0" w:type="dxa"/>
        </w:tblCellMar>
      </w:tblPr>
      <w:tr>
        <w:trPr>
          <w:trHeight w:val="237"/>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9"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86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4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October 28, 2022</w:t>
            </w:r>
          </w:p>
        </w:tc>
      </w:tr>
      <w:tr>
        <w:trPr>
          <w:trHeight w:val="207"/>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420" w:type="dxa"/>
            <w:vAlign w:val="bottom"/>
          </w:tcPr>
          <w:p>
            <w:pPr>
              <w:spacing w:after="0"/>
              <w:rPr>
                <w:sz w:val="17"/>
                <w:szCs w:val="17"/>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78,912,459</w:t>
            </w:r>
          </w:p>
        </w:tc>
      </w:tr>
      <w:tr>
        <w:trPr>
          <w:trHeight w:val="127"/>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180" w:type="dxa"/>
            <w:vAlign w:val="bottom"/>
          </w:tcPr>
          <w:p>
            <w:pPr>
              <w:spacing w:after="0"/>
              <w:rPr>
                <w:sz w:val="19"/>
                <w:szCs w:val="19"/>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560" w:type="dxa"/>
            <w:vAlign w:val="bottom"/>
          </w:tcPr>
          <w:p>
            <w:pPr>
              <w:spacing w:after="0"/>
              <w:rPr>
                <w:sz w:val="19"/>
                <w:szCs w:val="19"/>
                <w:color w:val="auto"/>
              </w:rPr>
            </w:pPr>
          </w:p>
        </w:tc>
      </w:tr>
      <w:tr>
        <w:trPr>
          <w:trHeight w:val="250"/>
        </w:trPr>
        <w:tc>
          <w:tcPr>
            <w:tcW w:w="180" w:type="dxa"/>
            <w:vAlign w:val="bottom"/>
          </w:tcPr>
          <w:p>
            <w:pPr>
              <w:spacing w:after="0"/>
              <w:rPr>
                <w:sz w:val="21"/>
                <w:szCs w:val="21"/>
                <w:color w:val="auto"/>
              </w:rPr>
            </w:pPr>
          </w:p>
        </w:tc>
        <w:tc>
          <w:tcPr>
            <w:tcW w:w="29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2360" w:type="dxa"/>
            <w:vAlign w:val="bottom"/>
            <w:tcBorders>
              <w:top w:val="single" w:sz="8" w:color="0000FF"/>
            </w:tcBorders>
            <w:gridSpan w:val="6"/>
          </w:tcPr>
          <w:p>
            <w:pPr>
              <w:spacing w:after="0"/>
              <w:rPr>
                <w:sz w:val="21"/>
                <w:szCs w:val="21"/>
                <w:color w:val="auto"/>
              </w:rPr>
            </w:pPr>
          </w:p>
        </w:tc>
        <w:tc>
          <w:tcPr>
            <w:tcW w:w="4980" w:type="dxa"/>
            <w:vAlign w:val="bottom"/>
            <w:gridSpan w:val="6"/>
          </w:tcPr>
          <w:p>
            <w:pPr>
              <w:spacing w:after="0"/>
              <w:rPr>
                <w:sz w:val="21"/>
                <w:szCs w:val="21"/>
                <w:color w:val="auto"/>
              </w:rPr>
            </w:pPr>
          </w:p>
        </w:tc>
        <w:tc>
          <w:tcPr>
            <w:tcW w:w="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980" w:type="dxa"/>
            <w:vAlign w:val="bottom"/>
            <w:gridSpan w:val="8"/>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7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3200" w:type="dxa"/>
            <w:vAlign w:val="bottom"/>
            <w:gridSpan w:val="2"/>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520" w:type="dxa"/>
            <w:vAlign w:val="bottom"/>
            <w:gridSpan w:val="3"/>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200" w:type="dxa"/>
            <w:vAlign w:val="bottom"/>
            <w:gridSpan w:val="7"/>
          </w:tcPr>
          <w:p>
            <w:pPr>
              <w:spacing w:after="0"/>
              <w:rPr>
                <w:sz w:val="21"/>
                <w:szCs w:val="21"/>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20" w:type="dxa"/>
            <w:vAlign w:val="bottom"/>
            <w:gridSpan w:val="5"/>
          </w:tcPr>
          <w:p>
            <w:pPr>
              <w:spacing w:after="0"/>
              <w:rPr>
                <w:sz w:val="21"/>
                <w:szCs w:val="21"/>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c>
          <w:tcPr>
            <w:tcW w:w="56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22</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tcBorders>
              <w:left w:val="single" w:sz="8" w:color="0000FF"/>
            </w:tcBorders>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39</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660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160" w:type="dxa"/>
            <w:vAlign w:val="bottom"/>
            <w:gridSpan w:val="11"/>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41</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760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42</w:t>
            </w:r>
          </w:p>
        </w:tc>
        <w:tc>
          <w:tcPr>
            <w:tcW w:w="560" w:type="dxa"/>
            <w:vAlign w:val="bottom"/>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43</w:t>
            </w:r>
          </w:p>
        </w:tc>
        <w:tc>
          <w:tcPr>
            <w:tcW w:w="560" w:type="dxa"/>
            <w:vAlign w:val="bottom"/>
          </w:tcPr>
          <w:p>
            <w:pPr>
              <w:spacing w:after="0"/>
              <w:rPr>
                <w:sz w:val="21"/>
                <w:szCs w:val="21"/>
                <w:color w:val="auto"/>
              </w:rPr>
            </w:pPr>
          </w:p>
        </w:tc>
      </w:tr>
      <w:tr>
        <w:trPr>
          <w:trHeight w:val="1134"/>
        </w:trPr>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Part I, Item 1A - “Risk Factors” in the Company’s Annual Report on Form 10-K for the year ended January 1, 2022 (the “2021 Annual Report on Form 10-K”), as filed with the Securities and Exchange Commission (the “SEC”), as such risk factors may be updated from time to time in our periodic filings with the SEC, which are accessible on the SEC’s website at www.sec.gov, and also include the following:</w:t>
      </w:r>
    </w:p>
    <w:p>
      <w:pPr>
        <w:spacing w:after="0" w:line="79" w:lineRule="exact"/>
        <w:rPr>
          <w:sz w:val="20"/>
          <w:szCs w:val="20"/>
          <w:color w:val="auto"/>
        </w:rPr>
      </w:pPr>
    </w:p>
    <w:p>
      <w:pPr>
        <w:ind w:left="340" w:hanging="170"/>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resurgence and variants, and the impact of evolving federal, state, and local governmental actions in response thereto, including risks stemming from vaccination and testing programs and mandates;</w:t>
      </w:r>
    </w:p>
    <w:p>
      <w:pPr>
        <w:ind w:left="340" w:right="20" w:hanging="170"/>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behavior in response to the continuing pandemic and its more recent outbreaks of variants, including the impact of such behavior on in-store traffic and sales;</w:t>
      </w:r>
    </w:p>
    <w:p>
      <w:pPr>
        <w:ind w:left="340" w:hanging="170"/>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other factors impacting consumer spending, including inflation, rising interest rates and geopolitical instability;</w:t>
      </w:r>
    </w:p>
    <w:p>
      <w:pPr>
        <w:ind w:left="340" w:hanging="170"/>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and operate new stores in a timely and cost-effective manner, or keep stores safely open in light of the continuing COVID-19 pandemic, and to successfully enter new markets;</w:t>
      </w: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vision care professionals for our stores in general and in light of the pandemic;</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extend relationships with managed vision care companies, vision insurance providers and other third-party payors;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performance of our Host and Legacy brands and our current operating relationships with our Host and Legacy partners;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extensive state, local and federal vision care and healthcare laws and regulations;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managed vision care laws and regulations;</w:t>
      </w:r>
    </w:p>
    <w:p>
      <w:pPr>
        <w:spacing w:after="0" w:line="9" w:lineRule="exact"/>
        <w:rPr>
          <w:rFonts w:ascii="Times New Roman" w:cs="Times New Roman" w:eastAsia="Times New Roman" w:hAnsi="Times New Roman"/>
          <w:sz w:val="18"/>
          <w:szCs w:val="18"/>
          <w:color w:val="auto"/>
        </w:rPr>
      </w:pPr>
    </w:p>
    <w:p>
      <w:pPr>
        <w:ind w:left="340" w:hanging="170"/>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levels of cash flow from our operations to execute or sustain our growth strategy or obtain additional financing at satisfactory terms or at all;</w:t>
      </w:r>
    </w:p>
    <w:p>
      <w:pPr>
        <w:ind w:left="340" w:hanging="170"/>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vendors from whom our products are sourced, including our dependence on a limited number of suppliers;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operate our information technology systems and prevent interruption or security breach;</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wage rate increases, inflation, cost increases and increases in raw material prices and energy prices;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straining our existing resources and causing the performance of our existing stores to suffer;</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and efficiently implement our marketing, advertising and promotional efforts;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leasing substantial amounts of space, including future increases in occupancy costs;</w:t>
      </w:r>
    </w:p>
    <w:p>
      <w:pPr>
        <w:spacing w:after="0" w:line="9" w:lineRule="exact"/>
        <w:rPr>
          <w:rFonts w:ascii="Times New Roman" w:cs="Times New Roman" w:eastAsia="Times New Roman" w:hAnsi="Times New Roman"/>
          <w:sz w:val="18"/>
          <w:szCs w:val="18"/>
          <w:color w:val="auto"/>
        </w:rPr>
      </w:pPr>
    </w:p>
    <w:p>
      <w:pPr>
        <w:ind w:left="340" w:right="20" w:hanging="170"/>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320" w:hanging="150"/>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senior management team and attract qualified new personnel;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w:t>
      </w:r>
    </w:p>
    <w:p>
      <w:pPr>
        <w:spacing w:after="0" w:line="27"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our operating results and inventory levels;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coverage and reimbursement, including government programs, for an increasing portion of our revenues;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and omni-channel business;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product recall or personal injury issues;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or changes in, laws, regulations, enforcement activities and other requirements;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adverse litigation judgments or settlements resulting from legal proceedings relating to our business operations;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losses arising from our investments in technological innovators in the optical retail industry;</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environmental, social and governance issues, including climate change;</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amount of indebtedness and our ability to generate sufficient cash flow to satisfy our debt obligations;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interest rates as well as changes in benchmark rates and uncertainty related to the foregoing;</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credit agreement that limits our flexibility in operating our business;</w:t>
      </w:r>
    </w:p>
    <w:p>
      <w:pPr>
        <w:spacing w:after="0" w:line="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to existing stockholders upon the conversion of our convertible notes; and</w:t>
      </w:r>
    </w:p>
    <w:p>
      <w:pPr>
        <w:spacing w:after="0" w:line="9" w:lineRule="exact"/>
        <w:rPr>
          <w:rFonts w:ascii="Times New Roman" w:cs="Times New Roman" w:eastAsia="Times New Roman" w:hAnsi="Times New Roman"/>
          <w:sz w:val="18"/>
          <w:szCs w:val="18"/>
          <w:color w:val="auto"/>
        </w:rPr>
      </w:pPr>
    </w:p>
    <w:p>
      <w:pPr>
        <w:ind w:left="340" w:hanging="170"/>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owning our common stock, including our ability to comply with requirements to design and implement and maintain effective internal controls.</w:t>
      </w:r>
    </w:p>
    <w:p>
      <w:pPr>
        <w:spacing w:after="0" w:line="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17"/>
                <w:szCs w:val="17"/>
                <w:color w:val="auto"/>
              </w:rPr>
            </w:pPr>
          </w:p>
        </w:tc>
        <w:tc>
          <w:tcPr>
            <w:tcW w:w="18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r>
      <w:tr>
        <w:trPr>
          <w:trHeight w:val="239"/>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October 1, 2022</w:t>
            </w:r>
          </w:p>
        </w:tc>
        <w:tc>
          <w:tcPr>
            <w:tcW w:w="300" w:type="dxa"/>
            <w:vAlign w:val="bottom"/>
          </w:tcPr>
          <w:p>
            <w:pPr>
              <w:spacing w:after="0"/>
              <w:rPr>
                <w:sz w:val="20"/>
                <w:szCs w:val="20"/>
                <w:color w:val="auto"/>
              </w:rPr>
            </w:pP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January 1, 2022</w:t>
            </w:r>
          </w:p>
        </w:tc>
      </w:tr>
      <w:tr>
        <w:trPr>
          <w:trHeight w:val="214"/>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305,800</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55,697</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123,669</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29,410</w:t>
            </w: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514,576</w:t>
            </w:r>
          </w:p>
        </w:tc>
      </w:tr>
      <w:tr>
        <w:trPr>
          <w:trHeight w:val="203"/>
        </w:trPr>
        <w:tc>
          <w:tcPr>
            <w:tcW w:w="6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346,436</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777,613</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240,547</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42,020</w:t>
            </w: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354,900</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r>
      <w:tr>
        <w:trPr>
          <w:trHeight w:val="223"/>
        </w:trPr>
        <w:tc>
          <w:tcPr>
            <w:tcW w:w="6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1,814,673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1,778,515</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2,291,736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2,293,091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64,331</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119,323</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29,895</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65,325</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 and finance lease obligations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60,930</w:t>
            </w: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343,803</w:t>
            </w:r>
          </w:p>
        </w:tc>
      </w:tr>
      <w:tr>
        <w:trPr>
          <w:trHeight w:val="162"/>
        </w:trPr>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566,081</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342,241</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23,166</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82,846</w:t>
            </w: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1,023,308</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9)</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175"/>
        </w:trPr>
        <w:tc>
          <w:tcPr>
            <w:tcW w:w="6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84,173 and 83,840 shares</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4"/>
        </w:trPr>
        <w:tc>
          <w:tcPr>
            <w:tcW w:w="680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issued as of October 1, 2022 and January 1, 2022, respectively; 78,910 and 81,405 shares</w:t>
            </w: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34"/>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October 1, 2022 and January 1, 2022, respectively</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750,478</w:t>
            </w: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278,395</w:t>
            </w:r>
          </w:p>
        </w:tc>
      </w:tr>
      <w:tr>
        <w:trPr>
          <w:trHeight w:val="175"/>
        </w:trPr>
        <w:tc>
          <w:tcPr>
            <w:tcW w:w="68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Treasury stock, at cost; 5,263 and 2,435 shares as of October 1, 2022 and January 1, 2022,</w:t>
            </w: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43"/>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(101,791)</w:t>
            </w: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925,980</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2,293,091</w:t>
            </w:r>
          </w:p>
        </w:tc>
      </w:tr>
      <w:tr>
        <w:trPr>
          <w:trHeight w:val="21"/>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640" w:type="dxa"/>
            <w:vAlign w:val="bottom"/>
            <w:gridSpan w:val="7"/>
          </w:tcPr>
          <w:p>
            <w:pPr>
              <w:ind w:left="2860"/>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8360" w:type="dxa"/>
            <w:vAlign w:val="bottom"/>
            <w:gridSpan w:val="10"/>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6640" w:type="dxa"/>
            <w:vAlign w:val="bottom"/>
            <w:gridSpan w:val="7"/>
          </w:tcPr>
          <w:p>
            <w:pPr>
              <w:jc w:val="center"/>
              <w:ind w:left="1970"/>
              <w:spacing w:after="0"/>
              <w:rPr>
                <w:sz w:val="20"/>
                <w:szCs w:val="20"/>
                <w:color w:val="auto"/>
              </w:rPr>
            </w:pPr>
            <w:r>
              <w:rPr>
                <w:rFonts w:ascii="Times New Roman" w:cs="Times New Roman" w:eastAsia="Times New Roman" w:hAnsi="Times New Roman"/>
                <w:sz w:val="18"/>
                <w:szCs w:val="18"/>
                <w:i w:val="1"/>
                <w:iCs w:val="1"/>
                <w:color w:val="auto"/>
                <w:w w:val="99"/>
              </w:rPr>
              <w:t>In Thousands, Except Earnings Per Share</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5"/>
          </w:tcPr>
          <w:p>
            <w:pPr>
              <w:ind w:left="72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4"/>
                <w:szCs w:val="24"/>
                <w:color w:val="auto"/>
              </w:rPr>
            </w:pPr>
          </w:p>
        </w:tc>
        <w:tc>
          <w:tcPr>
            <w:tcW w:w="3160" w:type="dxa"/>
            <w:vAlign w:val="bottom"/>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12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October 1, 2022</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October 2, 2021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October 1, 2022</w:t>
            </w: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09"/>
        </w:trPr>
        <w:tc>
          <w:tcPr>
            <w:tcW w:w="4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1,326,867</w:t>
            </w:r>
          </w:p>
        </w:tc>
      </w:tr>
      <w:tr>
        <w:trPr>
          <w:trHeight w:val="229"/>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274,807</w:t>
            </w:r>
          </w:p>
        </w:tc>
      </w:tr>
      <w:tr>
        <w:trPr>
          <w:trHeight w:val="223"/>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1,601,674</w:t>
            </w:r>
          </w:p>
        </w:tc>
      </w:tr>
      <w:tr>
        <w:trPr>
          <w:trHeight w:val="175"/>
        </w:trPr>
        <w:tc>
          <w:tcPr>
            <w:tcW w:w="44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 and</w:t>
            </w: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485,090</w:t>
            </w:r>
          </w:p>
        </w:tc>
      </w:tr>
      <w:tr>
        <w:trPr>
          <w:trHeight w:val="229"/>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202,004</w:t>
            </w:r>
          </w:p>
        </w:tc>
      </w:tr>
      <w:tr>
        <w:trPr>
          <w:trHeight w:val="223"/>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687,094</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676,042</w:t>
            </w:r>
          </w:p>
        </w:tc>
      </w:tr>
      <w:tr>
        <w:trPr>
          <w:trHeight w:val="229"/>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72,639</w:t>
            </w:r>
          </w:p>
        </w:tc>
      </w:tr>
      <w:tr>
        <w:trPr>
          <w:trHeight w:val="23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9"/>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r>
      <w:tr>
        <w:trPr>
          <w:trHeight w:val="223"/>
        </w:trPr>
        <w:tc>
          <w:tcPr>
            <w:tcW w:w="44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747,592</w:t>
            </w:r>
          </w:p>
        </w:tc>
      </w:tr>
      <w:tr>
        <w:trPr>
          <w:trHeight w:val="22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166,988</w:t>
            </w:r>
          </w:p>
        </w:tc>
      </w:tr>
      <w:tr>
        <w:trPr>
          <w:trHeight w:val="229"/>
        </w:trPr>
        <w:tc>
          <w:tcPr>
            <w:tcW w:w="4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r>
      <w:tr>
        <w:trPr>
          <w:trHeight w:val="22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144,727</w:t>
            </w:r>
          </w:p>
        </w:tc>
      </w:tr>
      <w:tr>
        <w:trPr>
          <w:trHeight w:val="23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22,702</w:t>
            </w:r>
          </w:p>
        </w:tc>
      </w:tr>
      <w:tr>
        <w:trPr>
          <w:trHeight w:val="24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122,025</w:t>
            </w:r>
          </w:p>
        </w:tc>
      </w:tr>
      <w:tr>
        <w:trPr>
          <w:trHeight w:val="20"/>
        </w:trPr>
        <w:tc>
          <w:tcPr>
            <w:tcW w:w="44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1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81,729</w:t>
            </w:r>
          </w:p>
        </w:tc>
      </w:tr>
      <w:tr>
        <w:trPr>
          <w:trHeight w:val="23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96,193</w:t>
            </w:r>
          </w:p>
        </w:tc>
      </w:tr>
      <w:tr>
        <w:trPr>
          <w:trHeight w:val="216"/>
        </w:trPr>
        <w:tc>
          <w:tcPr>
            <w:tcW w:w="44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122,025</w:t>
            </w:r>
          </w:p>
        </w:tc>
      </w:tr>
      <w:tr>
        <w:trPr>
          <w:trHeight w:val="229"/>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gain on hedge instruments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provision of unrealized gain on hedge instruments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2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123,585</w:t>
            </w:r>
          </w:p>
        </w:tc>
      </w:tr>
      <w:tr>
        <w:trPr>
          <w:trHeight w:val="20"/>
        </w:trPr>
        <w:tc>
          <w:tcPr>
            <w:tcW w:w="1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20" w:type="dxa"/>
            <w:vAlign w:val="bottom"/>
            <w:gridSpan w:val="9"/>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Three and Nine Months Ended October 1, 2022</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Additional</w:t>
            </w:r>
          </w:p>
        </w:tc>
        <w:tc>
          <w:tcPr>
            <w:tcW w:w="18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4"/>
                <w:szCs w:val="4"/>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Retained</w:t>
            </w:r>
          </w:p>
        </w:tc>
        <w:tc>
          <w:tcPr>
            <w:tcW w:w="240" w:type="dxa"/>
            <w:vAlign w:val="bottom"/>
          </w:tcPr>
          <w:p>
            <w:pPr>
              <w:spacing w:after="0"/>
              <w:rPr>
                <w:sz w:val="4"/>
                <w:szCs w:val="4"/>
                <w:color w:val="auto"/>
              </w:rPr>
            </w:pP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Treasury</w:t>
            </w:r>
          </w:p>
        </w:tc>
        <w:tc>
          <w:tcPr>
            <w:tcW w:w="160" w:type="dxa"/>
            <w:vAlign w:val="bottom"/>
          </w:tcPr>
          <w:p>
            <w:pPr>
              <w:spacing w:after="0"/>
              <w:rPr>
                <w:sz w:val="4"/>
                <w:szCs w:val="4"/>
                <w:color w:val="auto"/>
              </w:rPr>
            </w:pPr>
          </w:p>
        </w:tc>
        <w:tc>
          <w:tcPr>
            <w:tcW w:w="1320" w:type="dxa"/>
            <w:vAlign w:val="bottom"/>
            <w:vMerge w:val="restart"/>
          </w:tcPr>
          <w:p>
            <w:pPr>
              <w:jc w:val="center"/>
              <w:ind w:right="110"/>
              <w:spacing w:after="0" w:line="14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8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278,395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925,980</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2025 Notes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30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hedge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instruments,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April 2, 2022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755,535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308,542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950,726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(73,008)</w:t>
            </w:r>
          </w:p>
        </w:tc>
        <w:tc>
          <w:tcPr>
            <w:tcW w:w="0" w:type="dxa"/>
            <w:vAlign w:val="bottom"/>
          </w:tcPr>
          <w:p>
            <w:pPr>
              <w:spacing w:after="0"/>
              <w:rPr>
                <w:sz w:val="1"/>
                <w:szCs w:val="1"/>
                <w:color w:val="auto"/>
              </w:rPr>
            </w:pPr>
          </w:p>
        </w:tc>
      </w:tr>
      <w:tr>
        <w:trPr>
          <w:trHeight w:val="176"/>
        </w:trPr>
        <w:tc>
          <w:tcPr>
            <w:tcW w:w="30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hedge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instruments,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July 2, 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318,276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(185,448)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891,669</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5"/>
        </w:trPr>
        <w:tc>
          <w:tcPr>
            <w:tcW w:w="300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gain (loss) on hedge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instruments, 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Balances at October 1, 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763,166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329,778</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(185,488)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906,925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7</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128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National Vision Holdings, Inc. and Subsidiaries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20" w:type="dxa"/>
            <w:vAlign w:val="bottom"/>
            <w:gridSpan w:val="9"/>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Three and Nine Months Ended October 2, 2021</w:t>
            </w: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Additional</w:t>
            </w:r>
          </w:p>
        </w:tc>
        <w:tc>
          <w:tcPr>
            <w:tcW w:w="180" w:type="dxa"/>
            <w:vAlign w:val="bottom"/>
          </w:tcPr>
          <w:p>
            <w:pPr>
              <w:spacing w:after="0"/>
              <w:rPr>
                <w:sz w:val="4"/>
                <w:szCs w:val="4"/>
                <w:color w:val="auto"/>
              </w:rPr>
            </w:pPr>
          </w:p>
        </w:tc>
        <w:tc>
          <w:tcPr>
            <w:tcW w:w="1440" w:type="dxa"/>
            <w:vAlign w:val="bottom"/>
            <w:vMerge w:val="restart"/>
          </w:tcPr>
          <w:p>
            <w:pPr>
              <w:jc w:val="center"/>
              <w:ind w:right="90"/>
              <w:spacing w:after="0" w:line="149" w:lineRule="exact"/>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4"/>
                <w:szCs w:val="4"/>
                <w:color w:val="auto"/>
              </w:rPr>
            </w:pPr>
          </w:p>
        </w:tc>
        <w:tc>
          <w:tcPr>
            <w:tcW w:w="8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Retained</w:t>
            </w:r>
          </w:p>
        </w:tc>
        <w:tc>
          <w:tcPr>
            <w:tcW w:w="240" w:type="dxa"/>
            <w:vAlign w:val="bottom"/>
          </w:tcPr>
          <w:p>
            <w:pPr>
              <w:spacing w:after="0"/>
              <w:rPr>
                <w:sz w:val="4"/>
                <w:szCs w:val="4"/>
                <w:color w:val="auto"/>
              </w:rPr>
            </w:pPr>
          </w:p>
        </w:tc>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Treasury</w:t>
            </w:r>
          </w:p>
        </w:tc>
        <w:tc>
          <w:tcPr>
            <w:tcW w:w="160" w:type="dxa"/>
            <w:vAlign w:val="bottom"/>
          </w:tcPr>
          <w:p>
            <w:pPr>
              <w:spacing w:after="0"/>
              <w:rPr>
                <w:sz w:val="4"/>
                <w:szCs w:val="4"/>
                <w:color w:val="auto"/>
              </w:rPr>
            </w:pPr>
          </w:p>
        </w:tc>
        <w:tc>
          <w:tcPr>
            <w:tcW w:w="1320" w:type="dxa"/>
            <w:vAlign w:val="bottom"/>
            <w:vMerge w:val="restart"/>
          </w:tcPr>
          <w:p>
            <w:pPr>
              <w:jc w:val="right"/>
              <w:ind w:right="490"/>
              <w:spacing w:after="0" w:line="14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Paid-In</w:t>
            </w:r>
          </w:p>
        </w:tc>
        <w:tc>
          <w:tcPr>
            <w:tcW w:w="180" w:type="dxa"/>
            <w:vAlign w:val="bottom"/>
          </w:tcPr>
          <w:p>
            <w:pPr>
              <w:spacing w:after="0"/>
              <w:rPr>
                <w:sz w:val="15"/>
                <w:szCs w:val="15"/>
                <w:color w:val="auto"/>
              </w:rPr>
            </w:pPr>
          </w:p>
        </w:tc>
        <w:tc>
          <w:tcPr>
            <w:tcW w:w="14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Earnings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2,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906,502</w:t>
            </w:r>
          </w:p>
        </w:tc>
        <w:tc>
          <w:tcPr>
            <w:tcW w:w="0" w:type="dxa"/>
            <w:vAlign w:val="bottom"/>
          </w:tcPr>
          <w:p>
            <w:pPr>
              <w:spacing w:after="0"/>
              <w:rPr>
                <w:sz w:val="1"/>
                <w:szCs w:val="1"/>
                <w:color w:val="auto"/>
              </w:rPr>
            </w:pPr>
          </w:p>
        </w:tc>
      </w:tr>
      <w:tr>
        <w:trPr>
          <w:trHeight w:val="175"/>
        </w:trPr>
        <w:tc>
          <w:tcPr>
            <w:tcW w:w="30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Cumulative effect of change in</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accounting principle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(71,385)</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(64,114)</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Balances at January 3, 2021 - as</w:t>
            </w: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81,239</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724,312</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150,151</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842,388</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hedge</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instruments,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43,432</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April 3, 2021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887,532</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6"/>
        </w:trPr>
        <w:tc>
          <w:tcPr>
            <w:tcW w:w="300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gain (loss) on hedge</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instruments,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37,601</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July 3,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938,337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5,423</w:t>
            </w:r>
          </w:p>
        </w:tc>
        <w:tc>
          <w:tcPr>
            <w:tcW w:w="18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5,431</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75"/>
        </w:trPr>
        <w:tc>
          <w:tcPr>
            <w:tcW w:w="3000" w:type="dxa"/>
            <w:vAlign w:val="bottom"/>
            <w:gridSpan w:val="2"/>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Unrealized gain (loss) on hedge</w:t>
            </w: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instruments, net of tax</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October 2,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272,176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0"/>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October 1, 2022</w:t>
            </w:r>
          </w:p>
        </w:tc>
        <w:tc>
          <w:tcPr>
            <w:tcW w:w="22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October 2, 2021</w:t>
            </w:r>
          </w:p>
        </w:tc>
      </w:tr>
      <w:tr>
        <w:trPr>
          <w:trHeight w:val="199"/>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122,025</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deferred financing costs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Asset impairment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23,585</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13,866</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Losses (gains) on change in fair value of derivatives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 adjustments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2,746</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right of use assets and lease liabilities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11,263</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and unearned revenue</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15,699</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w:t>
            </w:r>
          </w:p>
        </w:tc>
      </w:tr>
      <w:tr>
        <w:trPr>
          <w:trHeight w:val="207"/>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121,337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233,807</w:t>
            </w:r>
          </w:p>
        </w:tc>
      </w:tr>
      <w:tr>
        <w:trPr>
          <w:trHeight w:val="19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(58,920)</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07"/>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(86,067)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(56,445)</w:t>
            </w:r>
          </w:p>
        </w:tc>
      </w:tr>
      <w:tr>
        <w:trPr>
          <w:trHeight w:val="19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(117,375)</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11,170</w:t>
            </w:r>
          </w:p>
        </w:tc>
      </w:tr>
      <w:tr>
        <w:trPr>
          <w:trHeight w:val="21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w:t>
            </w:r>
          </w:p>
        </w:tc>
      </w:tr>
      <w:tr>
        <w:trPr>
          <w:trHeight w:val="21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r>
      <w:tr>
        <w:trPr>
          <w:trHeight w:val="213"/>
        </w:trPr>
        <w:tc>
          <w:tcPr>
            <w:tcW w:w="7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(112,065)</w:t>
            </w:r>
          </w:p>
        </w:tc>
      </w:tr>
      <w:tr>
        <w:trPr>
          <w:trHeight w:val="20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65,297</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306,876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375,159</w:t>
            </w: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257,522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440,456</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9"/>
        </w:trPr>
        <w:tc>
          <w:tcPr>
            <w:tcW w:w="7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 information:</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17,316</w:t>
            </w:r>
          </w:p>
        </w:tc>
      </w:tr>
      <w:tr>
        <w:trPr>
          <w:trHeight w:val="21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9,293</w:t>
            </w: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accrued at the end of the period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10,455</w:t>
            </w: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Notes to Condensed Consolidated Financial Statements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459"/>
        </w:trPr>
        <w:tc>
          <w:tcPr>
            <w:tcW w:w="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1.</w:t>
            </w:r>
          </w:p>
        </w:tc>
        <w:tc>
          <w:tcPr>
            <w:tcW w:w="36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Description of Business and Basis of Presentation</w:t>
            </w:r>
          </w:p>
        </w:tc>
        <w:tc>
          <w:tcPr>
            <w:tcW w:w="860" w:type="dxa"/>
            <w:vAlign w:val="bottom"/>
          </w:tcPr>
          <w:p>
            <w:pPr>
              <w:spacing w:after="0"/>
              <w:rPr>
                <w:sz w:val="24"/>
                <w:szCs w:val="24"/>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11</w:t>
            </w:r>
          </w:p>
        </w:tc>
        <w:tc>
          <w:tcPr>
            <w:tcW w:w="1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31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8"/>
              </w:rPr>
              <w:t>Details of Certain Balance Sheet Accounts</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13</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18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Fair Value Measurement</w:t>
            </w:r>
          </w:p>
        </w:tc>
        <w:tc>
          <w:tcPr>
            <w:tcW w:w="1300" w:type="dxa"/>
            <w:vAlign w:val="bottom"/>
            <w:gridSpan w:val="4"/>
          </w:tcPr>
          <w:p>
            <w:pPr>
              <w:spacing w:after="0"/>
              <w:rPr>
                <w:sz w:val="18"/>
                <w:szCs w:val="18"/>
                <w:color w:val="auto"/>
              </w:rPr>
            </w:pPr>
          </w:p>
        </w:tc>
        <w:tc>
          <w:tcPr>
            <w:tcW w:w="1380" w:type="dxa"/>
            <w:vAlign w:val="bottom"/>
            <w:gridSpan w:val="2"/>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14</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9"/>
              </w:rPr>
              <w:t>Long-term Debt</w:t>
            </w:r>
          </w:p>
        </w:tc>
        <w:tc>
          <w:tcPr>
            <w:tcW w:w="600" w:type="dxa"/>
            <w:vAlign w:val="bottom"/>
            <w:gridSpan w:val="3"/>
          </w:tcPr>
          <w:p>
            <w:pPr>
              <w:spacing w:after="0"/>
              <w:rPr>
                <w:sz w:val="18"/>
                <w:szCs w:val="18"/>
                <w:color w:val="auto"/>
              </w:rPr>
            </w:pPr>
          </w:p>
        </w:tc>
        <w:tc>
          <w:tcPr>
            <w:tcW w:w="2680" w:type="dxa"/>
            <w:vAlign w:val="bottom"/>
            <w:gridSpan w:val="6"/>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15</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9"/>
              </w:rPr>
              <w:t>Interest Rate Derivatives</w:t>
            </w:r>
          </w:p>
        </w:tc>
        <w:tc>
          <w:tcPr>
            <w:tcW w:w="2660" w:type="dxa"/>
            <w:vAlign w:val="bottom"/>
            <w:gridSpan w:val="5"/>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15</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Stock Incentive Plans</w:t>
            </w:r>
          </w:p>
        </w:tc>
        <w:tc>
          <w:tcPr>
            <w:tcW w:w="2660" w:type="dxa"/>
            <w:vAlign w:val="bottom"/>
            <w:gridSpan w:val="5"/>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16</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30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Revenue From Contracts With Customers</w:t>
            </w:r>
          </w:p>
        </w:tc>
        <w:tc>
          <w:tcPr>
            <w:tcW w:w="1440" w:type="dxa"/>
            <w:vAlign w:val="bottom"/>
            <w:gridSpan w:val="3"/>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16</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7"/>
              </w:rPr>
              <w:t>Leases</w:t>
            </w:r>
          </w:p>
        </w:tc>
        <w:tc>
          <w:tcPr>
            <w:tcW w:w="2520" w:type="dxa"/>
            <w:vAlign w:val="bottom"/>
            <w:gridSpan w:val="7"/>
          </w:tcPr>
          <w:p>
            <w:pPr>
              <w:spacing w:after="0"/>
              <w:rPr>
                <w:sz w:val="18"/>
                <w:szCs w:val="18"/>
                <w:color w:val="auto"/>
              </w:rPr>
            </w:pPr>
          </w:p>
        </w:tc>
        <w:tc>
          <w:tcPr>
            <w:tcW w:w="1440" w:type="dxa"/>
            <w:vAlign w:val="bottom"/>
            <w:gridSpan w:val="3"/>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17</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44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18</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10. Segment Reporting</w:t>
            </w:r>
          </w:p>
        </w:tc>
        <w:tc>
          <w:tcPr>
            <w:tcW w:w="940" w:type="dxa"/>
            <w:vAlign w:val="bottom"/>
            <w:gridSpan w:val="4"/>
          </w:tcPr>
          <w:p>
            <w:pPr>
              <w:spacing w:after="0"/>
              <w:rPr>
                <w:sz w:val="18"/>
                <w:szCs w:val="18"/>
                <w:color w:val="auto"/>
              </w:rPr>
            </w:pPr>
          </w:p>
        </w:tc>
        <w:tc>
          <w:tcPr>
            <w:tcW w:w="2060" w:type="dxa"/>
            <w:vAlign w:val="bottom"/>
            <w:gridSpan w:val="4"/>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18</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11. Earnings Per Share</w:t>
            </w:r>
          </w:p>
        </w:tc>
        <w:tc>
          <w:tcPr>
            <w:tcW w:w="3000" w:type="dxa"/>
            <w:vAlign w:val="bottom"/>
            <w:gridSpan w:val="8"/>
          </w:tcPr>
          <w:p>
            <w:pPr>
              <w:spacing w:after="0"/>
              <w:rPr>
                <w:sz w:val="18"/>
                <w:szCs w:val="18"/>
                <w:color w:val="auto"/>
              </w:rPr>
            </w:pP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21</w:t>
            </w:r>
          </w:p>
        </w:tc>
        <w:tc>
          <w:tcPr>
            <w:tcW w:w="14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12. Accumulated Other Comprehensive Loss</w:t>
            </w:r>
          </w:p>
        </w:tc>
        <w:tc>
          <w:tcPr>
            <w:tcW w:w="516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0000FF"/>
                <w:w w:val="88"/>
              </w:rPr>
              <w:t>21</w:t>
            </w:r>
          </w:p>
        </w:tc>
        <w:tc>
          <w:tcPr>
            <w:tcW w:w="1420" w:type="dxa"/>
            <w:vAlign w:val="bottom"/>
          </w:tcPr>
          <w:p>
            <w:pPr>
              <w:spacing w:after="0"/>
              <w:rPr>
                <w:sz w:val="18"/>
                <w:szCs w:val="18"/>
                <w:color w:val="auto"/>
              </w:rPr>
            </w:pPr>
          </w:p>
        </w:tc>
      </w:tr>
      <w:tr>
        <w:trPr>
          <w:trHeight w:val="763"/>
        </w:trPr>
        <w:tc>
          <w:tcPr>
            <w:tcW w:w="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National Vision Holdings, Inc. (“NVHI,” the “Company,” “we,” “our,” or “us”) is a holding company whose operating subsidiaries include its indirect wholly-owned subsidiary, National Vision, Inc. (“NVI”) and NVI’s wholly-owned subsidiaries. We are a leading value retailer of eyeglasses and contact lenses in the United States. We operated 1,332 and 1,278 retail optical locations in the United States and its territories as of October 1, 2022 and January 1, 2022,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prepare our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January 1, 2022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results of the interim period.</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January 1, 2022 included in the 2021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October 1,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wholly-owned subsidiaries. All intercompany balances and transactions have been eliminated in consolidation. Certain amounts within the Condensed Consolidated Statements of Operations and Comprehensive Income and footnotes to the condensed consolidated financial statements for fiscal year 2021 have been reclassified to conform to the fiscal year 2022 presentation.</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consolidated certain entities meeting the definition of a variable interest entity (“VIE”) as the Company concluded that it is the primary beneficiary of the entities under the provisions of Accounting Standards Codification 810, Consolidation. At October 1, 2022, the variable interest entities include 31 professional corporations. The total assets of the consolidated VIEs included in the accompanying Condensed Consolidated Balance Sheets as of October 1, 2022 and January 1, 2022, were $3.3 million and $6.0 million, respectively, and the total liabilities of the consolidated VIEs were $3.7 million and $6.8 million,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year consists of 52 or 53 weeks ending on the Saturday closest to December 31. Fiscal year 2022 contains 52 weeks and will end on December 31, 2022. All three and nine month periods presented herein contain 13 and 39 weeks, respectively. All references to years and quarters relate to fiscal periods rather than calendar periods.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consolidated results of operations for the three and nine months ended October 1, 2022 and October 2, 2021,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although delays in tax refund timing have occurred in 2020 and 2021, and may continue to occur in future years. Seasonality related to fourth quarter holiday spending by retail customers generally does not impact our business. Our quarterly consolidated results generally may also be affected by the timing of new store openings, store closings, and certain holidays.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Consumer behavior driven by the COVID-19 pandemic, shifting macroeconomic trends, consumer preferences and demand have resulted in a departure from seasonal norms we have experienced in recent years. We expect COVID-19 and the current macroeconomic environment to continue to impact the seasonality we have historically experienced.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rates for the three months ended October 1, 2022 and October 2, 2021 were 33.7% and 8.8%, respectively, reflecting our statutory federal and state rate of 25.5% and effects of other permanent items as well as discrete benefits from stock option exercises of $9.1 million during the three months ended October 2, 2021. Our effective tax rates for the nine months ended October 1, 2022 and October 2, 2021 were 29.8% and 15.7%, respectively, reflecting our statutory federal and state rate of 25.5% and effects of other permanent items, discrete benefits from stock option exercises of $13.6 million, as well as a stranded tax effect of $2.1 million associated with our matured interest rate swaps during the nine months ended October 2,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52525"/>
        </w:rPr>
        <w:t>Sale of Equity Method Investee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52525"/>
        </w:rPr>
        <w:t>During t</w:t>
      </w:r>
      <w:r>
        <w:rPr>
          <w:rFonts w:ascii="Times New Roman" w:cs="Times New Roman" w:eastAsia="Times New Roman" w:hAnsi="Times New Roman"/>
          <w:sz w:val="18"/>
          <w:szCs w:val="18"/>
          <w:color w:val="000000"/>
        </w:rPr>
        <w:t>he third quarter of fiscal year 2021, a former equity method investee was acquired by a third party and in connection therewith the Company sold</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all of its ownership interests and received $2.4 million upon the consummation of the sale.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October 1, 2022, the Company repurchased 2.7 million shares of its common stock for $80.0 million under the share repurchase program. After these repurchases, $50.0 million remains available under the share repurchase authorization.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Pronouncements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Reference Rate Reform. </w:t>
      </w:r>
      <w:r>
        <w:rPr>
          <w:rFonts w:ascii="Times New Roman" w:cs="Times New Roman" w:eastAsia="Times New Roman" w:hAnsi="Times New Roman"/>
          <w:sz w:val="18"/>
          <w:szCs w:val="18"/>
          <w:color w:val="auto"/>
        </w:rPr>
        <w:t>In March 2020, the FASB issued ASU No. 2020-04,</w:t>
      </w:r>
      <w:r>
        <w:rPr>
          <w:rFonts w:ascii="Times New Roman" w:cs="Times New Roman" w:eastAsia="Times New Roman" w:hAnsi="Times New Roman"/>
          <w:sz w:val="18"/>
          <w:szCs w:val="18"/>
          <w:i w:val="1"/>
          <w:iCs w:val="1"/>
          <w:color w:val="auto"/>
        </w:rPr>
        <w:t xml:space="preserve"> Facilitation of the Effects of Reference Rate Reform on Financial Reporting </w:t>
      </w:r>
      <w:r>
        <w:rPr>
          <w:rFonts w:ascii="Times New Roman" w:cs="Times New Roman" w:eastAsia="Times New Roman" w:hAnsi="Times New Roman"/>
          <w:sz w:val="18"/>
          <w:szCs w:val="18"/>
          <w:color w:val="auto"/>
        </w:rPr>
        <w:t>(“ASU 2020-04”). This guidance provides optional expedients and exceptions for applying U.S. GAAP to contracts, hedging relationships, and other transactions that may be affected by the cessation of the London Inter-bank Offered Rate (“LIBOR.”) An entity may elect to apply the amendments for contract modifications as of any date from the beginning of an interim period that includes or is subsequent to March 12, 2020 through December 31, 2022. A portion of our debt is subject to interest payments that are indexed to LIBOR; additionally, we are party to an interest rate derivative based on LIBOR. We are currently evaluating the effect of this guidance and have not applied the provisions of this guidance during the current fiscal year.</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Inflation Reduction Act. </w:t>
      </w:r>
      <w:r>
        <w:rPr>
          <w:rFonts w:ascii="Times New Roman" w:cs="Times New Roman" w:eastAsia="Times New Roman" w:hAnsi="Times New Roman"/>
          <w:sz w:val="18"/>
          <w:szCs w:val="18"/>
          <w:color w:val="auto"/>
        </w:rPr>
        <w:t>In August 2022, the U.S. government enacted the Inflation Reduction Act (“IRA”) which, among other things, provides for a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alternative minimum tax based on a prescribed measure of income as well as a 1% excise tax on stock repurchases. We are continuing to evaluate the provisions of the IRA but currently do not anticipate either of these provisions will have a material effect on our financial statements or operations, or our current share repurchase program.</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FASB issued other accounting guidance during the period that is not currently applicable or expected to have a material impact on the Company’s condensed consolidated financial statements, and therefore, is not described above.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Details of Certain Balance Sheet Accounts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4"/>
          </w:tcPr>
          <w:p>
            <w:pPr>
              <w:jc w:val="right"/>
              <w:ind w:right="16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9"/>
                <w:szCs w:val="19"/>
                <w:color w:val="auto"/>
              </w:rPr>
            </w:pPr>
          </w:p>
        </w:tc>
        <w:tc>
          <w:tcPr>
            <w:tcW w:w="2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October 1, 2022</w:t>
            </w:r>
          </w:p>
        </w:tc>
        <w:tc>
          <w:tcPr>
            <w:tcW w:w="360" w:type="dxa"/>
            <w:vAlign w:val="bottom"/>
          </w:tcPr>
          <w:p>
            <w:pPr>
              <w:spacing w:after="0"/>
              <w:rPr>
                <w:sz w:val="19"/>
                <w:szCs w:val="19"/>
                <w:color w:val="auto"/>
              </w:rPr>
            </w:pP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0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6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439,117</w:t>
            </w:r>
          </w:p>
        </w:tc>
      </w:tr>
      <w:tr>
        <w:trPr>
          <w:trHeight w:val="22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3"/>
        </w:trPr>
        <w:tc>
          <w:tcPr>
            <w:tcW w:w="6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257,522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440,456</w:t>
            </w:r>
          </w:p>
        </w:tc>
      </w:tr>
      <w:tr>
        <w:trPr>
          <w:trHeight w:val="20"/>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additional details of certain balance sheet accounts as of the dates shown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As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vMerge w:val="continue"/>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October 1, 2022</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1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32,504</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card receivables</w:t>
            </w:r>
          </w:p>
        </w:tc>
        <w:tc>
          <w:tcPr>
            <w:tcW w:w="18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0" w:type="dxa"/>
            <w:vAlign w:val="bottom"/>
          </w:tcPr>
          <w:p>
            <w:pPr>
              <w:spacing w:after="0"/>
              <w:rPr>
                <w:sz w:val="1"/>
                <w:szCs w:val="1"/>
                <w:color w:val="auto"/>
              </w:rPr>
            </w:pPr>
          </w:p>
        </w:tc>
      </w:tr>
      <w:tr>
        <w:trPr>
          <w:trHeight w:val="229"/>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(1)</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4"/>
          <w:szCs w:val="14"/>
          <w:color w:val="auto"/>
        </w:rPr>
        <w:t>(1) Includes Coronavirus Aid, Relief, and Economic Security (“CARES”) Act receivable in the amount of $6.7 million as of 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-86995</wp:posOffset>
            </wp:positionV>
            <wp:extent cx="3128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60" w:type="dxa"/>
            <w:vAlign w:val="bottom"/>
          </w:tcPr>
          <w:p>
            <w:pPr>
              <w:spacing w:after="0"/>
              <w:rPr>
                <w:sz w:val="18"/>
                <w:szCs w:val="18"/>
                <w:color w:val="auto"/>
              </w:rPr>
            </w:pPr>
          </w:p>
        </w:tc>
        <w:tc>
          <w:tcPr>
            <w:tcW w:w="20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October 1, 2022</w:t>
            </w:r>
          </w:p>
        </w:tc>
        <w:tc>
          <w:tcPr>
            <w:tcW w:w="360" w:type="dxa"/>
            <w:vAlign w:val="bottom"/>
          </w:tcPr>
          <w:p>
            <w:pPr>
              <w:spacing w:after="0"/>
              <w:rPr>
                <w:sz w:val="20"/>
                <w:szCs w:val="20"/>
                <w:color w:val="auto"/>
              </w:rPr>
            </w:pP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Raw materials and work in process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65,262</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58,407</w:t>
            </w:r>
          </w:p>
        </w:tc>
        <w:tc>
          <w:tcPr>
            <w:tcW w:w="0" w:type="dxa"/>
            <w:vAlign w:val="bottom"/>
          </w:tcPr>
          <w:p>
            <w:pPr>
              <w:spacing w:after="0"/>
              <w:rPr>
                <w:sz w:val="1"/>
                <w:szCs w:val="1"/>
                <w:color w:val="auto"/>
              </w:rPr>
            </w:pPr>
          </w:p>
        </w:tc>
      </w:tr>
      <w:tr>
        <w:trPr>
          <w:trHeight w:val="228"/>
        </w:trPr>
        <w:tc>
          <w:tcPr>
            <w:tcW w:w="63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wp:posOffset>
            </wp:positionV>
            <wp:extent cx="3128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ind w:left="260" w:right="20" w:hanging="234"/>
        <w:spacing w:after="0" w:line="261" w:lineRule="auto"/>
        <w:tabs>
          <w:tab w:leader="none" w:pos="2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-207010</wp:posOffset>
            </wp:positionV>
            <wp:extent cx="3128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8"/>
                <w:szCs w:val="18"/>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As of</w:t>
            </w:r>
          </w:p>
        </w:tc>
        <w:tc>
          <w:tcPr>
            <w:tcW w:w="360" w:type="dxa"/>
            <w:vAlign w:val="bottom"/>
          </w:tcPr>
          <w:p>
            <w:pPr>
              <w:spacing w:after="0"/>
              <w:rPr>
                <w:sz w:val="18"/>
                <w:szCs w:val="18"/>
                <w:color w:val="auto"/>
              </w:rPr>
            </w:pPr>
          </w:p>
        </w:tc>
        <w:tc>
          <w:tcPr>
            <w:tcW w:w="20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34"/>
        </w:trPr>
        <w:tc>
          <w:tcPr>
            <w:tcW w:w="63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October 1, 2022</w:t>
            </w:r>
          </w:p>
        </w:tc>
        <w:tc>
          <w:tcPr>
            <w:tcW w:w="360" w:type="dxa"/>
            <w:vAlign w:val="bottom"/>
          </w:tcPr>
          <w:p>
            <w:pPr>
              <w:spacing w:after="0"/>
              <w:rPr>
                <w:sz w:val="20"/>
                <w:szCs w:val="20"/>
                <w:color w:val="auto"/>
              </w:rPr>
            </w:pPr>
          </w:p>
        </w:tc>
        <w:tc>
          <w:tcPr>
            <w:tcW w:w="20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payables and accrued expenses:</w:t>
            </w: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Associate compensation and benefits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customer returns and remakes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Legacy management &amp; services agreement</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Supplies and other store support expenses</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0" w:type="dxa"/>
            <w:vAlign w:val="bottom"/>
          </w:tcPr>
          <w:p>
            <w:pPr>
              <w:spacing w:after="0"/>
              <w:rPr>
                <w:sz w:val="1"/>
                <w:szCs w:val="1"/>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w:t>
            </w: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36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119,323</w:t>
            </w:r>
          </w:p>
        </w:tc>
        <w:tc>
          <w:tcPr>
            <w:tcW w:w="0" w:type="dxa"/>
            <w:vAlign w:val="bottom"/>
          </w:tcPr>
          <w:p>
            <w:pPr>
              <w:spacing w:after="0"/>
              <w:rPr>
                <w:sz w:val="1"/>
                <w:szCs w:val="1"/>
                <w:color w:val="auto"/>
              </w:rPr>
            </w:pPr>
          </w:p>
        </w:tc>
      </w:tr>
    </w:tbl>
    <w:p>
      <w:pPr>
        <w:ind w:left="260"/>
        <w:spacing w:after="0"/>
        <w:rPr>
          <w:sz w:val="20"/>
          <w:szCs w:val="20"/>
          <w:color w:val="auto"/>
        </w:rPr>
      </w:pPr>
      <w:r>
        <w:rPr>
          <w:rFonts w:ascii="Times New Roman" w:cs="Times New Roman" w:eastAsia="Times New Roman" w:hAnsi="Times New Roman"/>
          <w:sz w:val="14"/>
          <w:szCs w:val="14"/>
          <w:color w:val="auto"/>
        </w:rPr>
        <w:t>(1) Includes the CARES Act deferred employer payroll taxes in the amount of $6.7 million as of 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-92710</wp:posOffset>
            </wp:positionV>
            <wp:extent cx="3128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Borders>
              <w:top w:val="single" w:sz="8" w:color="0000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80" w:type="dxa"/>
            <w:vAlign w:val="bottom"/>
            <w:vMerge w:val="restart"/>
          </w:tcPr>
          <w:p>
            <w:pPr>
              <w:spacing w:after="0"/>
              <w:rPr>
                <w:sz w:val="24"/>
                <w:szCs w:val="24"/>
                <w:color w:val="auto"/>
              </w:rPr>
            </w:pPr>
          </w:p>
        </w:tc>
        <w:tc>
          <w:tcPr>
            <w:tcW w:w="18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As of</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1240" w:type="dxa"/>
            <w:vAlign w:val="bottom"/>
            <w:tcBorders>
              <w:bottom w:val="single" w:sz="8" w:color="CCEEFF"/>
            </w:tcBorders>
            <w:vMerge w:val="continue"/>
          </w:tcPr>
          <w:p>
            <w:pPr>
              <w:spacing w:after="0"/>
              <w:rPr>
                <w:sz w:val="21"/>
                <w:szCs w:val="21"/>
                <w:color w:val="auto"/>
              </w:rPr>
            </w:pPr>
          </w:p>
        </w:tc>
        <w:tc>
          <w:tcPr>
            <w:tcW w:w="5080" w:type="dxa"/>
            <w:vAlign w:val="bottom"/>
            <w:tcBorders>
              <w:bottom w:val="single" w:sz="8" w:color="CCEEFF"/>
            </w:tcBorders>
            <w:vMerge w:val="continue"/>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October 1, 2022</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Self-insurance liabilities</w:t>
            </w:r>
          </w:p>
        </w:tc>
        <w:tc>
          <w:tcPr>
            <w:tcW w:w="1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48"/>
        </w:trPr>
        <w:tc>
          <w:tcPr>
            <w:tcW w:w="124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as assets or liabilities at fair value the estimated amounts we would receive or pay upon a termination of interest rate derivatives prior to their scheduled expiration dates. The fair value is based on information that is model-driven and whose inputs were observable (Level 2 inputs) such as LIBOR forward rates. See Note 5. “Interest Rate Derivatives” for further details.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Tangible Long-lived and Right of Use (“ROU”) Store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recognized impairments of $1.3 million and $5.2 million during the three and nine months ended October 1, 2022, respectively, and no impairment and $1.5 million during the three and nine months ended October 2, 2021, respectively, related to our long-lived tangible store assets and ROU assets. The impairments were primarily driven by lower than projected customer sales volume in certain stores. The cash flows used in estimating fair value were discounted using market rates from 7.5% to 9.3%. A decrease in the estimated cash flows would lead to a lower fair value measurement, as would an increase in the discount rate. These non-recurring fair value measurements are classified as Level 3 measurements in the fair value hierarchy. The estimated remaining fair value of the assets impaired during the nine months ended October 1, 2022 and October 2, 2021 was $5.5 million and $2.9 million, respectively; the estimated remaining fair values include amounts estimated at various dates during the related fiscal years. Substantially all of the remaining fair value of the impaired store assets represents the fair value of ROU assets.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fair value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 - 2025 Notes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$402.5 million in aggregate principal amount of 2.50% convertible senior notes due on May 15, 2025 (the “2025 Notes”) issued and outstanding as of October 1, 2022. Refer to Note 4. “Long-term Debt” for more information on the 2025 Notes. The estimated fair value of the 2025 Notes was approximately $498.2 million and $674.9 million as of October 1, 2022 and January 1, 2022, respectively. The estimated fair value of the 2025 Notes is based on the prices the 2025 Notes have traded in the market, as well as overall market conditions on the date of valuation, stated coupon rates, the number of coupon payments each year and the maturity dates, and represents a Level 2 measurement in the fair value hierarchy. Refer to Note 4. “Long-term Debt” for more information on the 2025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4"/>
                <w:szCs w:val="24"/>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As of</w:t>
            </w:r>
          </w:p>
        </w:tc>
        <w:tc>
          <w:tcPr>
            <w:tcW w:w="300" w:type="dxa"/>
            <w:vAlign w:val="bottom"/>
          </w:tcPr>
          <w:p>
            <w:pPr>
              <w:spacing w:after="0"/>
              <w:rPr>
                <w:sz w:val="24"/>
                <w:szCs w:val="24"/>
                <w:color w:val="auto"/>
              </w:rPr>
            </w:pPr>
          </w:p>
        </w:tc>
        <w:tc>
          <w:tcPr>
            <w:tcW w:w="18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680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October 1, 2022</w:t>
            </w:r>
          </w:p>
        </w:tc>
        <w:tc>
          <w:tcPr>
            <w:tcW w:w="300" w:type="dxa"/>
            <w:vAlign w:val="bottom"/>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 due May 15,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402,497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402,500</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July 18, 2024</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July 18, 2024</w:t>
            </w: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before debt discount</w:t>
            </w: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552,497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552,500</w:t>
            </w:r>
          </w:p>
        </w:tc>
        <w:tc>
          <w:tcPr>
            <w:tcW w:w="0" w:type="dxa"/>
            <w:vAlign w:val="bottom"/>
          </w:tcPr>
          <w:p>
            <w:pPr>
              <w:spacing w:after="0"/>
              <w:rPr>
                <w:sz w:val="1"/>
                <w:szCs w:val="1"/>
                <w:color w:val="auto"/>
              </w:rPr>
            </w:pPr>
          </w:p>
        </w:tc>
      </w:tr>
      <w:tr>
        <w:trPr>
          <w:trHeight w:val="230"/>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- 2025 Notes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and issuance costs - term loan</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debt discount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543,566</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Pr>
          <w:p>
            <w:pPr>
              <w:spacing w:after="0"/>
              <w:rPr>
                <w:sz w:val="19"/>
                <w:szCs w:val="19"/>
                <w:color w:val="auto"/>
              </w:rPr>
            </w:pPr>
          </w:p>
        </w:tc>
        <w:tc>
          <w:tcPr>
            <w:tcW w:w="1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non-current portion</w:t>
            </w: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545,520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543,566</w:t>
            </w:r>
          </w:p>
        </w:tc>
        <w:tc>
          <w:tcPr>
            <w:tcW w:w="0" w:type="dxa"/>
            <w:vAlign w:val="bottom"/>
          </w:tcPr>
          <w:p>
            <w:pPr>
              <w:spacing w:after="0"/>
              <w:rPr>
                <w:sz w:val="1"/>
                <w:szCs w:val="1"/>
                <w:color w:val="auto"/>
              </w:rPr>
            </w:pPr>
          </w:p>
        </w:tc>
      </w:tr>
      <w:tr>
        <w:trPr>
          <w:trHeight w:val="229"/>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26,514</w:t>
            </w: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0" w:type="dxa"/>
            <w:vAlign w:val="bottom"/>
          </w:tcPr>
          <w:p>
            <w:pPr>
              <w:spacing w:after="0"/>
              <w:rPr>
                <w:sz w:val="1"/>
                <w:szCs w:val="1"/>
                <w:color w:val="auto"/>
              </w:rPr>
            </w:pPr>
          </w:p>
        </w:tc>
      </w:tr>
      <w:tr>
        <w:trPr>
          <w:trHeight w:val="22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less current portion and debt discount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564,180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566,081</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covenants related to our long-term debt as of October 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the following in interest expense (income), net related to the 2025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8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October 2, 2021</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October 2, 2021</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1, 2022, the remaining period for the unamortized debt issuance costs balance was approximately three years. An immaterial amount of the principal balance of the 2025 Notes was converted during the nine months ended October 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1, 2022, the stock price conditions under which the 2025 Notes can be converted at the holders’ option were not met.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Rate Derivatives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party to an interest rate collar to offset the variability of cash flows in LIBOR-indexed debt interest payments. To manage credit risk associated with our interest rate hedging program, we select as counterparties major financial institutions with investment grade credit ratings. The aggregate notional amount of the interest rate collar, which is not designated as a cash flow hedge, was $350.0 million as of October 1, 2022. The fair value of our interest rate collar instrument was an asset of $14.2 million ($8.2 million in Prepaid expenses and other current assets and $6.0 million in Other assets) as of October 1, 2022, and a liability of $3.3 million ($2.8 million in Other payables and accrued expenses and $0.5 million in Other non-current liabilities) as of January 1, 2022. See Note 3. “Fair Value Measurement” for further details.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(gains) losses on the change in fair value of the interest rate collar of $(6.7) million and $(16.5) million during the three and nine months ended October 1, 2022, respectively, and $0.2 million and $(1.3) million during the three and nine months ended October 2, 2021, respectively, in interest expense (income), net. We recognized $1.5 million in interest expense (income), net during the nine months ended October 2, 2021 related to our interest rate swaps that were considered to be highly effective hedges and that matured during the nine months ended October 2, 2021.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related to derivatives qualifying as hedges are included in the same section of the Condensed Consolidated Statements of Cash Flows as the underlying assets and liabilities being hedged. Cash flows during the nine months ended October 1, 2022 and October 2, 2021 related to derivatives not qualifying as hedges were included in the operating section of the Condensed Consolidated Statements of Cash Flows and were immaterial.</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1, 2022 we expect to reclassify approximately $0.8 million of unrealized losses on derivative instruments, net of tax, from Accumulated other comprehensive loss (“AOCL”) into earnings in the next 12 months as the derivative instruments mature. See Note 12. “Accumulated Other Comprehensive Loss” for more information about AOCL.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 Incentive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October 1, 2022, the Company granted 163,062 performance-based restricted stock units (“PSUs”) and 317,203 time-based restricted stock units (“RSUs”) to eligible employees and non-employee directors under the National Vision Holdings, Inc. 2017 Omnibus Incentive Plan (the “2017 Omnibus Incentive Plan”). The PSUs granted in fiscal 2022 are settled after the end of the performance period (i.e., cliff vesting), which begins on the first day of our 2022 fiscal year and ends on the last day of our 2024 fiscal year, and are based on the Company’s achievement of certain performance targets. The RSUs granted in fiscal 2022 vest primarily in three equal installments.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Revenue From Contracts With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recognized either at the point of sale or upon delivery and customer acceptance, paid for at the time of sale in cash, credit card, or on account with managed care payors having terms generally between 14 and 120 days, with most paying within 90 days. For sales of in-store non-prescription eyewear and related accessories, and paid eye exams, we recognize revenue at the point of sale.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(i.e. warranties), eye care club memberships and management fees earned from our Legacy partner.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disaggregation of revenues depicts our revenue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0"/>
                <w:szCs w:val="20"/>
                <w:color w:val="auto"/>
              </w:rPr>
            </w:pPr>
          </w:p>
        </w:tc>
        <w:tc>
          <w:tcPr>
            <w:tcW w:w="3140" w:type="dxa"/>
            <w:vAlign w:val="bottom"/>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October 1, 2022</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October 2, 2021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recognized at a point in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1,412,526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1,471,856</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Revenues recognized over time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129,818</w:t>
            </w: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1,601,674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 reductions in revenue for estimated price concessions granted to managed care providers. The Company considers its revenue from managed care customers to include variable consideration and estimates such amounts associated with managed care customer revenues using the history of concessions provided and cash receipts from managed care providers; we reduced our net revenue for variable consideration of $4.3 million and $2.4 million during the three months ended October 1, 2022 and October 2, 2021, respectively, and $10.0 million and $7.0 million during the nine months ended October 1, 2022 and October 2, 2021,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 assets and contract liabilities primarily result from timing differences between the performance of our obligations and the customer’s payment.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loss expense recognized on our receivables, which is presented in SG&amp;A expenses in the Company’s condensed consolidated statements of operations, were $0.2 million and $0.3 million for the three months ended October 1, 2022 and October 2, 2021, respectively, as compared to $0.8 million and $0.6 million for the nine months ended October 1, 2022 and October 2, 2021,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Unsatisfied Performance Obligations (Contract Liabilities)</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1, 2022 and October 2, 2021, we recognized $23.3 million and $24.6 million, respectively, of deferred revenues outstanding at the beginning of each respective period. During the nine months ended October 1, 2022 and October 2, 2021, we recognized $56.8 million and $50.4 million, respectively, of deferred revenues outstanding at the beginning of each respective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deferred revenue balance as of October 1, 2022 was $86.4 million. We expect future revenue recognition of this balance of $23.0 million, $46.5 million, $13.7 million, $3.1 million and $0.1 million in fiscal years 2022, 2023, 2024, 2025 and thereafter, respectively.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Leases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Our lease costs for the three and nine months ended October 1, 2022 and October 2, 2021 were as follows: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22"/>
                <w:szCs w:val="22"/>
                <w:color w:val="auto"/>
              </w:rPr>
            </w:pPr>
          </w:p>
        </w:tc>
        <w:tc>
          <w:tcPr>
            <w:tcW w:w="29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October 1, 2022</w:t>
            </w: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October 2, 2021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cost</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lease cost </w:t>
            </w:r>
            <w:r>
              <w:rPr>
                <w:rFonts w:ascii="Times New Roman" w:cs="Times New Roman" w:eastAsia="Times New Roman" w:hAnsi="Times New Roman"/>
                <w:sz w:val="23"/>
                <w:szCs w:val="23"/>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62,589</w:t>
            </w:r>
          </w:p>
        </w:tc>
      </w:tr>
      <w:tr>
        <w:trPr>
          <w:trHeight w:val="229"/>
        </w:trPr>
        <w:tc>
          <w:tcPr>
            <w:tcW w:w="4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22,894</w:t>
            </w:r>
          </w:p>
        </w:tc>
      </w:tr>
      <w:tr>
        <w:trPr>
          <w:trHeight w:val="230"/>
        </w:trPr>
        <w:tc>
          <w:tcPr>
            <w:tcW w:w="4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Sublease income </w:t>
            </w:r>
            <w:r>
              <w:rPr>
                <w:rFonts w:ascii="Times New Roman" w:cs="Times New Roman" w:eastAsia="Times New Roman" w:hAnsi="Times New Roman"/>
                <w:sz w:val="23"/>
                <w:szCs w:val="23"/>
                <w:color w:val="auto"/>
                <w:vertAlign w:val="superscript"/>
              </w:rPr>
              <w:t>(c)</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Finance lease cost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88,376</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leases, which are immaterial.</w:t>
      </w:r>
    </w:p>
    <w:p>
      <w:pPr>
        <w:spacing w:after="0" w:line="41" w:lineRule="exact"/>
        <w:rPr>
          <w:rFonts w:ascii="Times New Roman" w:cs="Times New Roman" w:eastAsia="Times New Roman" w:hAnsi="Times New Roman"/>
          <w:sz w:val="14"/>
          <w:szCs w:val="14"/>
          <w:color w:val="auto"/>
        </w:rPr>
      </w:pPr>
    </w:p>
    <w:p>
      <w:pPr>
        <w:ind w:left="20" w:right="40" w:firstLine="6"/>
        <w:spacing w:after="0" w:line="251" w:lineRule="auto"/>
        <w:tabs>
          <w:tab w:leader="none" w:pos="22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for insurance, real estate taxes and common area maintenance expenses, which are variable, as are lease costs above minimum thresholds for Fred Meyer stores and lease costs for Military stores.</w:t>
      </w:r>
    </w:p>
    <w:p>
      <w:pPr>
        <w:ind w:left="220" w:hanging="194"/>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from sub-leasing of stores includes rental income from leasing space to independent optometrists.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 and Discount Rate</w:t>
            </w:r>
          </w:p>
        </w:tc>
        <w:tc>
          <w:tcPr>
            <w:tcW w:w="37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rPr>
              <w:t>As of</w:t>
            </w: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3"/>
        </w:trPr>
        <w:tc>
          <w:tcPr>
            <w:tcW w:w="5660" w:type="dxa"/>
            <w:vAlign w:val="bottom"/>
            <w:vMerge w:val="continue"/>
          </w:tcPr>
          <w:p>
            <w:pPr>
              <w:spacing w:after="0"/>
              <w:rPr>
                <w:sz w:val="21"/>
                <w:szCs w:val="21"/>
                <w:color w:val="auto"/>
              </w:rPr>
            </w:pPr>
          </w:p>
        </w:tc>
        <w:tc>
          <w:tcPr>
            <w:tcW w:w="372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October 1, 2022</w:t>
            </w:r>
          </w:p>
        </w:tc>
        <w:tc>
          <w:tcPr>
            <w:tcW w:w="1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January 1, 2022</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Weighted average remaining lease term (months)</w:t>
            </w:r>
          </w:p>
        </w:tc>
        <w:tc>
          <w:tcPr>
            <w:tcW w:w="3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i w:val="1"/>
                <w:iCs w:val="1"/>
                <w:color w:val="auto"/>
              </w:rPr>
              <w:t xml:space="preserve">Weighted average discount rate </w:t>
            </w:r>
            <w:r>
              <w:rPr>
                <w:rFonts w:ascii="Times New Roman" w:cs="Times New Roman" w:eastAsia="Times New Roman" w:hAnsi="Times New Roman"/>
                <w:sz w:val="23"/>
                <w:szCs w:val="23"/>
                <w:i w:val="1"/>
                <w:iCs w:val="1"/>
                <w:color w:val="auto"/>
                <w:vertAlign w:val="superscript"/>
              </w:rPr>
              <w:t>(a)</w:t>
            </w: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30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(b)</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 w:right="40" w:firstLine="6"/>
        <w:spacing w:after="0" w:line="234" w:lineRule="auto"/>
        <w:tabs>
          <w:tab w:leader="none" w:pos="2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used to determine the lease assets and lease liabilities was derived upon considering (i) incremental borrowing rates on our term loan and revolving credit facility; (ii) fixed rates on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15" w:lineRule="exact"/>
        <w:rPr>
          <w:rFonts w:ascii="Times New Roman" w:cs="Times New Roman" w:eastAsia="Times New Roman" w:hAnsi="Times New Roman"/>
          <w:sz w:val="14"/>
          <w:szCs w:val="14"/>
          <w:color w:val="auto"/>
        </w:rPr>
      </w:pPr>
    </w:p>
    <w:p>
      <w:pPr>
        <w:ind w:left="20" w:right="140" w:firstLine="6"/>
        <w:spacing w:after="0" w:line="241" w:lineRule="auto"/>
        <w:tabs>
          <w:tab w:leader="none" w:pos="22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750"/>
        </w:trPr>
        <w:tc>
          <w:tcPr>
            <w:tcW w:w="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9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412"/>
        </w:trPr>
        <w:tc>
          <w:tcPr>
            <w:tcW w:w="40" w:type="dxa"/>
            <w:vAlign w:val="bottom"/>
          </w:tcPr>
          <w:p>
            <w:pPr>
              <w:spacing w:after="0"/>
              <w:rPr>
                <w:sz w:val="24"/>
                <w:szCs w:val="24"/>
                <w:color w:val="auto"/>
              </w:rPr>
            </w:pPr>
          </w:p>
        </w:tc>
        <w:tc>
          <w:tcPr>
            <w:tcW w:w="6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October 1, 2022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23"/>
        </w:trPr>
        <w:tc>
          <w:tcPr>
            <w:tcW w:w="40" w:type="dxa"/>
            <w:vAlign w:val="bottom"/>
          </w:tcPr>
          <w:p>
            <w:pPr>
              <w:spacing w:after="0"/>
              <w:rPr>
                <w:sz w:val="19"/>
                <w:szCs w:val="19"/>
                <w:color w:val="auto"/>
              </w:rPr>
            </w:pPr>
          </w:p>
        </w:tc>
        <w:tc>
          <w:tcPr>
            <w:tcW w:w="6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 - operating leases</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66,358</w:t>
            </w:r>
          </w:p>
        </w:tc>
      </w:tr>
      <w:tr>
        <w:trPr>
          <w:trHeight w:val="234"/>
        </w:trPr>
        <w:tc>
          <w:tcPr>
            <w:tcW w:w="40" w:type="dxa"/>
            <w:vAlign w:val="bottom"/>
          </w:tcPr>
          <w:p>
            <w:pPr>
              <w:spacing w:after="0"/>
              <w:rPr>
                <w:sz w:val="20"/>
                <w:szCs w:val="20"/>
                <w:color w:val="auto"/>
              </w:rPr>
            </w:pPr>
          </w:p>
        </w:tc>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 of use assets acquired under operating leases</w:t>
            </w:r>
          </w:p>
        </w:tc>
        <w:tc>
          <w:tcPr>
            <w:tcW w:w="320" w:type="dxa"/>
            <w:vAlign w:val="bottom"/>
          </w:tcPr>
          <w:p>
            <w:pPr>
              <w:spacing w:after="0"/>
              <w:rPr>
                <w:sz w:val="20"/>
                <w:szCs w:val="20"/>
                <w:color w:val="auto"/>
              </w:rPr>
            </w:pPr>
          </w:p>
        </w:tc>
        <w:tc>
          <w:tcPr>
            <w:tcW w:w="2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86,722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64,260</w:t>
            </w:r>
          </w:p>
        </w:tc>
      </w:tr>
      <w:tr>
        <w:trPr>
          <w:trHeight w:val="414"/>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our lease liabilities as of October 1, 2022:</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05"/>
        </w:trPr>
        <w:tc>
          <w:tcPr>
            <w:tcW w:w="632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7"/>
        </w:trPr>
        <w:tc>
          <w:tcPr>
            <w:tcW w:w="6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20" w:type="dxa"/>
            <w:vAlign w:val="bottom"/>
          </w:tcPr>
          <w:p>
            <w:pPr>
              <w:spacing w:after="0"/>
              <w:rPr>
                <w:sz w:val="22"/>
                <w:szCs w:val="22"/>
                <w:color w:val="auto"/>
              </w:rPr>
            </w:pPr>
          </w:p>
        </w:tc>
        <w:tc>
          <w:tcPr>
            <w:tcW w:w="2060" w:type="dxa"/>
            <w:vAlign w:val="bottom"/>
            <w:gridSpan w:val="2"/>
          </w:tcPr>
          <w:p>
            <w:pPr>
              <w:jc w:val="right"/>
              <w:ind w:right="390"/>
              <w:spacing w:after="0" w:line="25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4"/>
          </w:tcPr>
          <w:p>
            <w:pPr>
              <w:jc w:val="right"/>
              <w:ind w:right="490"/>
              <w:spacing w:after="0" w:line="256" w:lineRule="exact"/>
              <w:rPr>
                <w:sz w:val="20"/>
                <w:szCs w:val="20"/>
                <w:color w:val="auto"/>
              </w:rPr>
            </w:pPr>
            <w:r>
              <w:rPr>
                <w:rFonts w:ascii="Times New Roman" w:cs="Times New Roman" w:eastAsia="Times New Roman" w:hAnsi="Times New Roman"/>
                <w:sz w:val="18"/>
                <w:szCs w:val="18"/>
                <w:color w:val="auto"/>
                <w:w w:val="94"/>
              </w:rPr>
              <w:t xml:space="preserve">Finance Leases </w:t>
            </w:r>
            <w:r>
              <w:rPr>
                <w:rFonts w:ascii="Times New Roman" w:cs="Times New Roman" w:eastAsia="Times New Roman" w:hAnsi="Times New Roman"/>
                <w:sz w:val="23"/>
                <w:szCs w:val="23"/>
                <w:color w:val="auto"/>
                <w:w w:val="94"/>
                <w:vertAlign w:val="superscript"/>
              </w:rPr>
              <w:t>(b)</w:t>
            </w:r>
          </w:p>
        </w:tc>
      </w:tr>
      <w:tr>
        <w:trPr>
          <w:trHeight w:val="223"/>
        </w:trPr>
        <w:tc>
          <w:tcPr>
            <w:tcW w:w="1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3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29"/>
        </w:trPr>
        <w:tc>
          <w:tcPr>
            <w:tcW w:w="6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153,798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r>
      <w:tr>
        <w:trPr>
          <w:trHeight w:val="223"/>
        </w:trPr>
        <w:tc>
          <w:tcPr>
            <w:tcW w:w="63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28,392</w:t>
            </w:r>
          </w:p>
        </w:tc>
      </w:tr>
      <w:tr>
        <w:trPr>
          <w:trHeight w:val="229"/>
        </w:trPr>
        <w:tc>
          <w:tcPr>
            <w:tcW w:w="63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64,834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r>
      <w:tr>
        <w:trPr>
          <w:trHeight w:val="248"/>
        </w:trPr>
        <w:tc>
          <w:tcPr>
            <w:tcW w:w="6320" w:type="dxa"/>
            <w:vAlign w:val="bottom"/>
            <w:tcBorders>
              <w:bottom w:val="single" w:sz="8" w:color="CCEEFF"/>
            </w:tcBorders>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Present value of lease liabilities </w:t>
            </w:r>
            <w:r>
              <w:rPr>
                <w:rFonts w:ascii="Times New Roman" w:cs="Times New Roman" w:eastAsia="Times New Roman" w:hAnsi="Times New Roman"/>
                <w:sz w:val="23"/>
                <w:szCs w:val="23"/>
                <w:color w:val="auto"/>
                <w:vertAlign w:val="superscript"/>
              </w:rPr>
              <w:t>(c)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20" w:hanging="194"/>
        <w:spacing w:after="0"/>
        <w:tabs>
          <w:tab w:leader="none" w:pos="2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payments include $41.6 million related to options to extend lease terms that are reasonably certain of being exercised.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payments include $1.7 million related to options to extend lease terms that are reasonably certain of being exercised.</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 value of lease liabilities excludes $11.5 million of legally binding minimum lease payments for leases signed but not yet commenced.</w:t>
      </w:r>
    </w:p>
    <w:p>
      <w:pPr>
        <w:spacing w:after="0" w:line="200" w:lineRule="exact"/>
        <w:rPr>
          <w:rFonts w:ascii="Times New Roman" w:cs="Times New Roman" w:eastAsia="Times New Roman" w:hAnsi="Times New Roman"/>
          <w:sz w:val="14"/>
          <w:szCs w:val="14"/>
          <w:color w:val="auto"/>
        </w:rPr>
      </w:pPr>
    </w:p>
    <w:p>
      <w:pPr>
        <w:spacing w:after="0" w:line="287"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and may in the future become subject to various claims and pending or threatened lawsuits in the ordinary course of our business.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23, 2022, we were served with notice of a lawsuit filed by a former employee in California state court alleging, on behalf of a proposed class of employees, several violations of California wage and hour laws. We believe that the claims are without merit and intend to oppose the certification of a class and to defend the litigation vigorously.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for the two reportable segments. Incremental expenses related to the COVID-19 pandemic are allocated to the reportable segments.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reportable segment profit measure is earnings before interest, tax, depreciation and amortization (“EBITDA”) or net revenue, less costs applicable to revenue, less SG&amp;A expenses. Depreciation and amortization, asset impairment, and other corporate costs that are not allocated to the reportable segments, including interest expense (income) are excluded from segment EBITDA. There are no revenue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financial data for each of our segments. Reportable segment information is presented on the same basis as our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information is not included in the following summary since the CODM does not regularly review such information for the reportable segments.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8"/>
                <w:szCs w:val="18"/>
                <w:color w:val="auto"/>
              </w:rPr>
              <w:t>Three Months Ended October 1, 2022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services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323,472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410,701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88,506</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160,645</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72,155</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232,800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225,028</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80,629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24,852</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ind w:left="680"/>
              <w:spacing w:after="0"/>
              <w:rPr>
                <w:sz w:val="20"/>
                <w:szCs w:val="20"/>
                <w:color w:val="auto"/>
              </w:rPr>
            </w:pPr>
            <w:r>
              <w:rPr>
                <w:rFonts w:ascii="Times New Roman" w:cs="Times New Roman" w:eastAsia="Times New Roman" w:hAnsi="Times New Roman"/>
                <w:sz w:val="18"/>
                <w:szCs w:val="18"/>
                <w:color w:val="auto"/>
              </w:rPr>
              <w:t>Three Months Ended October 2, 2021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Legacy</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425,594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518,005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158,371</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156,699</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50,477</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25,059</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124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tcPr>
          <w:p>
            <w:pPr>
              <w:ind w:left="720"/>
              <w:spacing w:after="0"/>
              <w:rPr>
                <w:sz w:val="20"/>
                <w:szCs w:val="20"/>
                <w:color w:val="auto"/>
              </w:rPr>
            </w:pPr>
            <w:r>
              <w:rPr>
                <w:rFonts w:ascii="Times New Roman" w:cs="Times New Roman" w:eastAsia="Times New Roman" w:hAnsi="Times New Roman"/>
                <w:sz w:val="18"/>
                <w:szCs w:val="18"/>
                <w:color w:val="auto"/>
              </w:rPr>
              <w:t>Nine Months Ended October 1, 2022</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Legacy</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1,007,376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488,342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162,093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276,792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75,248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ind w:left="720"/>
              <w:spacing w:after="0"/>
              <w:rPr>
                <w:sz w:val="20"/>
                <w:szCs w:val="20"/>
                <w:color w:val="auto"/>
              </w:rPr>
            </w:pPr>
            <w:r>
              <w:rPr>
                <w:rFonts w:ascii="Times New Roman" w:cs="Times New Roman" w:eastAsia="Times New Roman" w:hAnsi="Times New Roman"/>
                <w:sz w:val="18"/>
                <w:szCs w:val="18"/>
                <w:color w:val="auto"/>
              </w:rPr>
              <w:t>Nine Months Ended October 2, 2021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Legacy</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1,069,678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1,308,706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473,594</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369,422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72,639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1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related to the 2025 Notes is calculated using the if-converted method; the number of dilutive shares is based on the initial conversion rate associated with the 2025 Notes. The 2025 Notes were antidilutive for the three months ended October 1, 2022. A reconciliation of the numerators and denominators of the basic and diluted EPS calculations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328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EPS</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October 1, 2022</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October 2, 2021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October 1, 2022</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122,025</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After-tax interest expense for 2025 Notes</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diluted EPS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for basic EPS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81,729</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 Notes</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12,912</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for diluted EPS</w:t>
            </w: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184"/>
        </w:trPr>
        <w:tc>
          <w:tcPr>
            <w:tcW w:w="4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Anti-dilutive securities excluded from diluted weighted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net of tax during the three and nine months ended October 1, 2022 and October 2, 2021,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326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October 1, 2022</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October 2, 2021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October 1, 2022</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hedging activity:</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3"/>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84"/>
        </w:trPr>
        <w:tc>
          <w:tcPr>
            <w:tcW w:w="44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Tax effect of other comprehensive income (loss) before</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w:t>
            </w:r>
          </w:p>
        </w:tc>
        <w:tc>
          <w:tcPr>
            <w:tcW w:w="1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 reclassified from AOCL into interest expense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184"/>
        </w:trPr>
        <w:tc>
          <w:tcPr>
            <w:tcW w:w="448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Tax effect of amount reclassified from AOCL into interest</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Stranded tax effect of matured interest rate swaps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164"/>
        </w:trPr>
        <w:tc>
          <w:tcPr>
            <w:tcW w:w="448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Net current period other comprehensive income (loss), net</w:t>
            </w: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234"/>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of tax</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28, 2022 (the “2021 Annual Report on Form 10-K.”) This discussion contains forward-looking statements that reflect our plans, estimates and beliefs as of the date hereof and we undertake no obligation to publicly update or revise any forward-looking statement as a result of new information, future events or otherwise, except as required by law. These forward-looking statements involve numerous risks and uncertainties, including, but not limited to, those described in the “Risk Factors” section of the 2021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1,332 retail stores across five brands and 13 e-commerce websites as of October 1, 2022.</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macroeconomic uncertainty of the U.S. economy, constraints to exam capacity and the COVID-19 pandemic continued to adversely affect our sales in the third quarter of 2022 and may continue to impact our performance going forward.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preferences and demand, as well as spending habits, including for our goods and services, are impacted by the prevailing macroeconomic conditions and uncertainty, inflation, salaries and wages, consumer confidence and consumer perception. The U.S. economy is experiencing high inflation because of changing economic conditions, labor shortages, supply chain constraints, logistics challenges, the conflict in Ukraine, and steps taken by governments and central banks in response to the pandemic as well as other stimulus and spending programs. These overall economic trends continued to impact consumer demand and adversely impact our sales in the third quarter of 2022.</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Exam capacity, which encompasses the overall availability of vision care professionals, is impacted by several factors including retention, hiring, coverage and work schedules, and continued to be constrained in the third quarter of 2022. We remain focused on our strategy to provide our customers and patients reliable and quality low cost eye care and eyewear, and are taking certain actions to enhance our exam capacity through recruitment, retention and remote medicine initiatives.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emergence of the Omicron variant and subvariants, the COVID-19 pandemic resulted in increased associate and vision care professional absences, adjusted work schedules and reduced consumer traffic to our stores in 2022. The ultimate impact of COVID-19 on our operations and financial performance in future periods remains uncertain and will depend on future pandemic-related developments, including potential new variants, supplier impacts and related government actions to prevent and manage disease 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5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&amp; Host - As of October 1, 2022, our owned brands consisted of 883 America’s Best Contacts and Eyeglasses retail stores and 136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eye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October 1, 2022. We have strong, long-standing relationships with our Host partners and have maintained each partnership for over 22 years. These brands provide eye exams primarily by independent optometrists. All brands utilize our centralized laboratories. This segment also includes sales from our America’s Best, Eyeglass World, and Military omni-channel websites.</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 We manage the operations of, and supply inventory and laboratory processing services to, 230 Vision Centers in Walmart retail locations as of October 1, 2022. This strategic relationship with Walmart is in its 32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nine months ended October 1, 2022, sales associated with this arrangement represented 7.6%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e-commerce platform of 13 dedicated websites managed by AC Lens. Our e-commerce business consists of five proprietary branded websites, including aclens.com, discountglasses.com and discountcontactlenses.com, and eight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6.9% of consolidated net revenue.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plans in connection with our America’s Best operations in California.</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condensed consolidated financial statements included in Part I. Item 1. of this Form 10-Q.</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trends and other factors will affect or have affected our operating results, including: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 economic trends, consumer preferences and demand</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(including the Russian invasion of Ukraine), inclement weather, natural disasters, terrorism, outbreak of viruses or widespread illness and consumer perceptions of personal well-being and security. Over the past few years, global markets and economic conditions have been challenging, particularly in light of the COVID-19 pandemic. During periods of economic downturn and uncertainty, our customers especially benefit from our low prices. The long-term effects of the COVID-19 pandemic and other macroeconomic and geopolitical events on consumer preferences and demand remain uncertain. We believe, but cannot be certain, our business model of providing exceptional value and convenience to customers, enabled by our low-cost operating platform will mitigate these impacts to a certain extent; however uncertainties and risk exposures may be exacerbated by the immediate and ongoing impacts of these factors.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Vision care professional recruitment, coverage, and expanded offerings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continue to attract and retain qualified vision care professionals affect exam capacity and is critical to our operations. Our operations, like those of many of our competitors, depend on our ability to offer both eyewear and eye exams. We compete with other optical retail companies, health systems and group practices for vision care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professionals. We, as well as the professional corporations or similar entities that employ optometrists in certain of our retail locations, could face difficulties attracting and retaining qualified professionals if we or such corporations fail to offer competitive compensation and benefits. Increased compensation for vision care professionals could raise our costs and negatively affect our margins. We believe the impacts of the COVID-19 pandemic on vision care professional availability, including a competitive recruiting market and preferences for adjusted work schedules, and the demand for optometrists exceeding supply in certain areas in the first nine months of fiscal year 2022 have caused constraints in exam capacity. Due to these factors the costs to employ or retain optometrists have increased and may increase further, potentially materially. We are investing in recruitment and retention initiatives along with continuing our implementation of remote medicine technologies.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COVID-19 pandemic has had far-reaching impacts, directly and indirectly, on our operations. We continue to monitor the evolving situation as there remain many uncertainties regarding the pandemic and more recent outbreaks of variants, including anticipated duration, vision care professional availability, related healthcare authority guidelines and efficacy of vaccination initiatives, including the impact of, and associated risks regarding, federal, state and local vaccination and testing programs. We continue to monitor potential impacts on our stores and exam capacity, lab network, and potential disruptions of product and equipment deliveries. To date, we have been able to meet customer demand with operations at our laboratories and our supply chain partners. However, prolonged shutdowns in countries which support our supply chain or a deterioration of conditions in such countries and others or increasing strains on international and domestic supply chain infrastructure could result in product and equipment availability delays in the future. We could experience further material impacts as a result of COVID-19, including, but not limited to, charges from additional asset impairments and deferred tax valuation allowances. We will continue to evaluate additional measures that we may elect to take as a response to the pandemic, including, where appropriate, future action to reduce store hours and patient appointments, temporarily close stores or make additional forward buys. There can be no assurance whether or when any such measures will be adopted. For a discussion of significant risks that have the potential to cause our actual results to differ materially from our expectations, refer to Part I. Item 1A. “Risk Factors,” included in our 2021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strategy</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providing our products to our customers at low prices. We generally employ a simple low price/high value strategy that consistently delivers savings to our customers without the need for extensive promotions. Inflationary pressures, including wage investments, consumer confidence and preferences and increased raw material costs, have impacted, and could further impact, our profitability and lead us to attempt to offset such increases through various pricing actions. Effective May 9, 2022 we changed the price of our America’s Best signature offer to “two pairs of eyeglasses for $79.95, including a free eye exam” from its prior $69.95 price. Effective March 14, 2022, we changed the price of our Eyeglass World opening offer to “two pairs of eyeglasses for $89” from its prior price of $78. We believe that these changes will enable us to continue to offer the best possible value and service to our customers at prices that allow us to maintain our brands’ strong value propositions in the marketplace.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store sales growth</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Comparable store sales growth is a key driver of our business, and our value proposition will continue to drive comparable store sales growth as we attract new customers and increase loyalty with existing customers. During the nine months ended October 1, 2022 comparable store sales growth was negatively impacted due to overall economic trends impacting consumer preferences and demand, constraints on exam capacity in certain markets and the Omicron COVID-19 variant. We believe our business model of providing exceptional value and convenience to customers, enabled by our low-cost operating platform may mitigate these impacts to a certain extent. Our strategies to mitigate these effects include, but are not limited to, investing in recruitment and retention initiatives along with continuing our implementation of remote medicine technologies and optimizing our marketing investments. The impact of macroeconomic factors, the COVID-19 pandemic and constraints on exam capacity on our comparable store sales growth remains uncertain, and effects and relevant risk exposures may be exacerbated in the future.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 increases in product costs due to increases in materials cost or general inflation could lead to greater profitability pressure as we may not be able to pass costs on to consumers. To date, changes in materials prices and general inflation have not materially impacted our business. However, targeted wage investments, including increases in compensation and other expenses for our optometrists and associates, have impacted our costs applicable to revenue and selling, general and administrative expenses. Any further wage investments, along with increased raw materials costs as a result of inflation or supply chain issues, increases in energy and fuel prices and lease and utility costs, would increase our costs applicable to revenue or selling, general and administrative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Such cost increases may not be offset by leverage from revenue growth, productivity efficiency and, as appropriate, various pricing actions which could impact our profitability and results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results and seasonality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our business has realized a higher portion of net revenue, operating income, and cash flows from operations in the first half of the fiscal year, and a lower portion of net revenue, operating income, and cash flows from operations in the fourth fiscal quarter. Consumer behavior driven by the COVID-19 pandemic, impacts on overall economic trends, consumer preferences and demand has resulted in a departure from seasonal norms we have experienced in recent years and we expect it will continue to disrupt the historical quarterly cadence of our results of operations for an unknown period of time.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committed to our long-term vision and continue to position ourselves to make progress against our key initiatives while balancing the near-term challenges and uncertainty presented by the COVID-19 pandemic and other macroeconomic factors. We believe the following factors may continue to influence our short-term and long-term results:</w:t>
      </w:r>
    </w:p>
    <w:p>
      <w:pPr>
        <w:spacing w:after="0" w:line="6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store openings;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care and insurance;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investment;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effectively;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competition and consolidation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measures we use to determine how our consolidated business and operating segments are performing are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as net revenue amounts generated in transactions with retail customers who are the end users of our products, services, and plans. Comparable store sales growth and new store openings are key drivers of net revenue and are discussed below. Also, the timing of unearned revenue can affect revenue recognized in a particular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generally fluctuates consistently with revenue due to the variable store, field office and corporate support costs; however, some fixed costs slightly improve as a percentage of net revenue as our net revenues grow over time.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Store Openings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number of new stores per year and the timing of store openings has, and will continue to have, an impact on our results. We expect to open at least 80 stores in the current year. We will continue to monitor and determine our plans for future new store openings based on health, safety and economic conditions.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Comparable Store Sales Growth</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Operating Income, Adjusted Operating Margin, Adjusted EBITDA, Adjusted EBITDA Margin and Adjusted Diluted EPS (collectively, the “Company Non-GAAP Measures”)</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for the periods indicated, both in dollars and as a percentage of our net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 percentage and</w:t>
            </w:r>
          </w:p>
        </w:tc>
        <w:tc>
          <w:tcPr>
            <w:tcW w:w="160" w:type="dxa"/>
            <w:vAlign w:val="bottom"/>
          </w:tcPr>
          <w:p>
            <w:pPr>
              <w:spacing w:after="0"/>
              <w:rPr>
                <w:sz w:val="20"/>
                <w:szCs w:val="20"/>
                <w:color w:val="auto"/>
              </w:rPr>
            </w:pPr>
          </w:p>
        </w:tc>
        <w:tc>
          <w:tcPr>
            <w:tcW w:w="330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Pr>
          <w:p>
            <w:pPr>
              <w:spacing w:after="0"/>
              <w:rPr>
                <w:sz w:val="20"/>
                <w:szCs w:val="20"/>
                <w:color w:val="auto"/>
              </w:rPr>
            </w:pPr>
          </w:p>
        </w:tc>
        <w:tc>
          <w:tcPr>
            <w:tcW w:w="32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56"/>
        </w:trPr>
        <w:tc>
          <w:tcPr>
            <w:tcW w:w="4420" w:type="dxa"/>
            <w:vAlign w:val="bottom"/>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store data</w:t>
            </w:r>
          </w:p>
        </w:tc>
        <w:tc>
          <w:tcPr>
            <w:tcW w:w="16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1, 2022</w:t>
            </w:r>
          </w:p>
        </w:tc>
        <w:tc>
          <w:tcPr>
            <w:tcW w:w="16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2, 2021</w:t>
            </w:r>
          </w:p>
        </w:tc>
        <w:tc>
          <w:tcPr>
            <w:tcW w:w="160" w:type="dxa"/>
            <w:vAlign w:val="bottom"/>
          </w:tcPr>
          <w:p>
            <w:pPr>
              <w:spacing w:after="0"/>
              <w:rPr>
                <w:sz w:val="21"/>
                <w:szCs w:val="21"/>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October 1, 2022</w:t>
            </w: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October 2, 2021</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410,701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425,594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1,265,554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1,326,867</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 of 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88,506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92,411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270,919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274,807</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499,207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1,536,473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1,601,674</w:t>
            </w:r>
          </w:p>
        </w:tc>
        <w:tc>
          <w:tcPr>
            <w:tcW w:w="0" w:type="dxa"/>
            <w:vAlign w:val="bottom"/>
          </w:tcPr>
          <w:p>
            <w:pPr>
              <w:spacing w:after="0"/>
              <w:rPr>
                <w:sz w:val="1"/>
                <w:szCs w:val="1"/>
                <w:color w:val="auto"/>
              </w:rPr>
            </w:pPr>
          </w:p>
        </w:tc>
      </w:tr>
      <w:tr>
        <w:trPr>
          <w:trHeight w:val="175"/>
        </w:trPr>
        <w:tc>
          <w:tcPr>
            <w:tcW w:w="4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Costs applicable to revenue (exclusive of depreciation</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and amortization):</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160,645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488,225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485,090</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and plans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72,155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215,179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202,004</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232,800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687,094</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676,042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72,639</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251,048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240,836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762,007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747,592</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166,988</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22,261</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17,336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144,727</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5,834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22,702</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122,025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 opened during the period</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21,463</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187,985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0.15</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44,443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164,179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255,008</w:t>
            </w:r>
          </w:p>
        </w:tc>
        <w:tc>
          <w:tcPr>
            <w:tcW w:w="0" w:type="dxa"/>
            <w:vAlign w:val="bottom"/>
          </w:tcPr>
          <w:p>
            <w:pPr>
              <w:spacing w:after="0"/>
              <w:rPr>
                <w:sz w:val="1"/>
                <w:szCs w:val="1"/>
                <w:color w:val="auto"/>
              </w:rPr>
            </w:pPr>
          </w:p>
        </w:tc>
      </w:tr>
      <w:tr>
        <w:trPr>
          <w:trHeight w:val="540"/>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applicable to revenue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738"/>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3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Three Months Ended October 1, 2022 compared to Three Months Ended October 2, 2021 </w:t>
      </w:r>
      <w:r>
        <w:rPr>
          <w:rFonts w:ascii="Times New Roman" w:cs="Times New Roman" w:eastAsia="Times New Roman" w:hAnsi="Times New Roman"/>
          <w:sz w:val="18"/>
          <w:szCs w:val="18"/>
          <w:i w:val="1"/>
          <w:iCs w:val="1"/>
          <w:color w:val="auto"/>
        </w:rPr>
        <w:t>Net revenue</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the three months ended October 1, 2022 compared to the three months ended October 2,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0"/>
        <w:spacing w:after="0" w:line="264" w:lineRule="auto"/>
        <w:rPr>
          <w:sz w:val="20"/>
          <w:szCs w:val="20"/>
          <w:color w:val="auto"/>
        </w:rPr>
      </w:pPr>
      <w:r>
        <w:rPr>
          <w:rFonts w:ascii="Times New Roman" w:cs="Times New Roman" w:eastAsia="Times New Roman" w:hAnsi="Times New Roman"/>
          <w:sz w:val="14"/>
          <w:szCs w:val="14"/>
          <w:i w:val="1"/>
          <w:iCs w:val="1"/>
          <w:color w:val="auto"/>
        </w:rPr>
        <w:t>In thousands, except percentage and store data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Comparable store sales growth</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20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120" w:type="dxa"/>
            <w:vAlign w:val="bottom"/>
          </w:tcPr>
          <w:p>
            <w:pPr>
              <w:spacing w:after="0"/>
              <w:rPr>
                <w:sz w:val="18"/>
                <w:szCs w:val="18"/>
                <w:color w:val="auto"/>
              </w:rPr>
            </w:pPr>
          </w:p>
        </w:tc>
        <w:tc>
          <w:tcPr>
            <w:tcW w:w="4160" w:type="dxa"/>
            <w:vAlign w:val="bottom"/>
            <w:tcBorders>
              <w:bottom w:val="single" w:sz="8" w:color="auto"/>
            </w:tcBorders>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31"/>
        </w:trPr>
        <w:tc>
          <w:tcPr>
            <w:tcW w:w="1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1"/>
                <w:szCs w:val="11"/>
                <w:color w:val="auto"/>
              </w:rPr>
            </w:pPr>
          </w:p>
        </w:tc>
        <w:tc>
          <w:tcPr>
            <w:tcW w:w="10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6"/>
        </w:trPr>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October 2, 2021</w:t>
            </w:r>
          </w:p>
        </w:tc>
        <w:tc>
          <w:tcPr>
            <w:tcW w:w="10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 2021</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2120" w:space="260"/>
            <w:col w:w="8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America’s Best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336,759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351,706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67.9 %</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Eyeglass World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53,153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55,520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Military</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5,492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5,865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Fred Meyer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2,778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3,011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7"/>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Owned &amp; Host segment total</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398,182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79.8 %</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416,102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80.3 %</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Legacy segment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36,663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40,842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0" w:type="dxa"/>
            <w:vAlign w:val="bottom"/>
          </w:tcPr>
          <w:p>
            <w:pPr>
              <w:spacing w:after="0"/>
              <w:rPr>
                <w:sz w:val="1"/>
                <w:szCs w:val="1"/>
                <w:color w:val="auto"/>
              </w:rPr>
            </w:pPr>
          </w:p>
        </w:tc>
      </w:tr>
      <w:tr>
        <w:trPr>
          <w:trHeight w:val="21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Corporate/Other</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61,939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58,063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Reconciliations</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1"/>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499,207</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518,005</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Adjusted Comparable Store Sales</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Growth</w:t>
            </w:r>
            <w:r>
              <w:rPr>
                <w:rFonts w:ascii="Times New Roman" w:cs="Times New Roman" w:eastAsia="Times New Roman" w:hAnsi="Times New Roman"/>
                <w:sz w:val="21"/>
                <w:szCs w:val="21"/>
                <w:color w:val="auto"/>
                <w:vertAlign w:val="superscript"/>
              </w:rPr>
              <w:t>(3)</w:t>
            </w: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60" w:right="660" w:hanging="328"/>
        <w:spacing w:after="0" w:line="261"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4" w:lineRule="exact"/>
        <w:rPr>
          <w:rFonts w:ascii="Times New Roman" w:cs="Times New Roman" w:eastAsia="Times New Roman" w:hAnsi="Times New Roman"/>
          <w:sz w:val="14"/>
          <w:szCs w:val="14"/>
          <w:color w:val="auto"/>
        </w:rPr>
      </w:pPr>
    </w:p>
    <w:p>
      <w:pPr>
        <w:jc w:val="both"/>
        <w:ind w:left="660" w:right="640" w:hanging="328"/>
        <w:spacing w:after="0" w:line="260"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3.0% from total comparable store sales growth based on consolidated net revenue for the three months ended October 2, 2021, and (ii) Adjusted Comparable Store Sales Growth includes retail sales to the Legacy partner’s customers (rather than the revenues recognized consistent with the management &amp; services agreement with the Legacy partner), resulting in a decrease of 0.1% and a decrease of 0.2% from total comparable store sales growth based on consolidated net revenue for the three months ended October 1, 2022 and October 2, 2021, respectively.</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$499.2 million for the three months ended October 1, 2022 decreased $18.8 million, or 3.6%, from $518.0 million for the three months ended October 2, 2021. The decrease was driven primarily by reduced Adjusted Comparable Store Sales Growth, partially offset by growth from new store sales.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months ended October 1, 2022, we opened 11 America’s Best stores and seven Eyeglass World stores. Overall, store count grew 5.5% from October 2, 2021 to October 1, 2022 (57 and 13 net new America’s Best and Eyeglass World were added, respectively).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for the three months ended October 1, 2022 were (8.0)% and (8.1)%, respectively, primarily due to a decrease in customer transactions. Comparable store sales growth and Adjusted Comparable Store Sales Growth were negative during the three months ended October 1, 2022 due to overall economic trends impacting customer demand and constraints affecting exam capacity in certain markets.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 sales comprised 82.3% and 82.2% of total net revenue for the three months ended October 1, 2022 and October 2, 2021, respectively. Net product sales decreased $14.9 million, or 3.5%, in the three months ended October 1, 2022 compared to the three months ended October 2, 2021, driven primarily by a $19.2 million, or 6.5% decrease in eyeglass sales. Net sales of services and plans decreased $3.9 million, or 4.2%, driven primarily by a $2.2 million, or 20.2% decrease in management fees from our Legacy partner.</w:t>
      </w:r>
    </w:p>
    <w:p>
      <w:pPr>
        <w:spacing w:after="0" w:line="7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decreased $17.9 million, or 4.3%, driven primarily by negative comparable store sales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new store openings.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decreased $4.2 million, or 10.2%, driven by negative comparable store sales growth.</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$3.9 million, or 6.7%, driven primarily by increases in wholesale fulfillment.</w:t>
      </w:r>
    </w:p>
    <w:p>
      <w:pPr>
        <w:spacing w:after="0" w:line="104" w:lineRule="exact"/>
        <w:rPr>
          <w:sz w:val="20"/>
          <w:szCs w:val="20"/>
          <w:color w:val="auto"/>
        </w:rPr>
      </w:pPr>
    </w:p>
    <w:p>
      <w:pPr>
        <w:jc w:val="both"/>
        <w:ind w:left="34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Net revenue was negatively impacted by $0.6 million due to the timing of unearned revenue, which was 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recognition of deferred revenue for the three months ended October 1, 2022 compared to the three months ended October 2, 2021. Net revenue was negatively impacted by $2.1 million due to the timing of unearned revenue during the three months ended October 1, 2022. Net revenue was positively impacted by $1.5 million due to lower sales of product protection plan and club memberships during the three months ended October 1, 2022.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applicable to revenue of $232.8 million for the three months ended October 1, 2022 increased $6.3 million, or 2.8%, from $226.5 million for the three months ended October 2, 2021. As a percentage of net revenue, costs applicable to revenue increased from 43.7% for the three months ended October 2, 2021 to 46.6% for the three months ended October 1, 2022. This increase as a percentage of net revenue was primarily driven by higher growth in optometrist-related costs, reduced eyeglass mix and lower eyeglass margin.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37.2% for the three months ended October 2, 2021 to 39.1% for the three months ended October 1, 2022, primarily driven by reduced eyeglass mix and lower eyeglass margin.</w:t>
      </w:r>
    </w:p>
    <w:p>
      <w:pPr>
        <w:spacing w:after="0" w:line="52"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28.0%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 2021 to 29.3% for the three months ended October 1, 2022. The increase was primarily driven by reduced eyeglass mix and lower eyeglass margin.</w:t>
      </w:r>
    </w:p>
    <w:p>
      <w:pPr>
        <w:spacing w:after="0" w:line="65"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decreased from 48.2% for the three months ended October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47.9% for the three months ended October 1,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73.7% for the three months ended October 2, 2021 to 81.5% for the three months ended October 1, 2022. The increase was primarily driven by higher growth in optometrist-related costs, partially offset by higher exam revenue.</w:t>
      </w:r>
    </w:p>
    <w:p>
      <w:pPr>
        <w:spacing w:after="0" w:line="6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 the Owned &amp; Host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increased from 79.9% for the three months ended October 2, 2021 to 89.0% for the three months ended October 1, 2022. The increase was primarily driven by higher growth in optometrist-related costs.</w:t>
      </w:r>
    </w:p>
    <w:p>
      <w:pPr>
        <w:spacing w:after="0" w:line="6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 the Legacy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from 40.2% for the three months ended October 2, 2021 to 44.0% for the three months ended October 1, 2022. The increase was primarily driven by higher growth in optometrist-related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of $225.0 million for the three months ended October 1, 2022 increased $6.8 million, or 3.1%, from the three months ended October 2, 2021. As a percentage of net revenue, SG&amp;A increased from 42.1% for the three months ended October 2, 2021 to 45.1% for the three months ended October 1, 2022. The increase in SG&amp;A as a percentage of net revenue was primarily driven by payroll, corporate expenses, including travel and entertainment expense, and occupancy expense, partially offset by lower advertising expense. SG&amp;A for the three months ended October 1, 2022 and October 2, 2021 includes $0.2 million and $0.7 million, respectively, of incremental costs directly related to adapting the Company’s operations during the COVID-19 pandemic; these costs were not reflected as adjustments for the Company’s presentation of non-GAAP measures below.</w:t>
      </w:r>
    </w:p>
    <w:p>
      <w:pPr>
        <w:spacing w:after="0" w:line="7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increased from 37.7% for the three months ended October 2, 2021 to 39.3%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1, 2022, driven primarily by increases in payroll and occupancy expense, partially offset by lower advertising expense.</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increased from 35.2% for the three months ended October 2, 2021 to 38.8%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1, 2022, driven primarily by higher payroll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$24.9 million for the three months ended October 1, 2022 decreased $0.2 million, or 0.8%, from $25.1 million for the three months ended October 2,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$1.3 million for impairment of tangible long-lived assets and ROU assets associated with our retail stores during the three months ended October 1, 2022, compared to no impairment recognized during the three months ended October 2,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gain of $2.4 million in Other expense (income), net for the three months ended October 2, 2021 in connection with the acquisition of its former equity method investee by a third party. See Note 1. “Description of Business and Basis of Presentation” for further details.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(income), net, was $(2.0) million for the three months ended October 1, 2022, compared to $5.7 million for the three months ended October 2, 2021. The change was primarily driven by gains of $6.0 million on our interest rate collar as a result of increasing interest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for the three months ended October 1, 2022 and October 2, 2021 were 33.7% and 8.8%, respectively, reflecting our statutory federal and state rate of 25.5% and effects of other permanent items as well as discrete benefits from stock option exercises of $9.1 million during the three months ended October 2, 2021.</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right="458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Nine Months Ended October 1, 2022 compared to Nine Months Ended October 2, 2021 </w:t>
      </w:r>
      <w:r>
        <w:rPr>
          <w:rFonts w:ascii="Times New Roman" w:cs="Times New Roman" w:eastAsia="Times New Roman" w:hAnsi="Times New Roman"/>
          <w:sz w:val="18"/>
          <w:szCs w:val="18"/>
          <w:i w:val="1"/>
          <w:iCs w:val="1"/>
          <w:color w:val="auto"/>
        </w:rPr>
        <w:t>Net revenue</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by segment and by brand, comparable store sales growth, stores open at the end of the period and net revenue for the nine months ended October 1, 2022 compared to the nine months ended October 2,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4"/>
          <w:szCs w:val="14"/>
          <w:i w:val="1"/>
          <w:iCs w:val="1"/>
          <w:color w:val="auto"/>
        </w:rPr>
        <w:t>In thousands, except percentage and store data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4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Comparable store sales growth</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8"/>
                <w:szCs w:val="18"/>
                <w:color w:val="auto"/>
              </w:rPr>
            </w:pPr>
          </w:p>
        </w:tc>
        <w:tc>
          <w:tcPr>
            <w:tcW w:w="2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Stores open at end of period</w:t>
            </w:r>
          </w:p>
        </w:tc>
        <w:tc>
          <w:tcPr>
            <w:tcW w:w="8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28"/>
        </w:trPr>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1"/>
                <w:szCs w:val="11"/>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1,</w:t>
            </w: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2,</w:t>
            </w:r>
          </w:p>
        </w:tc>
        <w:tc>
          <w:tcPr>
            <w:tcW w:w="166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520" w:type="dxa"/>
            <w:vAlign w:val="bottom"/>
            <w:vMerge w:val="restart"/>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October 2, 2021</w:t>
            </w: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October 1, 2022</w:t>
            </w:r>
          </w:p>
        </w:tc>
        <w:tc>
          <w:tcPr>
            <w:tcW w:w="252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October 2, 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120" w:space="260"/>
            <w:col w:w="8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0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America’s Best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31.8 %</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883</w:t>
            </w:r>
          </w:p>
        </w:tc>
        <w:tc>
          <w:tcPr>
            <w:tcW w:w="1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826</w:t>
            </w: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1,043,163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67.9 %</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1,106,907</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69.1 %</w:t>
            </w:r>
          </w:p>
        </w:tc>
      </w:tr>
      <w:tr>
        <w:trPr>
          <w:trHeight w:val="205"/>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Eyeglass World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33.9 %</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166,155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174,356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10.9 %</w:t>
            </w:r>
          </w:p>
        </w:tc>
      </w:tr>
      <w:tr>
        <w:trPr>
          <w:trHeight w:val="200"/>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Military</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22.6 %</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17,117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18,112</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205"/>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Fred Meyer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21.2 %</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8,824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9,331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0.6 %</w:t>
            </w:r>
          </w:p>
        </w:tc>
      </w:tr>
      <w:tr>
        <w:trPr>
          <w:trHeight w:val="19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Owned &amp; Host segment total</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1,102</w:t>
            </w:r>
          </w:p>
        </w:tc>
        <w:tc>
          <w:tcPr>
            <w:tcW w:w="120" w:type="dxa"/>
            <w:vAlign w:val="bottom"/>
          </w:tcPr>
          <w:p>
            <w:pPr>
              <w:spacing w:after="0"/>
              <w:rPr>
                <w:sz w:val="16"/>
                <w:szCs w:val="16"/>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1,032</w:t>
            </w:r>
          </w:p>
        </w:tc>
        <w:tc>
          <w:tcPr>
            <w:tcW w:w="8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1,235,259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80.4 %</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1,308,706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81.7 %</w:t>
            </w:r>
          </w:p>
        </w:tc>
      </w:tr>
      <w:tr>
        <w:trPr>
          <w:trHeight w:val="205"/>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Legacy segment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25.5 %</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116,658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5"/>
                <w:szCs w:val="15"/>
                <w:color w:val="auto"/>
              </w:rPr>
              <w:t>128,024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20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Corporate/Other</w:t>
            </w: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185,521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204"/>
              <w:spacing w:after="0"/>
              <w:rPr>
                <w:sz w:val="20"/>
                <w:szCs w:val="20"/>
                <w:color w:val="auto"/>
              </w:rPr>
            </w:pPr>
            <w:r>
              <w:rPr>
                <w:rFonts w:ascii="Times New Roman" w:cs="Times New Roman" w:eastAsia="Times New Roman" w:hAnsi="Times New Roman"/>
                <w:sz w:val="15"/>
                <w:szCs w:val="15"/>
                <w:color w:val="auto"/>
              </w:rPr>
              <w:t>180,801</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11.3 %</w:t>
            </w:r>
          </w:p>
        </w:tc>
      </w:tr>
      <w:tr>
        <w:trPr>
          <w:trHeight w:val="203"/>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Reconciliations</w:t>
            </w: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(965)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(15,857)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30.3 %</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1,332</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1,262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1,536,473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1,601,674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15"/>
        </w:trPr>
        <w:tc>
          <w:tcPr>
            <w:tcW w:w="238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Adjusted Comparable Store Sales</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16"/>
        </w:trPr>
        <w:tc>
          <w:tcPr>
            <w:tcW w:w="23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5"/>
                <w:szCs w:val="15"/>
                <w:color w:val="auto"/>
              </w:rPr>
              <w:t>Growth</w:t>
            </w:r>
            <w:r>
              <w:rPr>
                <w:rFonts w:ascii="Times New Roman" w:cs="Times New Roman" w:eastAsia="Times New Roman" w:hAnsi="Times New Roman"/>
                <w:sz w:val="19"/>
                <w:szCs w:val="19"/>
                <w:color w:val="auto"/>
                <w:vertAlign w:val="superscript"/>
              </w:rPr>
              <w:t>(3)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31.1 %</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bl>
    <w:p>
      <w:pPr>
        <w:spacing w:after="0" w:line="166" w:lineRule="exact"/>
        <w:rPr>
          <w:sz w:val="20"/>
          <w:szCs w:val="20"/>
          <w:color w:val="auto"/>
        </w:rPr>
      </w:pPr>
    </w:p>
    <w:p>
      <w:pPr>
        <w:jc w:val="both"/>
        <w:ind w:left="660" w:right="660" w:hanging="328"/>
        <w:spacing w:after="0" w:line="262"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Percentages reflect line item as a percentage of net revenue, adjusted for rounding.</w:t>
      </w:r>
    </w:p>
    <w:p>
      <w:pPr>
        <w:spacing w:after="0" w:line="11" w:lineRule="exact"/>
        <w:rPr>
          <w:rFonts w:ascii="Times New Roman" w:cs="Times New Roman" w:eastAsia="Times New Roman" w:hAnsi="Times New Roman"/>
          <w:sz w:val="14"/>
          <w:szCs w:val="14"/>
          <w:color w:val="auto"/>
        </w:rPr>
      </w:pPr>
    </w:p>
    <w:p>
      <w:pPr>
        <w:jc w:val="both"/>
        <w:ind w:left="660" w:right="640" w:hanging="328"/>
        <w:spacing w:after="0" w:line="261"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1.0% and an increase of 0.9% from total comparable store sales growth based on consolidated net revenue for the nine months ended October 1, 2022 and October 2, 2021, respectively,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the nine months ended October 1, 2022 and October 2, 2021, respectively.</w:t>
      </w:r>
    </w:p>
    <w:p>
      <w:pPr>
        <w:spacing w:after="0" w:line="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 of $1,536.5 million for the nine months ended October 1, 2022 decreased $65.2 million, or 4.1%, from $1,601.7 million for the nine months ended October 2, 2021. The decrease was driven primarily by reduced Adjusted Comparable Store Sales Growth, partially offset by growth from new store sales and recognition of deferred revenue.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October 1, 2022, we opened 46 new America’s Best stores and 11 Eyeglass World stores, and closed three America’s Best stores. Overall, store count grew 5.5% from October 2, 2021 to October 1, 2022 (57, and 13 net new America’s Best and Eyeglass World stores were added,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Comparable store sales growth and Adjusted Comparable Store Sales Growth for the nine months ended October 1, 2022 were (8.0)% and (9.1)%, respectively, primarily due to a decrease in customer transactions and, to a lesser extent, lower average ticket. Comparable store sales growth and Adjusted Comparable Store Sales Growth were negative during the nine months ended October 1, 2022 due to overall economic trends impacting customer demand, constraints affecting exam capacity in certain markets and the Omicron COVID-19 variant impacting customer transactions.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 sales comprised 82.4% and 82.8% of total net revenue for the nine months ended October 1, 2022 and October 2, 2021, respectively. Net product sales decreased $61.3 million, or 4.6%, in the nine months ended October 1, 2022 compared to the nine months ended October 2, 2021, primarily due to a $69.0 million, or 7.4% decrease in eyeglass sales which was partially offset by a $4.3 million, or 1.5% increase in contact lens sales and $3.5 million, or 3.4% increase in wholesale fulfillment.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of services and plans for the nine months ended October 1, 2022 decreased $3.9 million, or 1.4%, compared to the nine months ended October 2, 2021, driven primarily by a $5.6 million, or 17.1% decrease in management fees from our Legacy partner, which was partially offset by higher exam revenues of $2.0 million, or 1.4% increase.</w:t>
      </w:r>
    </w:p>
    <w:p>
      <w:pPr>
        <w:spacing w:after="0" w:line="66"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net revenue. </w:t>
      </w:r>
      <w:r>
        <w:rPr>
          <w:rFonts w:ascii="Times New Roman" w:cs="Times New Roman" w:eastAsia="Times New Roman" w:hAnsi="Times New Roman"/>
          <w:sz w:val="18"/>
          <w:szCs w:val="18"/>
          <w:color w:val="auto"/>
        </w:rPr>
        <w:t>Net revenue decreased $73.4 million, or 5.6%, driven primarily by negative comparable store sales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new store openings.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Legacy segment net revenue. </w:t>
      </w:r>
      <w:r>
        <w:rPr>
          <w:rFonts w:ascii="Times New Roman" w:cs="Times New Roman" w:eastAsia="Times New Roman" w:hAnsi="Times New Roman"/>
          <w:sz w:val="18"/>
          <w:szCs w:val="18"/>
          <w:color w:val="auto"/>
        </w:rPr>
        <w:t>Net revenue decreased $11.4 million, or 8.9%, driven by negative comparable store sales growth.</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Corporate/Other segment net revenue. </w:t>
      </w:r>
      <w:r>
        <w:rPr>
          <w:rFonts w:ascii="Times New Roman" w:cs="Times New Roman" w:eastAsia="Times New Roman" w:hAnsi="Times New Roman"/>
          <w:sz w:val="18"/>
          <w:szCs w:val="18"/>
          <w:color w:val="auto"/>
        </w:rPr>
        <w:t>Net revenue increased $4.7 million, or 2.6%, driven primarily by increases in wholesale fulfillment.</w:t>
      </w:r>
    </w:p>
    <w:p>
      <w:pPr>
        <w:spacing w:after="0" w:line="11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 reconciliations. </w:t>
      </w:r>
      <w:r>
        <w:rPr>
          <w:rFonts w:ascii="Times New Roman" w:cs="Times New Roman" w:eastAsia="Times New Roman" w:hAnsi="Times New Roman"/>
          <w:sz w:val="18"/>
          <w:szCs w:val="18"/>
          <w:color w:val="auto"/>
        </w:rPr>
        <w:t>The impact of reconciliations positively impacted net revenue by $14.9 million in the nine months ended October 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October 2, 2021. Net revenue was negatively impacted by $0.2 million due to the timing of unearned revenue. Net revenue was positively impacted by $15.1 million due to lower sales of product protection plan and club memberships in the nine months ended October 1,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applicable to revenue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applicable to revenue of $703.4 million for the nine months ended October 1, 2022 increased $16.3 million, or 2.4%, from $687.1 million for the nine months ended October 2, 2021. As a percentage of net revenue, costs applicable to revenue increased from 42.9% for the nine months ended October 2, 2021 to 45.8% for the nine months ended October 1, 2022. This increase as a percentage of net revenue was primarily driven by higher growth in optometrist-related costs, reduced eyeglass mix and lower eyeglass margin.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products as a percentage of net product sales increased from 36.6% for the nine months ended October 2, 2021 to 38.6% for the nine months ended October 1, 2022, primarily driven by reduced eyeglass mix and lower eyeglass margin.</w:t>
      </w:r>
    </w:p>
    <w:p>
      <w:pPr>
        <w:spacing w:after="0" w:line="52"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products. </w:t>
      </w:r>
      <w:r>
        <w:rPr>
          <w:rFonts w:ascii="Times New Roman" w:cs="Times New Roman" w:eastAsia="Times New Roman" w:hAnsi="Times New Roman"/>
          <w:sz w:val="18"/>
          <w:szCs w:val="18"/>
          <w:color w:val="auto"/>
        </w:rPr>
        <w:t>Costs of products as a percentage of net product sales increased from 27.2%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 2021 to 28.9% for the nine months ended October 1, 2022 driven by reduced eyeglass mix and lower eyeglass margin.</w:t>
      </w:r>
    </w:p>
    <w:p>
      <w:pPr>
        <w:spacing w:after="0" w:line="5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products. </w:t>
      </w:r>
      <w:r>
        <w:rPr>
          <w:rFonts w:ascii="Times New Roman" w:cs="Times New Roman" w:eastAsia="Times New Roman" w:hAnsi="Times New Roman"/>
          <w:sz w:val="18"/>
          <w:szCs w:val="18"/>
          <w:color w:val="auto"/>
        </w:rPr>
        <w:t>Costs of products as a percentage of net product sales decreased from 47.7% for the nine months ended October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47.3% for the nine months ended October 1, 2022. The decrease was primarily driven by a higher mix of managed care customer transactions versus non-managed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Increases in managed care mix decrease costs of products as a percentage of net product sales and have a corresponding negative impact on costs of services as a percentage of net sales of services and plans in our Legacy segment.</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of services and plans as a percentage of net sales of services and plans increased from 73.5% for the nine months ended October 2, 2021 to 79.4% for the nine months ended October 1, 2022. The increase was primarily driven by higher growth in optometrist-related costs, which were partially offset by higher eye exam revenue.</w:t>
      </w:r>
    </w:p>
    <w:p>
      <w:pPr>
        <w:spacing w:after="0" w:line="66"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Owned &amp; Host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76.5%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October 2, 2021 to 86.6% for the nine months ended October 1, 2022. The increase was primarily driven by higher growth in optometrist-related costs, which were partially offset by higher eye exam revenue.</w:t>
      </w:r>
    </w:p>
    <w:p>
      <w:pPr>
        <w:spacing w:after="0" w:line="65"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Legacy segment costs of services and plans. </w:t>
      </w:r>
      <w:r>
        <w:rPr>
          <w:rFonts w:ascii="Times New Roman" w:cs="Times New Roman" w:eastAsia="Times New Roman" w:hAnsi="Times New Roman"/>
          <w:sz w:val="18"/>
          <w:szCs w:val="18"/>
          <w:color w:val="auto"/>
        </w:rPr>
        <w:t>Costs of services and plans as a percentage of net sales of services and plans increased from 39.0%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October 2, 2021 to 43.4% for the nine months ended October 1, 2022. The increase was primarily driven by higher growth in optometrist-related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of $681.4 million for the nine months ended October 1, 2022 increased $5.4 million, or 0.8%, from the nine months ended October 2, 2021. As a percentage of net revenue, SG&amp;A increased from 42.2% for the nine months ended October 2, 2021 to 44.3% for the nine months ended October 1, 2022. The increase in SG&amp;A as a percentage of net revenue was primarily driven by store payroll, corporate expenses, including travel and entertainment, and occupancy expense, partially offset by lower performance-based incentive compensation and lower advertising expense. SG&amp;A for the nine months ended October 1, 2022 and October 2, 2021 includes $0.6 million and $1.4 million, respectively, of incremental costs directly related to adapting the Company’s operations during the COVID-19 pandemic.</w:t>
      </w:r>
    </w:p>
    <w:p>
      <w:pPr>
        <w:spacing w:after="0" w:line="77"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Owned &amp; Host SG&amp;A. </w:t>
      </w:r>
      <w:r>
        <w:rPr>
          <w:rFonts w:ascii="Times New Roman" w:cs="Times New Roman" w:eastAsia="Times New Roman" w:hAnsi="Times New Roman"/>
          <w:sz w:val="18"/>
          <w:szCs w:val="18"/>
          <w:color w:val="auto"/>
        </w:rPr>
        <w:t>SG&amp;A as a percentage of net revenue increased from 35.6% for the nine months ended October 2, 2021 to 38.1%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1, 2022, driven primarily by higher payroll and occupancy expense, partially offset by lower advertising expense.</w:t>
      </w:r>
    </w:p>
    <w:p>
      <w:pPr>
        <w:spacing w:after="0" w:line="5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Legacy segment SG&amp;A. </w:t>
      </w:r>
      <w:r>
        <w:rPr>
          <w:rFonts w:ascii="Times New Roman" w:cs="Times New Roman" w:eastAsia="Times New Roman" w:hAnsi="Times New Roman"/>
          <w:sz w:val="18"/>
          <w:szCs w:val="18"/>
          <w:color w:val="auto"/>
        </w:rPr>
        <w:t>SG&amp;A as a percentage of net revenue increased from 33.9% for the nine months ended October 2, 2021 to 37.8%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October 1, 2022 driven primarily by higher payroll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$75.2 million for the nine months ended October 1, 2022 increased $2.6 million, or 3.6%, from $72.6 million for the nine months ended October 2, 2021 primarily driven by new store openings.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impairment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recognized $5.2 million for impairment of tangible long-lived assets and ROU assets associated with our retail stores during the nine months ended October 1, 2022 compared to $1.5 million recognized during the nine months ended October 2, 2021. The store asset impairment charge is primarily related to our Owned &amp; Host segment and is driven by lower than projected customer sales volume in certain stores, and other entity-specific assumptions. We considered multiple factors including, but not limited to: forecasted scenarios related to store performance and the likelihood that these scenarios would be ultimately realized; and the remaining useful lives of the assets. Asset impairment expenses were recognized in Corporate/Other.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gain of $2.4 million in Other expense (income), net for the nine months ended October 2, 2021 in connection with the acquisition of its former equity method investee by a third party. See Note 1. “Description of Business and Basis of Presentation” for further details.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(income), net was $(2.2) million for the nine months ended October 1, 2022, compared to $22.3 million for the nine months ended October 2, 2021. The change was primarily driven by gains of $16.7 million on our interest rate collar as a result of increasing interest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rates for the nine months ended October 1, 2022 and October 2, 2021 were 29.8% and 15.7%, respectively, reflecting our statutory federal and state rate of 25.5% and effects of other permanent items, discrete benefits from stock option exercises of $13.6 million as well as a stranded tax effect of $2.1 million associated with our matured interest rate swaps during the nine months ended October 2,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 Adjusted Operating Margin, EBITDA, Adjusted EBITDA, Adjusted EBITDA Margin and Adjusted Diluted EPS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define Adjusted Operating Income as net income, plus interest expense (income), net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certain other expenses. We define Adjusted Operating Margin as Adjusted Operating Income as a percentage of net revenue. We define EBITDA as net income, plus interest expense (income), net, income tax provision (benefit) and depreciation and amortization. We define Adjusted EBITDA as net income, plus interest expense (income), net, income tax provision (benefit) and depreciation and amortization, further adjusted to exclude stock compensation expense, loss on extinguishment of debt, asset impairment, litigation settlement, secondary offering expenses, management realignment expenses, long-term incentive plan expenses, and certain other expenses. We define Adjusted EBITDA Margin as Adjusted EBITDA as a percentage of net revenue. 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amortization of acquisition intangibles, amortization of debt discounts and deferred financing costs of our term loan borrowings, amortization of the conversion feature and deferred financing costs related to our 2025 Notes when not required under U.S. GAAP to be added back for diluted earnings per share, losses (gains) on change in fair value of derivatives, certain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costs or cash outlays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the interest expense (income), or the cash requirements necessary to service interest or principal payments, on our debt;</w:t>
      </w: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Operating Income do not reflect period to period changes in taxes, income tax provision or the cash necessary to pay income taxes;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impact of earnings or charges resulting from matters we consider not to be indicative of our ongoing operations;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these limitations, EBITDA and the Company Non-GAAP Measures should not be considered as measures of discretionary cash available to invest in business growth or to reduce indebtedness.</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Adjusted Operating Income, Adjusted Operating Margin, EBITDA, Adjusted EBITDA, Adjusted EBITDA Margin to net income; and Adjusted Diluted EPS for the periods presented: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7"/>
          </w:tcPr>
          <w:p>
            <w:pPr>
              <w:ind w:left="240"/>
              <w:spacing w:after="0"/>
              <w:rPr>
                <w:sz w:val="20"/>
                <w:szCs w:val="20"/>
                <w:color w:val="auto"/>
              </w:rPr>
            </w:pPr>
            <w:r>
              <w:rPr>
                <w:rFonts w:ascii="Times New Roman" w:cs="Times New Roman" w:eastAsia="Times New Roman" w:hAnsi="Times New Roman"/>
                <w:sz w:val="18"/>
                <w:szCs w:val="18"/>
                <w:color w:val="auto"/>
              </w:rPr>
              <w:t>Three Months Ended</w:t>
            </w: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October 1, 2022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October 2, 2021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October 1, 2022</w:t>
            </w:r>
          </w:p>
        </w:tc>
        <w:tc>
          <w:tcPr>
            <w:tcW w:w="220" w:type="dxa"/>
            <w:vAlign w:val="bottom"/>
          </w:tcPr>
          <w:p>
            <w:pPr>
              <w:spacing w:after="0"/>
              <w:rPr>
                <w:sz w:val="19"/>
                <w:szCs w:val="19"/>
                <w:color w:val="auto"/>
              </w:rPr>
            </w:pPr>
          </w:p>
        </w:tc>
        <w:tc>
          <w:tcPr>
            <w:tcW w:w="1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October 2, 2021</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(c)</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(f)</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(1,512)</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56"/>
        </w:trPr>
        <w:tc>
          <w:tcPr>
            <w:tcW w:w="3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Operating Income / Adjusted</w:t>
            </w:r>
          </w:p>
        </w:tc>
        <w:tc>
          <w:tcPr>
            <w:tcW w:w="3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21,463</w:t>
            </w: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94,547</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187,985</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3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340" w:type="dxa"/>
            <w:vAlign w:val="bottom"/>
            <w:gridSpan w:val="3"/>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10.6 %</w:t>
            </w:r>
          </w:p>
        </w:tc>
        <w:tc>
          <w:tcPr>
            <w:tcW w:w="320" w:type="dxa"/>
            <w:vAlign w:val="bottom"/>
            <w:gridSpan w:val="3"/>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60"/>
              <w:spacing w:after="0" w:line="147" w:lineRule="exact"/>
              <w:rPr>
                <w:sz w:val="20"/>
                <w:szCs w:val="20"/>
                <w:color w:val="auto"/>
              </w:rPr>
            </w:pPr>
            <w:r>
              <w:rPr>
                <w:rFonts w:ascii="Times New Roman" w:cs="Times New Roman" w:eastAsia="Times New Roman" w:hAnsi="Times New Roman"/>
                <w:sz w:val="14"/>
                <w:szCs w:val="14"/>
                <w:color w:val="auto"/>
              </w:rPr>
              <w:t>Note: Percentages reflect line item as a percentage of net</w:t>
            </w: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gridSpan w:val="2"/>
            <w:vMerge w:val="restart"/>
          </w:tcPr>
          <w:p>
            <w:pPr>
              <w:ind w:left="140"/>
              <w:spacing w:after="0" w:line="147" w:lineRule="exact"/>
              <w:rPr>
                <w:sz w:val="20"/>
                <w:szCs w:val="20"/>
                <w:color w:val="auto"/>
              </w:rPr>
            </w:pPr>
            <w:r>
              <w:rPr>
                <w:rFonts w:ascii="Times New Roman" w:cs="Times New Roman" w:eastAsia="Times New Roman" w:hAnsi="Times New Roman"/>
                <w:sz w:val="14"/>
                <w:szCs w:val="14"/>
                <w:color w:val="auto"/>
              </w:rPr>
              <w:t>for rounding</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3320" w:type="dxa"/>
            <w:vAlign w:val="bottom"/>
            <w:gridSpan w:val="2"/>
            <w:vMerge w:val="continue"/>
          </w:tcPr>
          <w:p>
            <w:pPr>
              <w:spacing w:after="0"/>
              <w:rPr>
                <w:sz w:val="9"/>
                <w:szCs w:val="9"/>
                <w:color w:val="auto"/>
              </w:rPr>
            </w:pPr>
          </w:p>
        </w:tc>
        <w:tc>
          <w:tcPr>
            <w:tcW w:w="960" w:type="dxa"/>
            <w:vAlign w:val="bottom"/>
            <w:gridSpan w:val="3"/>
          </w:tcPr>
          <w:p>
            <w:pPr>
              <w:jc w:val="right"/>
              <w:spacing w:after="0" w:line="106" w:lineRule="exact"/>
              <w:rPr>
                <w:sz w:val="20"/>
                <w:szCs w:val="20"/>
                <w:color w:val="auto"/>
              </w:rPr>
            </w:pPr>
            <w:r>
              <w:rPr>
                <w:rFonts w:ascii="Times New Roman" w:cs="Times New Roman" w:eastAsia="Times New Roman" w:hAnsi="Times New Roman"/>
                <w:sz w:val="12"/>
                <w:szCs w:val="12"/>
                <w:color w:val="auto"/>
              </w:rPr>
              <w:t>revenue, adjusted</w:t>
            </w: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5240" w:type="dxa"/>
            <w:vAlign w:val="bottom"/>
            <w:gridSpan w:val="7"/>
          </w:tcPr>
          <w:p>
            <w:pPr>
              <w:ind w:left="6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3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October 1, 2022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October 2, 2021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October 1, 2022</w:t>
            </w:r>
          </w:p>
        </w:tc>
        <w:tc>
          <w:tcPr>
            <w:tcW w:w="220" w:type="dxa"/>
            <w:vAlign w:val="bottom"/>
          </w:tcPr>
          <w:p>
            <w:pPr>
              <w:spacing w:after="0"/>
              <w:rPr>
                <w:sz w:val="19"/>
                <w:szCs w:val="19"/>
                <w:color w:val="auto"/>
              </w:rPr>
            </w:pPr>
          </w:p>
        </w:tc>
        <w:tc>
          <w:tcPr>
            <w:tcW w:w="1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October 2, 2021</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75,248</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72,639</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40,211</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75,770</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70"/>
        </w:trPr>
        <w:tc>
          <w:tcPr>
            <w:tcW w:w="3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(f)</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155"/>
        </w:trPr>
        <w:tc>
          <w:tcPr>
            <w:tcW w:w="31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Adjusted EBITDA / Adjusted EBITDA</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44,443</w:t>
            </w: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2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77,923</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2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164,179</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255,008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gridSpan w:val="2"/>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40" w:type="dxa"/>
            <w:vAlign w:val="bottom"/>
            <w:tcBorders>
              <w:bottom w:val="single" w:sz="8" w:color="auto"/>
            </w:tcBorders>
            <w:gridSpan w:val="2"/>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bl>
    <w:p>
      <w:pPr>
        <w:ind w:left="140"/>
        <w:spacing w:after="0" w:line="231" w:lineRule="auto"/>
        <w:rPr>
          <w:sz w:val="20"/>
          <w:szCs w:val="20"/>
          <w:color w:val="auto"/>
        </w:rPr>
      </w:pPr>
      <w:r>
        <w:rPr>
          <w:rFonts w:ascii="Times New Roman" w:cs="Times New Roman" w:eastAsia="Times New Roman" w:hAnsi="Times New Roman"/>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-80645</wp:posOffset>
            </wp:positionV>
            <wp:extent cx="6261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611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-80645</wp:posOffset>
            </wp:positionV>
            <wp:extent cx="6254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-80645</wp:posOffset>
            </wp:positionV>
            <wp:extent cx="6172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-80645</wp:posOffset>
            </wp:positionV>
            <wp:extent cx="6769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709"/>
        </w:trPr>
        <w:tc>
          <w:tcPr>
            <w:tcW w:w="1280" w:type="dxa"/>
            <w:vAlign w:val="bottom"/>
            <w:tcBorders>
              <w:top w:val="single" w:sz="8" w:color="0000FF"/>
            </w:tcBorders>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w:t>
            </w:r>
          </w:p>
        </w:tc>
        <w:tc>
          <w:tcPr>
            <w:tcW w:w="620" w:type="dxa"/>
            <w:vAlign w:val="bottom"/>
            <w:tcBorders>
              <w:bottom w:val="single" w:sz="8" w:color="auto"/>
            </w:tcBorders>
          </w:tcPr>
          <w:p>
            <w:pPr>
              <w:spacing w:after="0"/>
              <w:rPr>
                <w:sz w:val="24"/>
                <w:szCs w:val="24"/>
                <w:color w:val="auto"/>
              </w:rPr>
            </w:pPr>
          </w:p>
        </w:tc>
      </w:tr>
      <w:tr>
        <w:trPr>
          <w:trHeight w:val="22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2, 2021</w:t>
            </w:r>
          </w:p>
        </w:tc>
        <w:tc>
          <w:tcPr>
            <w:tcW w:w="12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October 1, 2022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23"/>
        </w:trPr>
        <w:tc>
          <w:tcPr>
            <w:tcW w:w="5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 compensation expense </w:t>
            </w:r>
            <w:r>
              <w:rPr>
                <w:rFonts w:ascii="Times New Roman" w:cs="Times New Roman" w:eastAsia="Times New Roman" w:hAnsi="Times New Roman"/>
                <w:sz w:val="23"/>
                <w:szCs w:val="23"/>
                <w:color w:val="auto"/>
                <w:vertAlign w:val="superscript"/>
              </w:rPr>
              <w:t>(a)</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Asset impairment </w:t>
            </w:r>
            <w:r>
              <w:rPr>
                <w:rFonts w:ascii="Times New Roman" w:cs="Times New Roman" w:eastAsia="Times New Roman" w:hAnsi="Times New Roman"/>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 intangibles </w:t>
            </w:r>
            <w:r>
              <w:rPr>
                <w:rFonts w:ascii="Times New Roman" w:cs="Times New Roman" w:eastAsia="Times New Roman" w:hAnsi="Times New Roman"/>
                <w:sz w:val="23"/>
                <w:szCs w:val="23"/>
                <w:color w:val="auto"/>
                <w:vertAlign w:val="superscript"/>
              </w:rPr>
              <w:t>(c)</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debt discount and deferred financing costs </w:t>
            </w:r>
            <w:r>
              <w:rPr>
                <w:rFonts w:ascii="Times New Roman" w:cs="Times New Roman" w:eastAsia="Times New Roman" w:hAnsi="Times New Roman"/>
                <w:sz w:val="23"/>
                <w:szCs w:val="23"/>
                <w:color w:val="auto"/>
                <w:vertAlign w:val="superscript"/>
              </w:rPr>
              <w:t>(d)</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Losses (gains) on change in fair value of derivatives </w:t>
            </w:r>
            <w:r>
              <w:rPr>
                <w:rFonts w:ascii="Times New Roman" w:cs="Times New Roman" w:eastAsia="Times New Roman" w:hAnsi="Times New Roman"/>
                <w:sz w:val="23"/>
                <w:szCs w:val="23"/>
                <w:color w:val="auto"/>
                <w:vertAlign w:val="superscript"/>
              </w:rPr>
              <w:t>(e)</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(i)</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5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benefit of stock option exercises </w:t>
            </w:r>
            <w:r>
              <w:rPr>
                <w:rFonts w:ascii="Times New Roman" w:cs="Times New Roman" w:eastAsia="Times New Roman" w:hAnsi="Times New Roman"/>
                <w:sz w:val="23"/>
                <w:szCs w:val="23"/>
                <w:color w:val="auto"/>
                <w:vertAlign w:val="superscript"/>
              </w:rPr>
              <w:t>(g)</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56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effect of total adjustments </w:t>
            </w:r>
            <w:r>
              <w:rPr>
                <w:rFonts w:ascii="Times New Roman" w:cs="Times New Roman" w:eastAsia="Times New Roman" w:hAnsi="Times New Roman"/>
                <w:sz w:val="23"/>
                <w:szCs w:val="23"/>
                <w:color w:val="auto"/>
                <w:vertAlign w:val="superscript"/>
              </w:rPr>
              <w:t>(h)</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23"/>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Diluted EPS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shares outstanding</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79,304</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93,477</w:t>
            </w: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96,193</w:t>
            </w:r>
          </w:p>
        </w:tc>
      </w:tr>
      <w:tr>
        <w:trPr>
          <w:trHeight w:val="16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Note: Some of the totals in the table above do not foot due to rounding differences</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9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charges related to stock-based compensation programs, which vary from period to period depending on the timing of awards and performance vesting conditions.</w:t>
      </w:r>
    </w:p>
    <w:p>
      <w:pPr>
        <w:spacing w:after="0" w:line="17"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write-off of property, equipment and lease-related assets on closed or underperforming stores.</w:t>
      </w:r>
    </w:p>
    <w:p>
      <w:pPr>
        <w:spacing w:after="0" w:line="11" w:lineRule="exact"/>
        <w:rPr>
          <w:rFonts w:ascii="Times New Roman" w:cs="Times New Roman" w:eastAsia="Times New Roman" w:hAnsi="Times New Roman"/>
          <w:sz w:val="14"/>
          <w:szCs w:val="14"/>
          <w:color w:val="auto"/>
        </w:rPr>
      </w:pPr>
    </w:p>
    <w:p>
      <w:pPr>
        <w:ind w:left="660" w:right="660" w:hanging="328"/>
        <w:spacing w:after="0" w:line="261" w:lineRule="auto"/>
        <w:tabs>
          <w:tab w:leader="none" w:pos="65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increase in carrying values of finite-lived intangible assets resulting from the application of purchase accounting following the acquisition of the Company by affiliates of KKR &amp; Co. Inc.</w:t>
      </w:r>
    </w:p>
    <w:p>
      <w:pPr>
        <w:ind w:left="660" w:right="660" w:hanging="328"/>
        <w:spacing w:after="0" w:line="254"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deferred financing costs and other non-cash charges related to our long-term debt. We adjust for amortization of deferred financing costs related to the 2025 Notes only when adjustment for these costs is not required in the calculation of diluted earnings per share under U.S. GAAP.</w:t>
      </w:r>
    </w:p>
    <w:p>
      <w:pPr>
        <w:ind w:left="660" w:hanging="328"/>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losses (gains) recognized in interest expense (income), net on change in fair value of de-designated hedges.</w:t>
      </w:r>
    </w:p>
    <w:p>
      <w:pPr>
        <w:spacing w:after="0" w:line="11" w:lineRule="exact"/>
        <w:rPr>
          <w:rFonts w:ascii="Times New Roman" w:cs="Times New Roman" w:eastAsia="Times New Roman" w:hAnsi="Times New Roman"/>
          <w:sz w:val="14"/>
          <w:szCs w:val="14"/>
          <w:color w:val="auto"/>
        </w:rPr>
      </w:pPr>
    </w:p>
    <w:p>
      <w:pPr>
        <w:jc w:val="both"/>
        <w:ind w:left="660" w:right="640" w:hanging="328"/>
        <w:spacing w:after="0" w:line="257" w:lineRule="auto"/>
        <w:tabs>
          <w:tab w:leader="none" w:pos="6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include amounts that management believes are not representative of our operating performance (amounts in brackets represent reductions in Adjusted Operating Income, Adjusted Diluted EPS and Adjusted EBITDA), which are primarily related to excess payroll taxes on stock option exercises, executive severance and relocation and other expenses and adjustments, including our share of (gains) losses on equity method investments of $(2.4) million for each of the three and nine months ended October 2, 2021, and losses on other investments of $0.3 million for the nine months ended October 1, 2022.</w:t>
      </w:r>
    </w:p>
    <w:p>
      <w:pPr>
        <w:spacing w:after="0" w:line="2" w:lineRule="exact"/>
        <w:rPr>
          <w:rFonts w:ascii="Times New Roman" w:cs="Times New Roman" w:eastAsia="Times New Roman" w:hAnsi="Times New Roman"/>
          <w:sz w:val="14"/>
          <w:szCs w:val="14"/>
          <w:color w:val="auto"/>
        </w:rPr>
      </w:pPr>
    </w:p>
    <w:p>
      <w:pPr>
        <w:ind w:left="660" w:right="660" w:hanging="328"/>
        <w:spacing w:after="0" w:line="259"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of the total adjustments at our combined statutory federal and state income tax rates.</w:t>
      </w:r>
    </w:p>
    <w:p>
      <w:pPr>
        <w:spacing w:after="0" w:line="14" w:lineRule="exact"/>
        <w:rPr>
          <w:rFonts w:ascii="Times New Roman" w:cs="Times New Roman" w:eastAsia="Times New Roman" w:hAnsi="Times New Roman"/>
          <w:sz w:val="14"/>
          <w:szCs w:val="14"/>
          <w:color w:val="auto"/>
        </w:rPr>
      </w:pPr>
    </w:p>
    <w:p>
      <w:pPr>
        <w:ind w:left="660" w:right="660" w:hanging="328"/>
        <w:spacing w:after="0" w:line="283" w:lineRule="auto"/>
        <w:tabs>
          <w:tab w:leader="none" w:pos="64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other expenses in (f) above, including the impact of stranded tax effect of $(2.1) million for the nine months ended October 2, 2021 associated with our interest rate swaps that matured in 2021, and $0.1 million debt issuance costs for the nine months ended October 2,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primary cash needs are for inventory, payroll, store rent, advertising, capital expenditures associated with new stores and updating existing stores, as well as information and remote medicine technology and infrastructure, including our corporate office, distribution centers, and laboratories. When appropriate, the Company may utilize excess liquidity towards debt service requirements, including voluntary debt prepayments, or required interest and principal payments, if any, as well as repurchases of common stock, based on excess cash flows. We continue to prioritize the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We exercise prudence in our use of cash and closely monitor various items related to cash flow including, but not limited to, cash receipts, cash disbursements, payment terms and alternative sources of funding. We continue to be focused on these items in addition to other key measures we use to determine how our consolidated business and operating segments are performing. We believe that cash on hand, cash expected to be generated from operations and the availability of borrowings under our revolving credit facility will be sufficient to fund our working capital requirements, liquidity obligations, anticipated capital expenditures, and payments due under our existing debt for the next 12 months and thereafter for the foreseeable future. Depending on our liquidity levels, conditions in the capital markets and other factors, we may from time to time consider the refinancing or issuance of debt, issuance of equity or other securities, the proceeds of which could provide additional liquidity for our operations, as well as further modifications to our term loan where possible. However, our ability to maintain sufficient liquidity may be affected by numerous factors, many of which are outside our control. We primarily fund our working capital needs using cash provided by operations. Our working capital requirements for inventory will increase as we continue to open additional stores.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1, 2022, we had $256.2 million in cash and cash equivalents and $293.6 million of availability under our revolving credit facility, which includes $6.4 million in outstanding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1, 2022, we had $150.0 million of term loan outstanding under our credit agreement. We were in compliance with all covenants related to our long-term debt as of October 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provided by (used for) operating activities, investing activities and financing activities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October 1, 2022</w:t>
            </w:r>
          </w:p>
        </w:tc>
        <w:tc>
          <w:tcPr>
            <w:tcW w:w="260" w:type="dxa"/>
            <w:vAlign w:val="bottom"/>
          </w:tcPr>
          <w:p>
            <w:pPr>
              <w:spacing w:after="0"/>
              <w:rPr>
                <w:sz w:val="19"/>
                <w:szCs w:val="19"/>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October 2, 2021</w:t>
            </w: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for):</w:t>
            </w: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121,337</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233,807</w:t>
            </w:r>
          </w:p>
        </w:tc>
      </w:tr>
      <w:tr>
        <w:trPr>
          <w:trHeight w:val="229"/>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(86,067)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(56,445)</w:t>
            </w:r>
          </w:p>
        </w:tc>
      </w:tr>
      <w:tr>
        <w:trPr>
          <w:trHeight w:val="229"/>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(84,624)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(112,065)</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(49,354)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flows provided by operating activities decreased $112.5 million from $233.8 million during the nine months ended October 2, 2021 to $121.3 million for the nine months ended October 1, 2022 as a result of $70.6 million lower net income as compared to the nine months ended October 2, 2021 and a decrease of non-cash expense adjustments of $28.5 million and changes in net working capital and other assets and liabilities, which used $13.3 million in cash compared to the nine months ended October 2, 2021. Decreases in deferred and unearned revenue used $14.9 million in year-over-year cash, primarily as a result of lower sales of product protection plans and club memberships in the current period. Increases in accounts receivable used $11.6 million in year-over-year cash primarily due to other receivables. Decreases in accounts payable during the nine months ended October 1, 2022 used $6.6 million in year-over-year cash, primarily due to timing of payments. Decreases in other liabilities during the nine months ended October 1, 2022 used $5.1 million in year-over-year cash primarily due to compensation related and advertising accruals, partially offset by increases in payroll and income taxes payable. Offsetting these items were decreases in inventories which contributed $14.3 million in year-over-year cash, primarily due to timing of purchases. Decreases in other assets during the nine months ended October 1, 2022 contributed $9.9 million in year-over-year cash consisting primarily of decreases in income tax related receivables.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Investing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increased by $29.6 million, to $86.1 million, during the nine months ended October 1, 2022 from $56.4 million during the nine months ended October 2, 2021. The increase was primarily due to increased capital investments in remote medicine, new store openings, and doctor and lab equipment. Approximately 80% of our capital spend is related to our expected growth (i.e., new stores, remote medicine infrastructure, optometric equipment, additional capacity in our optical laboratories and distribution centers, and our IT infrastructure, including omni-channel platform related investments).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For 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for financing activities was $84.6 million during the nine months ended October 1, 2022 as compared to the use of cash of $112.1 million during the nine months ended October 2, 2021. The decrease in cash used for financing activities was primarily due to voluntary term loan prepayments of $117.4 million during the nine months ended October 2, 2021 that did not recur in the current period, partially offset by increases in purchases of treasury stock of $82.3 million and decreases in proceeds from issuance of common stock of $8.7 million during the nine months ended October 1,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Authority</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October 1, 2022, the Company repurchased approximately 2.7 million shares of its common stock for $80.0 million under the share repurchase program. After these repurchases, $50.0 million remains available under the share repurchase authorization.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outside the ordinary course of business in our material cash requirements and commercial commitments from those reported in the 2021 Annual Report on Form 10-K.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the 2021 Annual Report on form 10-K. We are not a party to any other material off-balance sheet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2021 Annual Report on Form 10-K, in the “Critical Accounting Policies and Estimates” section of “Management’s Discussion and Analysis of Financial Condition and Results of Operations.” Except for the item discussed below, there have been no material changes to our critical accounting policies as compared to the critical accounting policies described in the 2021 Annual Report on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rates, which are an input to our fair value estimation process for goodwill impairment testing, have increased in 2022. If interest rates continue to increase, future impairments could be possible in our Legacy segment, which would negatively affect the Company’s earnings.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“Description of Business and Basis of Presentation” to our unaudited condensed consolidated financial statements under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heading “Future Adoption Accounting Pronouncements” of this Form 10-Q for a discussion of recently issued accounting pronouncements.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and Note 5. “Interest Rate Derivatives” to our unaudited condensed consolidated financial statements included in Part I. Item 1. of this Form 10-Q.</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Our interest rate collar is intended to mitigate some of the effects of increases in interest rates.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1, 2022, $150.0 million of term loan borrowings were subject to variable interest rates, with a weighted average borrowing rate of 3.1%. An increase to market rates of 1.0% as of October 1, 2022 would not result in an increase to interest expense. Assuming a decrease to market rates of 1.0% as of October 1, 2022, the resulting increase to interest expense related to the interest rate derivative would be approximately $5 million. For more information about quantitative and qualitative disclosures about market risk, please see Item 7A. “Quantitative and Qualitative Disclosures About Market Risk” in Part II. of the 2021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October 1, 2022. Based on that evaluation, the CEO and the CFO have concluded that the Company’s current disclosure controls and procedures are effective in ensuring that material information relating to the Company required to be disclosed in the Company’s periodic filings with the SEC is made known to them in a timely manner.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of the Exchange Act that occurred during the third quarter of fiscal year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information regarding factors that could affect the Company’s results of operations, financial condition and liquidity, see the risk factors discussed in Part I. Item 1A. “Risk Factors” in our 2021 Annual Report on Form 10-K. There have been no material changes to the risk factors described in our 2021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November 8, 2021, the Company’s Board of Directors authorized the Company to repurchase up to $50 million aggregate amount of shares of the Company’s common stock. On November 29, 2021 and February 23, 2022, the Board authorized increases of $50 million and $100 million, respectively, to the share repurchase program for a total authorization of $200 million. The share repurchase authorization expires on December 30, 2023. As of October 1, 2022 $50.0 million remains available under the share repurchase authorization. The timing and amounts of any such repurchases will depend on a variety of factors, including the market price of the Company’s shares and general market and economic conditions.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80" w:type="dxa"/>
            <w:vAlign w:val="bottom"/>
          </w:tcPr>
          <w:p>
            <w:pPr>
              <w:spacing w:after="0"/>
              <w:rPr>
                <w:sz w:val="17"/>
                <w:szCs w:val="17"/>
                <w:color w:val="auto"/>
              </w:rPr>
            </w:pPr>
          </w:p>
        </w:tc>
      </w:tr>
      <w:tr>
        <w:trPr>
          <w:trHeight w:val="668"/>
        </w:trPr>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83"/>
        </w:trPr>
        <w:tc>
          <w:tcPr>
            <w:tcW w:w="3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National Vision Holdings, Inc. -incorporated herein by reference to</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Exhibit 3.1 to the Company’s Current Report on Form 8-K filed on June 10, 2021.</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Third Amended and Restated Bylaws of National Vision Holdings, Inc. -incorporated herein by reference to Exhibit 3.2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Company’s Current Report on Form 8-K filed on June 10, 2021.</w:t>
            </w:r>
          </w:p>
        </w:tc>
      </w:tr>
      <w:tr>
        <w:trPr>
          <w:trHeight w:val="194"/>
        </w:trPr>
        <w:tc>
          <w:tcPr>
            <w:tcW w:w="20" w:type="dxa"/>
            <w:vAlign w:val="bottom"/>
          </w:tcPr>
          <w:p>
            <w:pPr>
              <w:spacing w:after="0"/>
              <w:rPr>
                <w:sz w:val="16"/>
                <w:szCs w:val="16"/>
                <w:color w:val="auto"/>
              </w:rPr>
            </w:pPr>
          </w:p>
        </w:tc>
        <w:tc>
          <w:tcPr>
            <w:tcW w:w="3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 (filed herewith).</w:t>
            </w:r>
          </w:p>
        </w:tc>
      </w:tr>
      <w:tr>
        <w:trPr>
          <w:trHeight w:val="209"/>
        </w:trPr>
        <w:tc>
          <w:tcPr>
            <w:tcW w:w="20" w:type="dxa"/>
            <w:vAlign w:val="bottom"/>
          </w:tcPr>
          <w:p>
            <w:pPr>
              <w:spacing w:after="0"/>
              <w:rPr>
                <w:sz w:val="18"/>
                <w:szCs w:val="18"/>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 (filed herewith).</w:t>
            </w:r>
          </w:p>
        </w:tc>
      </w:tr>
      <w:tr>
        <w:trPr>
          <w:trHeight w:val="209"/>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Oxley Act of 2002 (furnished herewith).</w:t>
            </w:r>
          </w:p>
        </w:tc>
      </w:tr>
      <w:tr>
        <w:trPr>
          <w:trHeight w:val="194"/>
        </w:trPr>
        <w:tc>
          <w:tcPr>
            <w:tcW w:w="3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w w:val="99"/>
              </w:rPr>
              <w:t>Certification of Chief Financial Officer Pursuant to 18 U.S.C. Section 1350 as Adopted Pursuant to Section 906 of the Sarbanes-Oxley</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Act of 2002 (furnished herewith).</w:t>
            </w:r>
          </w:p>
        </w:tc>
      </w:tr>
      <w:tr>
        <w:trPr>
          <w:trHeight w:val="180"/>
        </w:trPr>
        <w:tc>
          <w:tcPr>
            <w:tcW w:w="20" w:type="dxa"/>
            <w:vAlign w:val="bottom"/>
          </w:tcPr>
          <w:p>
            <w:pPr>
              <w:spacing w:after="0"/>
              <w:rPr>
                <w:sz w:val="15"/>
                <w:szCs w:val="15"/>
                <w:color w:val="auto"/>
              </w:rPr>
            </w:pPr>
          </w:p>
        </w:tc>
        <w:tc>
          <w:tcPr>
            <w:tcW w:w="148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embedded within Inline XBRL document</w:t>
            </w:r>
          </w:p>
        </w:tc>
      </w:tr>
      <w:tr>
        <w:trPr>
          <w:trHeight w:val="233"/>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0"/>
        </w:trPr>
        <w:tc>
          <w:tcPr>
            <w:tcW w:w="2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2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of the Company’s Quarterly report on Form 10-Q for the quarter ended October 1, 2022,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November 10, 2022</w:t>
      </w:r>
      <w:r>
        <w:rPr>
          <w:sz w:val="20"/>
          <w:szCs w:val="20"/>
          <w:color w:val="auto"/>
        </w:rPr>
        <w:tab/>
      </w:r>
      <w:r>
        <w:rPr>
          <w:rFonts w:ascii="Times New Roman" w:cs="Times New Roman" w:eastAsia="Times New Roman" w:hAnsi="Times New Roman"/>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47" w:lineRule="exact"/>
        <w:rPr>
          <w:sz w:val="20"/>
          <w:szCs w:val="20"/>
          <w:color w:val="auto"/>
        </w:rPr>
      </w:pPr>
    </w:p>
    <w:p>
      <w:pPr>
        <w:ind w:left="20"/>
        <w:spacing w:after="0"/>
        <w:tabs>
          <w:tab w:leader="none" w:pos="5520" w:val="left"/>
          <w:tab w:leader="none" w:pos="6020" w:val="left"/>
        </w:tabs>
        <w:rPr>
          <w:sz w:val="20"/>
          <w:szCs w:val="20"/>
          <w:color w:val="auto"/>
        </w:rPr>
      </w:pPr>
      <w:r>
        <w:rPr>
          <w:rFonts w:ascii="Times New Roman" w:cs="Times New Roman" w:eastAsia="Times New Roman" w:hAnsi="Times New Roman"/>
          <w:sz w:val="18"/>
          <w:szCs w:val="18"/>
          <w:color w:val="auto"/>
        </w:rPr>
        <w:t>Dated: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Senior Vice President, Chief Operating and Financial Officer</w:t>
      </w:r>
    </w:p>
    <w:p>
      <w:pPr>
        <w:spacing w:after="0" w:line="3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121" w:right="37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October 1, 2022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October 1, 2022 of National Vision Holdings, Inc.;</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R. Moore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Operating and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October 1, 2022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203"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00" w:lineRule="exact"/>
        <w:rPr>
          <w:sz w:val="20"/>
          <w:szCs w:val="20"/>
          <w:color w:val="auto"/>
        </w:rPr>
      </w:pPr>
    </w:p>
    <w:p>
      <w:pPr>
        <w:spacing w:after="0" w:line="30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3660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 Reade Fahs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National Vision Holdings, Inc. (the “Company”) on Form 10-Q for the quarterly period ended October 1, 2022 filed with the Securities and Exchange Commission on the date hereof (the “Report”), I, Patrick R. Moore, Senior Vice President, Chief Operating and Financial Officer of the Company, do hereby certify, pursuant to 18 U.S.C. Section 1350, as adopted pursuant to Section 906 of the Sarbanes-Oxley Act of 2002, that:</w:t>
      </w:r>
    </w:p>
    <w:p>
      <w:pPr>
        <w:spacing w:after="0" w:line="207"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29146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R. Moore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Operating and Financial Officer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decimal"/>
      <w:start w:val="1"/>
    </w:lvl>
    <w:lvl w:ilvl="1">
      <w:lvlJc w:val="left"/>
      <w:lvlText w:val="(%2)"/>
      <w:numFmt w:val="lowerLetter"/>
      <w:start w:val="1"/>
    </w:lvl>
  </w:abstractNum>
  <w:abstractNum w:abstractNumId="8">
    <w:nsid w:val="1BEFD79F"/>
    <w:multiLevelType w:val="hybridMultilevel"/>
    <w:lvl w:ilvl="0">
      <w:lvlJc w:val="left"/>
      <w:lvlText w:val="%1."/>
      <w:numFmt w:val="decimal"/>
      <w:start w:val="9"/>
    </w:lvl>
    <w:lvl w:ilvl="1">
      <w:lvlJc w:val="left"/>
      <w:lvlText w:val="%2"/>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6" Type="http://schemas.openxmlformats.org/officeDocument/2006/relationships/hyperlink" Target="https://www.sec.gov/Archives/edgar/data/1710155/000171015521000036/nationalvision-thirdamende.htm" TargetMode="External"/><Relationship Id="rId67" Type="http://schemas.openxmlformats.org/officeDocument/2006/relationships/hyperlink" Target="https://www.sec.gov/Archives/edgar/data/0001710155/000171015521000036/nationalvisionholdingsin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2022-11-10T06:02:21Z</dcterms:created>
  <dcterms:modified xsi:type="dcterms:W3CDTF">2022-11-10T06:02:21Z</dcterms:modified>
</cp:coreProperties>
</file>