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 xml:space="preserve">FORM 8-K </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10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lineRule="auto" w:line="276" w:before="0" w:after="100"/>
        <w:jc w:val="center"/>
        <w:rPr/>
      </w:pPr>
      <w:r>
        <w:rPr>
          <w:rFonts w:ascii="Arial;sans-serif" w:hAnsi="Arial;sans-serif"/>
          <w:b/>
          <w:color w:val="000000"/>
          <w:sz w:val="20"/>
        </w:rPr>
        <w:t>August 12, 2026</w:t>
      </w:r>
      <w:r>
        <w:rPr>
          <w:color w:val="000000"/>
        </w:rPr>
        <w:t xml:space="preserve"> </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 xml:space="preserve">National Vision Holdings, Inc. </w:t>
      </w:r>
    </w:p>
    <w:p>
      <w:pPr>
        <w:pStyle w:val="TextBody"/>
        <w:bidi w:val="0"/>
        <w:spacing w:lineRule="auto" w:line="276"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40"/>
        <w:jc w:val="center"/>
        <w:rPr>
          <w:rFonts w:ascii="Arial;sans-serif" w:hAnsi="Arial;sans-serif"/>
          <w:b/>
          <w:color w:val="000000"/>
          <w:sz w:val="18"/>
        </w:rPr>
      </w:pPr>
      <w:r>
        <w:rPr>
          <w:rFonts w:ascii="Arial;sans-serif" w:hAnsi="Arial;sans-serif"/>
          <w:b/>
          <w:color w:val="000000"/>
          <w:sz w:val="18"/>
        </w:rPr>
        <w:t xml:space="preserve">001-38257 </w:t>
      </w:r>
    </w:p>
    <w:p>
      <w:pPr>
        <w:pStyle w:val="TextBody"/>
        <w:bidi w:val="0"/>
        <w:spacing w:lineRule="auto" w:line="276" w:before="0" w:after="40"/>
        <w:jc w:val="center"/>
        <w:rPr>
          <w:rFonts w:ascii="Arial;sans-serif" w:hAnsi="Arial;sans-serif"/>
          <w:b w:val="false"/>
          <w:color w:val="000000"/>
          <w:sz w:val="18"/>
        </w:rPr>
      </w:pPr>
      <w:r>
        <w:rPr>
          <w:rFonts w:ascii="Arial;sans-serif" w:hAnsi="Arial;sans-serif"/>
          <w:b w:val="false"/>
          <w:color w:val="000000"/>
          <w:sz w:val="18"/>
        </w:rPr>
        <w:t xml:space="preserve">(Commission file number) </w:t>
      </w:r>
    </w:p>
    <w:tbl>
      <w:tblPr>
        <w:tblW w:w="5155" w:type="dxa"/>
        <w:jc w:val="center"/>
        <w:tblInd w:w="0" w:type="dxa"/>
        <w:tblLayout w:type="fixed"/>
        <w:tblCellMar>
          <w:top w:w="28" w:type="dxa"/>
          <w:left w:w="28" w:type="dxa"/>
          <w:bottom w:w="28" w:type="dxa"/>
          <w:right w:w="28" w:type="dxa"/>
        </w:tblCellMar>
      </w:tblPr>
      <w:tblGrid>
        <w:gridCol w:w="1176"/>
        <w:gridCol w:w="1032"/>
        <w:gridCol w:w="1046"/>
        <w:gridCol w:w="109"/>
        <w:gridCol w:w="109"/>
        <w:gridCol w:w="109"/>
        <w:gridCol w:w="459"/>
        <w:gridCol w:w="459"/>
        <w:gridCol w:w="656"/>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46-4841717</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6000 Avalon Boulevard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Suite 6240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30009</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(770) 822</w:t>
        <w:noBreakHyphen/>
        <w:t xml:space="preserve">3600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2435 Commerce Ave Building 2200 Duluth, Georgia 30096</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lineRule="auto" w:line="276" w:before="100" w:after="12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hanging="36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60" w:after="12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116" w:type="dxa"/>
        <w:jc w:val="left"/>
        <w:tblInd w:w="0" w:type="dxa"/>
        <w:tblLayout w:type="fixed"/>
        <w:tblCellMar>
          <w:top w:w="28" w:type="dxa"/>
          <w:left w:w="28" w:type="dxa"/>
          <w:bottom w:w="28" w:type="dxa"/>
          <w:right w:w="28" w:type="dxa"/>
        </w:tblCellMar>
      </w:tblPr>
      <w:tblGrid>
        <w:gridCol w:w="1363"/>
        <w:gridCol w:w="1194"/>
        <w:gridCol w:w="1207"/>
        <w:gridCol w:w="109"/>
        <w:gridCol w:w="109"/>
        <w:gridCol w:w="109"/>
        <w:gridCol w:w="564"/>
        <w:gridCol w:w="564"/>
        <w:gridCol w:w="566"/>
        <w:gridCol w:w="109"/>
        <w:gridCol w:w="109"/>
        <w:gridCol w:w="109"/>
        <w:gridCol w:w="1170"/>
        <w:gridCol w:w="1170"/>
        <w:gridCol w:w="166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On August 12, 2026, National Vision Holdings, Inc. (“National Vision”) issued a press release announcing financial results for the quarter ended July 4, 2026.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copy of the release is furnished herewith as Exhibit 99.1 and incorporated by reference herein.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pPr>
      <w:r>
        <w:rPr>
          <w:rFonts w:ascii="Arial;sans-serif" w:hAnsi="Arial;sans-serif"/>
          <w:b w:val="false"/>
          <w:color w:val="000000"/>
          <w:sz w:val="20"/>
        </w:rPr>
        <w:t xml:space="preserve">(d) </w:t>
      </w:r>
      <w:r>
        <w:rPr>
          <w:rFonts w:ascii="Arial;sans-serif" w:hAnsi="Arial;sans-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82"/>
        <w:gridCol w:w="335"/>
        <w:gridCol w:w="338"/>
        <w:gridCol w:w="2672"/>
        <w:gridCol w:w="2672"/>
        <w:gridCol w:w="3806"/>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9150" w:type="dxa"/>
            <w:gridSpan w:val="3"/>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q22026earningsrelease.htm">
              <w:r>
                <w:rPr>
                  <w:rStyle w:val="InternetLink"/>
                  <w:rFonts w:ascii="Arial;sans-serif" w:hAnsi="Arial;sans-serif"/>
                  <w:b w:val="false"/>
                  <w:color w:val="0000FF"/>
                  <w:sz w:val="20"/>
                  <w:u w:val="single"/>
                </w:rPr>
                <w:t>99.1</w:t>
              </w:r>
            </w:hyperlink>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 Press Release dated August 12, 2026.</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8018" w:type="dxa"/>
        <w:jc w:val="center"/>
        <w:tblInd w:w="0" w:type="dxa"/>
        <w:tblLayout w:type="fixed"/>
        <w:tblCellMar>
          <w:top w:w="28" w:type="dxa"/>
          <w:left w:w="28" w:type="dxa"/>
          <w:bottom w:w="28" w:type="dxa"/>
          <w:right w:w="28" w:type="dxa"/>
        </w:tblCellMar>
      </w:tblPr>
      <w:tblGrid>
        <w:gridCol w:w="749"/>
        <w:gridCol w:w="657"/>
        <w:gridCol w:w="664"/>
        <w:gridCol w:w="109"/>
        <w:gridCol w:w="109"/>
        <w:gridCol w:w="109"/>
        <w:gridCol w:w="223"/>
        <w:gridCol w:w="223"/>
        <w:gridCol w:w="228"/>
        <w:gridCol w:w="109"/>
        <w:gridCol w:w="109"/>
        <w:gridCol w:w="109"/>
        <w:gridCol w:w="1351"/>
        <w:gridCol w:w="1351"/>
        <w:gridCol w:w="1918"/>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Jared Brandman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Jared Brandman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&amp; Strategy Officer,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274320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National Vision Holdings, Inc. Reports Second Quarter 2026 Financial Results</w:t>
      </w:r>
    </w:p>
    <w:p>
      <w:pPr>
        <w:pStyle w:val="TextBody"/>
        <w:bidi w:val="0"/>
        <w:spacing w:lineRule="auto" w:line="264" w:before="0" w:after="0"/>
        <w:jc w:val="center"/>
        <w:rPr>
          <w:rFonts w:ascii="Arial;sans-serif" w:hAnsi="Arial;sans-serif"/>
          <w:b w:val="false"/>
          <w:i/>
          <w:color w:val="000000"/>
          <w:sz w:val="24"/>
        </w:rPr>
      </w:pPr>
      <w:r>
        <w:rPr>
          <w:rFonts w:ascii="Arial;sans-serif" w:hAnsi="Arial;sans-serif"/>
          <w:b w:val="false"/>
          <w:i/>
          <w:color w:val="000000"/>
          <w:sz w:val="24"/>
        </w:rPr>
        <w:t>Strategic Transformation Delivers Accelerated Profitability</w:t>
      </w:r>
    </w:p>
    <w:p>
      <w:pPr>
        <w:pStyle w:val="TextBody"/>
        <w:bidi w:val="0"/>
        <w:spacing w:lineRule="auto" w:line="264" w:before="0" w:after="0"/>
        <w:jc w:val="center"/>
        <w:rPr>
          <w:rFonts w:ascii="Arial;sans-serif" w:hAnsi="Arial;sans-serif"/>
          <w:b w:val="false"/>
          <w:i/>
          <w:color w:val="000000"/>
          <w:sz w:val="24"/>
        </w:rPr>
      </w:pPr>
      <w:r>
        <w:rPr>
          <w:rFonts w:ascii="Arial;sans-serif" w:hAnsi="Arial;sans-serif"/>
          <w:b w:val="false"/>
          <w:i/>
          <w:color w:val="000000"/>
          <w:sz w:val="24"/>
        </w:rPr>
        <w:t>Raises Full-Year Adjusted Operating Income and Tightens Adjusted Comparable Store Sales Growth Outlook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ind w:left="0" w:right="0" w:hanging="360"/>
        <w:jc w:val="left"/>
        <w:rPr/>
      </w:pPr>
      <w:r>
        <w:rPr>
          <w:rFonts w:ascii="Arial;sans-serif" w:hAnsi="Arial;sans-serif"/>
          <w:b/>
          <w:color w:val="000000"/>
          <w:sz w:val="20"/>
        </w:rPr>
        <w:t>Second</w:t>
      </w:r>
      <w:r>
        <w:rPr>
          <w:color w:val="000000"/>
          <w:shd w:fill="FFFFFF" w:val="clear"/>
        </w:rPr>
        <w:t xml:space="preserve"> </w:t>
      </w:r>
      <w:r>
        <w:rPr>
          <w:rFonts w:ascii="Arial;sans-serif" w:hAnsi="Arial;sans-serif"/>
          <w:b/>
          <w:color w:val="000000"/>
          <w:sz w:val="20"/>
          <w:shd w:fill="FFFFFF" w:val="clear"/>
        </w:rPr>
        <w:t xml:space="preserve">quarter </w:t>
      </w:r>
      <w:r>
        <w:rPr>
          <w:rFonts w:ascii="Arial;sans-serif" w:hAnsi="Arial;sans-serif"/>
          <w:b/>
          <w:color w:val="000000"/>
          <w:sz w:val="20"/>
        </w:rPr>
        <w:t>2026</w:t>
      </w:r>
      <w:r>
        <w:rPr>
          <w:color w:val="000000"/>
          <w:shd w:fill="FFFFFF" w:val="clear"/>
        </w:rPr>
        <w:t xml:space="preserve"> </w:t>
      </w:r>
      <w:r>
        <w:rPr>
          <w:rFonts w:ascii="Arial;sans-serif" w:hAnsi="Arial;sans-serif"/>
          <w:b/>
          <w:color w:val="000000"/>
          <w:sz w:val="20"/>
          <w:shd w:fill="FFFFFF" w:val="clear"/>
        </w:rPr>
        <w:t>highlights compared to second quarter 2025:</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 xml:space="preserve">Net revenue of $498.8 million, increased 2.5% </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 xml:space="preserve">Comparable store sales growth of 3.4% and Adjusted Comparable Store Sales Growth of 2.2%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Net income of $12.4 million, Diluted EPS of $0.15, with Net income margin improving to 2.5% from 1.8%</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 xml:space="preserve">Adjusted Operating Income increased to $31.6 million from $23.8 million, with Adjusted Operating Margin expanding 140 basis points to 6.3% from 4.9% </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Adjusted Diluted EPS increased to $0.25 from $0.18</w:t>
      </w:r>
    </w:p>
    <w:p>
      <w:pPr>
        <w:pStyle w:val="TextBody"/>
        <w:bidi w:val="0"/>
        <w:spacing w:before="0" w:after="0"/>
        <w:ind w:left="0" w:right="0" w:firstLine="720"/>
        <w:jc w:val="both"/>
        <w:rPr/>
      </w:pPr>
      <w:r>
        <w:rPr/>
      </w:r>
    </w:p>
    <w:p>
      <w:pPr>
        <w:pStyle w:val="TextBody"/>
        <w:bidi w:val="0"/>
        <w:spacing w:lineRule="auto" w:line="276" w:before="0" w:after="120"/>
        <w:jc w:val="left"/>
        <w:rPr/>
      </w:pPr>
      <w:r>
        <w:rPr>
          <w:rFonts w:ascii="Arial;sans-serif" w:hAnsi="Arial;sans-serif"/>
          <w:b/>
          <w:color w:val="000000"/>
          <w:sz w:val="20"/>
        </w:rPr>
        <w:t>Alpharetta, Ga.</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 xml:space="preserve">August 12, 2026 </w:t>
      </w:r>
      <w:r>
        <w:rPr>
          <w:rFonts w:ascii="Arial;sans-serif" w:hAnsi="Arial;sans-serif"/>
          <w:b w:val="false"/>
          <w:color w:val="000000"/>
          <w:sz w:val="20"/>
        </w:rPr>
        <w:t>-- National Vision Holdings, Inc. (NASDAQ: EYE) (“National Vision,” “we,” “our,” “us” or the “Company”) today reported its financial results for the second quarter ended July 4, 2026.</w:t>
      </w:r>
    </w:p>
    <w:p>
      <w:pPr>
        <w:pStyle w:val="TextBody"/>
        <w:bidi w:val="0"/>
        <w:spacing w:before="0" w:after="0"/>
        <w:jc w:val="left"/>
        <w:rPr/>
      </w:pPr>
      <w:r>
        <w:rPr/>
      </w:r>
    </w:p>
    <w:p>
      <w:pPr>
        <w:pStyle w:val="TextBody"/>
        <w:bidi w:val="0"/>
        <w:spacing w:lineRule="auto" w:line="276" w:before="0" w:after="0"/>
        <w:jc w:val="left"/>
        <w:rPr/>
      </w:pPr>
      <w:r>
        <w:rPr>
          <w:color w:val="000000"/>
        </w:rPr>
        <w:t>“</w:t>
      </w:r>
      <w:r>
        <w:rPr>
          <w:rFonts w:ascii="Arial;sans-serif" w:hAnsi="Arial;sans-serif"/>
          <w:b w:val="false"/>
          <w:color w:val="000000"/>
          <w:sz w:val="20"/>
        </w:rPr>
        <w:t>The second quarter</w:t>
      </w:r>
      <w:r>
        <w:rPr>
          <w:color w:val="000000"/>
        </w:rPr>
        <w:t xml:space="preserve"> </w:t>
      </w:r>
      <w:r>
        <w:rPr>
          <w:rFonts w:ascii="Arial;sans-serif" w:hAnsi="Arial;sans-serif"/>
          <w:b w:val="false"/>
          <w:color w:val="000000"/>
          <w:sz w:val="20"/>
        </w:rPr>
        <w:t>was</w:t>
      </w:r>
      <w:r>
        <w:rPr>
          <w:color w:val="000000"/>
        </w:rPr>
        <w:t xml:space="preserve"> </w:t>
      </w:r>
      <w:r>
        <w:rPr>
          <w:rFonts w:ascii="Arial;sans-serif" w:hAnsi="Arial;sans-serif"/>
          <w:b w:val="false"/>
          <w:color w:val="000000"/>
          <w:sz w:val="20"/>
        </w:rPr>
        <w:t>an important step forward for National Vision,” said Alex Wilkes, National Vision’s CEO.</w:t>
      </w:r>
      <w:r>
        <w:rPr>
          <w:color w:val="000000"/>
        </w:rPr>
        <w:t xml:space="preserve"> “</w:t>
      </w:r>
      <w:r>
        <w:rPr>
          <w:rFonts w:ascii="Arial;sans-serif" w:hAnsi="Arial;sans-serif"/>
          <w:b w:val="false"/>
          <w:color w:val="000000"/>
          <w:sz w:val="20"/>
        </w:rPr>
        <w:t>We delivered</w:t>
      </w:r>
      <w:r>
        <w:rPr>
          <w:color w:val="000000"/>
        </w:rPr>
        <w:t xml:space="preserve"> </w:t>
      </w:r>
      <w:r>
        <w:rPr>
          <w:rFonts w:ascii="Arial;sans-serif" w:hAnsi="Arial;sans-serif"/>
          <w:b w:val="false"/>
          <w:color w:val="000000"/>
          <w:sz w:val="20"/>
        </w:rPr>
        <w:t>stronger profitability</w:t>
      </w:r>
      <w:r>
        <w:rPr>
          <w:color w:val="000000"/>
        </w:rPr>
        <w:t xml:space="preserve"> </w:t>
      </w:r>
      <w:r>
        <w:rPr>
          <w:rFonts w:ascii="Arial;sans-serif" w:hAnsi="Arial;sans-serif"/>
          <w:b w:val="false"/>
          <w:color w:val="000000"/>
          <w:sz w:val="20"/>
        </w:rPr>
        <w:t>as higher-value</w:t>
      </w:r>
      <w:r>
        <w:rPr>
          <w:color w:val="000000"/>
        </w:rPr>
        <w:t xml:space="preserve"> </w:t>
      </w:r>
      <w:r>
        <w:rPr>
          <w:rFonts w:ascii="Arial;sans-serif" w:hAnsi="Arial;sans-serif"/>
          <w:b w:val="false"/>
          <w:color w:val="000000"/>
          <w:sz w:val="20"/>
        </w:rPr>
        <w:t>transactions,</w:t>
      </w:r>
      <w:r>
        <w:rPr>
          <w:color w:val="000000"/>
        </w:rPr>
        <w:t xml:space="preserve"> </w:t>
      </w:r>
      <w:r>
        <w:rPr>
          <w:rFonts w:ascii="Arial;sans-serif" w:hAnsi="Arial;sans-serif"/>
          <w:b w:val="false"/>
          <w:color w:val="000000"/>
          <w:sz w:val="20"/>
        </w:rPr>
        <w:t>managed care customers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ticket growth gained momentum. We remained disciplined in how we pursue growth, focusing on an intentional shift toward a healthier customer base, improving our product mix, enhancing the customer experience and maintaining cost discipline. We believe these actions are building a more durable business, and are more than offsetting deferred purchases among our least profitable, lower-value transactions. Importantly, completing the</w:t>
      </w:r>
      <w:r>
        <w:rPr>
          <w:color w:val="000000"/>
        </w:rPr>
        <w:t xml:space="preserve"> </w:t>
      </w:r>
      <w:r>
        <w:rPr>
          <w:rFonts w:ascii="Arial;sans-serif" w:hAnsi="Arial;sans-serif"/>
          <w:b w:val="false"/>
          <w:color w:val="000000"/>
          <w:sz w:val="20"/>
        </w:rPr>
        <w:t>website</w:t>
      </w:r>
      <w:r>
        <w:rPr>
          <w:color w:val="000000"/>
        </w:rPr>
        <w:t xml:space="preserve"> </w:t>
      </w:r>
      <w:r>
        <w:rPr>
          <w:rFonts w:ascii="Arial;sans-serif" w:hAnsi="Arial;sans-serif"/>
          <w:b w:val="false"/>
          <w:color w:val="000000"/>
          <w:sz w:val="20"/>
        </w:rPr>
        <w:t>replatform</w:t>
      </w:r>
      <w:r>
        <w:rPr>
          <w:color w:val="000000"/>
        </w:rPr>
        <w:t xml:space="preserve"> </w:t>
      </w:r>
      <w:r>
        <w:rPr>
          <w:rFonts w:ascii="Arial;sans-serif" w:hAnsi="Arial;sans-serif"/>
          <w:b w:val="false"/>
          <w:color w:val="000000"/>
          <w:sz w:val="20"/>
        </w:rPr>
        <w:t>was a significant milestone, moving us to a unified commerce foundation that will enable us to connect the exam, prescription and retail journey at scale.</w:t>
      </w:r>
      <w:r>
        <w:rPr>
          <w:color w:val="000000"/>
        </w:rPr>
        <w:t xml:space="preserve"> </w:t>
      </w:r>
      <w:r>
        <w:rPr>
          <w:rFonts w:ascii="Arial;sans-serif" w:hAnsi="Arial;sans-serif"/>
          <w:b w:val="false"/>
          <w:color w:val="000000"/>
          <w:sz w:val="20"/>
        </w:rPr>
        <w:t>Our confidence in the earnings power of the business continues to build, supported by new brand introductions, store segmentation and increased back-half marketing investment. With these initiatives</w:t>
      </w:r>
      <w:r>
        <w:rPr>
          <w:color w:val="000000"/>
        </w:rPr>
        <w:t xml:space="preserve"> </w:t>
      </w:r>
      <w:r>
        <w:rPr>
          <w:rFonts w:ascii="Arial;sans-serif" w:hAnsi="Arial;sans-serif"/>
          <w:b w:val="false"/>
          <w:color w:val="000000"/>
          <w:sz w:val="20"/>
        </w:rPr>
        <w:t>gaining traction, we are raising our adjusted operating income guidance as we continue to drive profitable growth.”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This release includes certain Non-GAAP Financial Measures that are not recognized under generally accepted accounting principles (“GAAP”), including Adjusted Comparable Store Sales Growth, Adjusted Operating Income, Adjusted Operating Margin, Adjusted SG&amp;A and Adjusted Diluted EPS. Please see “Non-GAAP Financial Measures” and “Reconciliation of Non-GAAP to GAAP Financial Measures” below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Second Quarter 2026 Summary</w:t>
      </w:r>
    </w:p>
    <w:p>
      <w:pPr>
        <w:pStyle w:val="TextBody"/>
        <w:bidi w:val="0"/>
        <w:spacing w:lineRule="auto" w:line="268" w:before="0" w:after="60"/>
        <w:ind w:left="0" w:right="0" w:hanging="270"/>
        <w:jc w:val="left"/>
        <w:rPr/>
      </w:pPr>
      <w:r>
        <w:rPr>
          <w:color w:val="000000"/>
        </w:rPr>
        <w:t>•</w:t>
      </w:r>
      <w:r>
        <w:rPr>
          <w:rFonts w:ascii="Arial;sans-serif" w:hAnsi="Arial;sans-serif"/>
          <w:b w:val="false"/>
          <w:color w:val="000000"/>
          <w:sz w:val="20"/>
        </w:rPr>
        <w:t>Net revenue increased 2.5% to $498.8 million driven by new store sales, a positive 0.8% impact from the timing of unearned revenue and Adjusted Comparable Store Sales Growth, partially offset by closed stores.</w:t>
      </w:r>
    </w:p>
    <w:p>
      <w:pPr>
        <w:pStyle w:val="TextBody"/>
        <w:bidi w:val="0"/>
        <w:spacing w:lineRule="auto" w:line="268" w:before="0" w:after="60"/>
        <w:ind w:left="0" w:right="0" w:hanging="270"/>
        <w:jc w:val="left"/>
        <w:rPr/>
      </w:pPr>
      <w:r>
        <w:rPr>
          <w:color w:val="000000"/>
        </w:rPr>
        <w:t>•</w:t>
      </w:r>
      <w:r>
        <w:rPr>
          <w:rFonts w:ascii="Arial;sans-serif" w:hAnsi="Arial;sans-serif"/>
          <w:b w:val="false"/>
          <w:color w:val="000000"/>
          <w:sz w:val="20"/>
        </w:rPr>
        <w:t>Comparable store sales growth was 3.4% and Adjusted Comparable Store Sales Growth was 2.2%, due to higher average ticket and continued strength in the managed care cohort, partially offset by lower self-pay customer traffic.</w:t>
      </w:r>
    </w:p>
    <w:p>
      <w:pPr>
        <w:pStyle w:val="TextBody"/>
        <w:bidi w:val="0"/>
        <w:spacing w:lineRule="auto" w:line="264" w:before="60" w:after="120"/>
        <w:ind w:left="0" w:right="0" w:hanging="270"/>
        <w:jc w:val="both"/>
        <w:rPr/>
      </w:pPr>
      <w:r>
        <w:rPr>
          <w:color w:val="000000"/>
        </w:rPr>
        <w:t>•</w:t>
      </w:r>
      <w:r>
        <w:rPr>
          <w:rFonts w:ascii="Arial;sans-serif" w:hAnsi="Arial;sans-serif"/>
          <w:b w:val="false"/>
          <w:color w:val="000000"/>
          <w:sz w:val="20"/>
        </w:rPr>
        <w:t>The Company opened nine</w:t>
      </w:r>
      <w:r>
        <w:rPr>
          <w:color w:val="EE2724"/>
        </w:rPr>
        <w:t xml:space="preserve"> </w:t>
      </w:r>
      <w:r>
        <w:rPr>
          <w:rFonts w:ascii="Arial;sans-serif" w:hAnsi="Arial;sans-serif"/>
          <w:b w:val="false"/>
          <w:color w:val="000000"/>
          <w:sz w:val="20"/>
        </w:rPr>
        <w:t>new America’s Best stores and closed two America’s Best stores, ending the quarter with 1,281 stores. Overall, store count grew 3.3%.</w:t>
      </w:r>
    </w:p>
    <w:p>
      <w:pPr>
        <w:pStyle w:val="TextBody"/>
        <w:bidi w:val="0"/>
        <w:spacing w:lineRule="auto" w:line="268" w:before="0" w:after="120"/>
        <w:ind w:left="0" w:right="0" w:hanging="270"/>
        <w:jc w:val="left"/>
        <w:rPr/>
      </w:pPr>
      <w:r>
        <w:rPr>
          <w:color w:val="000000"/>
        </w:rPr>
        <w:t>•</w:t>
      </w:r>
      <w:r>
        <w:rPr>
          <w:rFonts w:ascii="Arial;sans-serif" w:hAnsi="Arial;sans-serif"/>
          <w:b w:val="false"/>
          <w:color w:val="000000"/>
          <w:sz w:val="20"/>
        </w:rPr>
        <w:t>Costs applicable to revenue increased 4.0% to $208.4 million. As a percentage of net revenue, costs applicable to revenue increased 60 basis points to 41.8%, reflecting a strategic mix shift toward higher-value product offerings.</w:t>
      </w:r>
    </w:p>
    <w:p>
      <w:pPr>
        <w:pStyle w:val="TextBody"/>
        <w:bidi w:val="0"/>
        <w:spacing w:lineRule="auto" w:line="268"/>
        <w:ind w:left="0" w:right="0" w:hanging="270"/>
        <w:jc w:val="left"/>
        <w:rPr/>
      </w:pPr>
      <w:r>
        <w:rPr>
          <w:color w:val="000000"/>
        </w:rPr>
        <w:t>•</w:t>
      </w:r>
      <w:r>
        <w:rPr>
          <w:rFonts w:ascii="Arial;sans-serif" w:hAnsi="Arial;sans-serif"/>
          <w:b w:val="false"/>
          <w:color w:val="000000"/>
          <w:sz w:val="20"/>
        </w:rPr>
        <w:t xml:space="preserve">Selling, general and administrative expenses (SG&amp;A) decreased 1.5% to $243.4 million. As a percentage of net revenue, SG&amp;A decreased 200 basis points to 48.8%, primarily driven by lower associate-related expenses, including variable incentive compensation, and lower advertising expense, partially offset by higher occupancy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SG&amp;A decreased 1.6% to $236.2 million and represented 47.3% of net revenue, a decrease of 200 basis points.</w:t>
      </w:r>
    </w:p>
    <w:p>
      <w:pPr>
        <w:pStyle w:val="TextBody"/>
        <w:bidi w:val="0"/>
        <w:spacing w:lineRule="auto" w:line="264" w:before="60" w:after="120"/>
        <w:ind w:left="0" w:right="0" w:hanging="270"/>
        <w:jc w:val="both"/>
        <w:rPr/>
      </w:pPr>
      <w:r>
        <w:rPr>
          <w:color w:val="000000"/>
        </w:rPr>
        <w:t>•</w:t>
      </w:r>
      <w:r>
        <w:rPr>
          <w:rFonts w:ascii="Arial;sans-serif" w:hAnsi="Arial;sans-serif"/>
          <w:b w:val="false"/>
          <w:color w:val="000000"/>
          <w:sz w:val="20"/>
        </w:rPr>
        <w:t>Net income increased to $12.4 million, compared to $8.7 million in the prior-year period. Net income margin improved to 2.5% from 1.8%.</w:t>
      </w:r>
    </w:p>
    <w:p>
      <w:pPr>
        <w:pStyle w:val="TextBody"/>
        <w:bidi w:val="0"/>
        <w:spacing w:lineRule="auto" w:line="264" w:before="60" w:after="120"/>
        <w:ind w:left="0" w:right="0" w:hanging="270"/>
        <w:jc w:val="both"/>
        <w:rPr/>
      </w:pPr>
      <w:r>
        <w:rPr>
          <w:color w:val="000000"/>
          <w:shd w:fill="FFFFFF" w:val="clear"/>
        </w:rPr>
        <w:t>•</w:t>
      </w:r>
      <w:r>
        <w:rPr>
          <w:rFonts w:ascii="Arial;sans-serif" w:hAnsi="Arial;sans-serif"/>
          <w:b w:val="false"/>
          <w:color w:val="000000"/>
          <w:sz w:val="20"/>
        </w:rPr>
        <w:t>Diluted earnings per share (EPS) increased</w:t>
      </w:r>
      <w:r>
        <w:rPr>
          <w:color w:val="EE2724"/>
        </w:rPr>
        <w:t xml:space="preserve"> </w:t>
      </w:r>
      <w:r>
        <w:rPr>
          <w:rFonts w:ascii="Arial;sans-serif" w:hAnsi="Arial;sans-serif"/>
          <w:b w:val="false"/>
          <w:color w:val="000000"/>
          <w:sz w:val="20"/>
        </w:rPr>
        <w:t>to $0.15 compared to $0.11. Adjusted Diluted EPS increased to $0.25 from $0.18. The net change in margin on unearned revenue benefited both Diluted EPS and Adjusted Diluted EPS by $0.03.</w:t>
      </w:r>
    </w:p>
    <w:p>
      <w:pPr>
        <w:pStyle w:val="TextBody"/>
        <w:bidi w:val="0"/>
        <w:spacing w:lineRule="auto" w:line="264" w:before="60" w:after="283"/>
        <w:ind w:left="0" w:right="0" w:hanging="270"/>
        <w:jc w:val="both"/>
        <w:rPr/>
      </w:pPr>
      <w:r>
        <w:rPr>
          <w:color w:val="000000"/>
        </w:rPr>
        <w:t>•</w:t>
      </w:r>
      <w:r>
        <w:rPr>
          <w:rFonts w:ascii="Arial;sans-serif" w:hAnsi="Arial;sans-serif"/>
          <w:b w:val="false"/>
          <w:color w:val="000000"/>
          <w:sz w:val="20"/>
        </w:rPr>
        <w:t>Adjusted Operating Income increased 32.7% to $31.6 million. Adjusted Operating Margin improved to 6.3% from 4.9%. The net change in margin on unearned revenue benefited net income by $2.2 million and Adjusted Operating Income by $2.9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60" w:after="120"/>
        <w:jc w:val="left"/>
        <w:rPr>
          <w:rFonts w:ascii="Arial;sans-serif" w:hAnsi="Arial;sans-serif"/>
          <w:b/>
          <w:color w:val="000000"/>
          <w:sz w:val="20"/>
        </w:rPr>
      </w:pPr>
      <w:r>
        <w:rPr>
          <w:rFonts w:ascii="Arial;sans-serif" w:hAnsi="Arial;sans-serif"/>
          <w:b/>
          <w:color w:val="000000"/>
          <w:sz w:val="20"/>
        </w:rPr>
        <w:t>Year-to-Date 2026 Summary</w:t>
      </w:r>
    </w:p>
    <w:p>
      <w:pPr>
        <w:pStyle w:val="TextBody"/>
        <w:bidi w:val="0"/>
        <w:spacing w:lineRule="auto" w:line="268" w:before="0" w:after="120"/>
        <w:ind w:left="0" w:right="0" w:hanging="270"/>
        <w:jc w:val="left"/>
        <w:rPr/>
      </w:pPr>
      <w:r>
        <w:rPr>
          <w:color w:val="000000"/>
        </w:rPr>
        <w:t>•</w:t>
      </w:r>
      <w:r>
        <w:rPr>
          <w:rFonts w:ascii="Arial;sans-serif" w:hAnsi="Arial;sans-serif"/>
          <w:b w:val="false"/>
          <w:color w:val="000000"/>
          <w:sz w:val="20"/>
        </w:rPr>
        <w:t>Net revenue increased 4.6% to $1,042.7 million driven by Adjusted Comparable Store Sales Growth, new store sales, and a positive 1.4% impact from the timing of unearned revenue, partially offset by closed stores.</w:t>
      </w:r>
    </w:p>
    <w:p>
      <w:pPr>
        <w:pStyle w:val="TextBody"/>
        <w:bidi w:val="0"/>
        <w:spacing w:lineRule="auto" w:line="268" w:before="0" w:after="120"/>
        <w:ind w:left="0" w:right="0" w:hanging="270"/>
        <w:jc w:val="left"/>
        <w:rPr/>
      </w:pPr>
      <w:r>
        <w:rPr>
          <w:color w:val="000000"/>
        </w:rPr>
        <w:t>•</w:t>
      </w:r>
      <w:r>
        <w:rPr>
          <w:rFonts w:ascii="Arial;sans-serif" w:hAnsi="Arial;sans-serif"/>
          <w:b w:val="false"/>
          <w:color w:val="000000"/>
          <w:sz w:val="20"/>
        </w:rPr>
        <w:t>Comparable store sales growth was 3.9% and Adjusted Comparable Store Sales Growth was 3.4%, primarily due to higher average ticket and continued strength in the managed care cohort, partially offset by lower self-pay customer traffic.</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The Company opened 17</w:t>
      </w:r>
      <w:r>
        <w:rPr>
          <w:color w:val="EE2724"/>
        </w:rPr>
        <w:t xml:space="preserve"> </w:t>
      </w:r>
      <w:r>
        <w:rPr>
          <w:rFonts w:ascii="Arial;sans-serif" w:hAnsi="Arial;sans-serif"/>
          <w:b w:val="false"/>
          <w:color w:val="000000"/>
          <w:sz w:val="20"/>
        </w:rPr>
        <w:t>new America’s Best stores and closed five America’s Best stores and one Military store. Additionally, the Company expanded its presence in the military channel by adding 20 new Military stores. Total store count at the end of the period was 1,281 stores, and overall, store count grew 3.3%.</w:t>
      </w:r>
    </w:p>
    <w:p>
      <w:pPr>
        <w:pStyle w:val="TextBody"/>
        <w:bidi w:val="0"/>
        <w:spacing w:lineRule="auto" w:line="268" w:before="0" w:after="120"/>
        <w:ind w:left="0" w:right="0" w:hanging="270"/>
        <w:jc w:val="left"/>
        <w:rPr/>
      </w:pPr>
      <w:r>
        <w:rPr>
          <w:color w:val="000000"/>
        </w:rPr>
        <w:t>•</w:t>
      </w:r>
      <w:r>
        <w:rPr>
          <w:rFonts w:ascii="Arial;sans-serif" w:hAnsi="Arial;sans-serif"/>
          <w:b w:val="false"/>
          <w:color w:val="000000"/>
          <w:sz w:val="20"/>
        </w:rPr>
        <w:t>Costs applicable to revenue increased 5.4% to $427.5 million. As a percentage of net revenue, costs applicable to revenue increased 30 basis points to 41.0%, reflecting a strategic mix shift toward higher-value product offerings.</w:t>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 xml:space="preserve">Selling, general and administrative expenses (SG&amp;A) decreased 0.6% to $499.5 million. As a percentage of net revenue, SG&amp;A decreased 250 basis points to 47.9% primarily driven by lower associate-related expenses, including variable incentive compensation, and lower advertising expense. Adjusted SG&amp;A increased 0.2% to $482.2 million and decreased 210 basis points to 46.2% of net revenue. </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Net income increased to $43.6 million compared to $22.9 million. Net income margin increased to 4.2% compared to 2.3%.</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Diluted EPS increased to $0.54 compared to $0.29. Adjusted Diluted EPS increased to $0.71 compared to $0.52. The net change in margin on unearned revenue benefited both Diluted EPS and Adjusted Diluted EPS by $0.09.</w:t>
      </w:r>
    </w:p>
    <w:p>
      <w:pPr>
        <w:pStyle w:val="TextBody"/>
        <w:bidi w:val="0"/>
        <w:spacing w:lineRule="auto" w:line="264" w:before="120" w:after="120"/>
        <w:ind w:left="0" w:right="0" w:hanging="270"/>
        <w:jc w:val="left"/>
        <w:rPr/>
      </w:pPr>
      <w:r>
        <w:rPr>
          <w:color w:val="000000"/>
        </w:rPr>
        <w:t>•</w:t>
      </w:r>
      <w:r>
        <w:rPr>
          <w:rFonts w:ascii="Arial;sans-serif" w:hAnsi="Arial;sans-serif"/>
          <w:b w:val="false"/>
          <w:color w:val="000000"/>
          <w:sz w:val="20"/>
        </w:rPr>
        <w:t>Adjusted Operating Income increased 33.7% to $87.0 million. Adjusted Operating Margin increased to 8.3% compared to 6.5%. The net change in margin on unearned revenue benefited net income by $7.5 million and Adjusted Operating Income by $10.0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20"/>
        <w:jc w:val="left"/>
        <w:rPr>
          <w:rFonts w:ascii="Arial;sans-serif" w:hAnsi="Arial;sans-serif"/>
          <w:b/>
          <w:color w:val="000000"/>
          <w:sz w:val="20"/>
        </w:rPr>
      </w:pPr>
      <w:bookmarkStart w:id="0" w:name="i5939ce4d23fd4c43a1943ae0e4696c8c_845"/>
      <w:bookmarkEnd w:id="0"/>
      <w:r>
        <w:rPr>
          <w:rFonts w:ascii="Arial;sans-serif" w:hAnsi="Arial;sans-serif"/>
          <w:b/>
          <w:color w:val="000000"/>
          <w:sz w:val="20"/>
        </w:rPr>
        <w:t xml:space="preserve">Balance Sheet and Cash Flow Highlights as of July 4, 2026 </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National Vision’s cash balance was $36.0 million as of July 4, 2026. The Company had no borrowings outstanding under its $300.0 million first lien revolving credit facility, exclusive of letters of credit of $6.7 million.</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Total debt was $237.7 million as of July 4, 2026, consisting of outstanding first lien term loans and finance lease obligations, net of unamortized discounts.</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During the three months ended July 4, 2026, the Company repurchased approximately 1.2 million shares for $20.0 million. As of July 4, 2026, the share repurchase authorization has remaining capacity of $30.0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Fiscal 2026 Outlook</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is updating its fiscal 2026 outlook for the 52 weeks ending January 2, 2027, as set forth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68" w:type="dxa"/>
        <w:jc w:val="left"/>
        <w:tblInd w:w="0" w:type="dxa"/>
        <w:tblLayout w:type="fixed"/>
        <w:tblCellMar>
          <w:top w:w="28" w:type="dxa"/>
          <w:left w:w="28" w:type="dxa"/>
          <w:bottom w:w="28" w:type="dxa"/>
          <w:right w:w="28" w:type="dxa"/>
        </w:tblCellMar>
      </w:tblPr>
      <w:tblGrid>
        <w:gridCol w:w="1410"/>
        <w:gridCol w:w="1240"/>
        <w:gridCol w:w="1249"/>
        <w:gridCol w:w="854"/>
        <w:gridCol w:w="854"/>
        <w:gridCol w:w="857"/>
        <w:gridCol w:w="820"/>
        <w:gridCol w:w="820"/>
        <w:gridCol w:w="1164"/>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BFBFBF"/>
              <w:left w:val="single" w:sz="8" w:space="0" w:color="BFBFB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BFBFBF"/>
              <w:left w:val="single" w:sz="8" w:space="0" w:color="BFBFBF"/>
            </w:tcBorders>
            <w:tcMar>
              <w:top w:w="52"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Prior Fiscal 2026 Outlook</w:t>
            </w:r>
          </w:p>
          <w:p>
            <w:pPr>
              <w:pStyle w:val="TableContents"/>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(As of May 13, 2026)</w:t>
            </w:r>
          </w:p>
        </w:tc>
        <w:tc>
          <w:tcPr>
            <w:tcW w:w="2804" w:type="dxa"/>
            <w:gridSpan w:val="3"/>
            <w:tcBorders>
              <w:top w:val="single" w:sz="8" w:space="0" w:color="BFBFBF"/>
              <w:left w:val="single" w:sz="8" w:space="0" w:color="BFBFBF"/>
              <w:right w:val="single" w:sz="8" w:space="0" w:color="BFBFBF"/>
            </w:tcBorders>
            <w:tcMar>
              <w:top w:w="52"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Updated Fiscal 2026 Outlook</w:t>
            </w:r>
          </w:p>
          <w:p>
            <w:pPr>
              <w:pStyle w:val="TableContents"/>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(As of August 12, 2026)</w:t>
            </w:r>
          </w:p>
        </w:tc>
      </w:tr>
      <w:tr>
        <w:trPr/>
        <w:tc>
          <w:tcPr>
            <w:tcW w:w="3899"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New Stores</w:t>
            </w:r>
            <w:r>
              <w:rPr>
                <w:rFonts w:ascii="Arial;sans-serif" w:hAnsi="Arial;sans-serif"/>
                <w:b w:val="false"/>
                <w:color w:val="000000"/>
                <w:sz w:val="13"/>
              </w:rPr>
              <w:t>(1)</w:t>
            </w:r>
          </w:p>
        </w:tc>
        <w:tc>
          <w:tcPr>
            <w:tcW w:w="2565"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30-35</w:t>
            </w:r>
          </w:p>
        </w:tc>
        <w:tc>
          <w:tcPr>
            <w:tcW w:w="2804" w:type="dxa"/>
            <w:gridSpan w:val="3"/>
            <w:tcBorders>
              <w:top w:val="single" w:sz="8" w:space="0" w:color="BFBFBF"/>
              <w:left w:val="single" w:sz="8" w:space="0" w:color="BFBFBF"/>
              <w:right w:val="single" w:sz="8" w:space="0" w:color="BFBFBF"/>
            </w:tcBorders>
            <w:shd w:fill="CCEE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30-35</w:t>
            </w:r>
          </w:p>
        </w:tc>
      </w:tr>
      <w:tr>
        <w:trPr/>
        <w:tc>
          <w:tcPr>
            <w:tcW w:w="3899"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Comparable Store Sales Growth</w:t>
            </w:r>
            <w:r>
              <w:rPr>
                <w:rFonts w:ascii="Arial;sans-serif" w:hAnsi="Arial;sans-serif"/>
                <w:b w:val="false"/>
                <w:color w:val="000000"/>
                <w:sz w:val="13"/>
              </w:rPr>
              <w:t>(2)</w:t>
            </w:r>
          </w:p>
        </w:tc>
        <w:tc>
          <w:tcPr>
            <w:tcW w:w="2565"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 - 6.0%</w:t>
            </w:r>
          </w:p>
        </w:tc>
        <w:tc>
          <w:tcPr>
            <w:tcW w:w="2804" w:type="dxa"/>
            <w:gridSpan w:val="3"/>
            <w:tcBorders>
              <w:top w:val="single" w:sz="8" w:space="0" w:color="BFBFBF"/>
              <w:left w:val="single" w:sz="8" w:space="0" w:color="BFBFBF"/>
              <w:right w:val="single" w:sz="8" w:space="0" w:color="BFBFBF"/>
            </w:tcBorders>
            <w:shd w:fill="FFFF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 - 5.0%</w:t>
            </w:r>
          </w:p>
        </w:tc>
      </w:tr>
      <w:tr>
        <w:trPr/>
        <w:tc>
          <w:tcPr>
            <w:tcW w:w="3899"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Revenue</w:t>
            </w:r>
          </w:p>
        </w:tc>
        <w:tc>
          <w:tcPr>
            <w:tcW w:w="2565"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$2.033 billion - $2.091 billion</w:t>
            </w:r>
          </w:p>
        </w:tc>
        <w:tc>
          <w:tcPr>
            <w:tcW w:w="2804" w:type="dxa"/>
            <w:gridSpan w:val="3"/>
            <w:tcBorders>
              <w:top w:val="single" w:sz="8" w:space="0" w:color="BFBFBF"/>
              <w:left w:val="single" w:sz="8" w:space="0" w:color="BFBFBF"/>
              <w:right w:val="single" w:sz="8" w:space="0" w:color="BFBFBF"/>
            </w:tcBorders>
            <w:shd w:fill="CCEE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$2.037 billion - $2.076 billion</w:t>
            </w:r>
          </w:p>
        </w:tc>
      </w:tr>
      <w:tr>
        <w:trPr/>
        <w:tc>
          <w:tcPr>
            <w:tcW w:w="3899"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Operating Income</w:t>
            </w:r>
            <w:r>
              <w:rPr>
                <w:rFonts w:ascii="Arial;sans-serif" w:hAnsi="Arial;sans-serif"/>
                <w:b w:val="false"/>
                <w:color w:val="000000"/>
                <w:sz w:val="13"/>
              </w:rPr>
              <w:t>(2)</w:t>
            </w:r>
          </w:p>
        </w:tc>
        <w:tc>
          <w:tcPr>
            <w:tcW w:w="2565"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$107 million - $133 million</w:t>
            </w:r>
          </w:p>
        </w:tc>
        <w:tc>
          <w:tcPr>
            <w:tcW w:w="2804" w:type="dxa"/>
            <w:gridSpan w:val="3"/>
            <w:tcBorders>
              <w:top w:val="single" w:sz="8" w:space="0" w:color="BFBFBF"/>
              <w:left w:val="single" w:sz="8" w:space="0" w:color="BFBFBF"/>
              <w:right w:val="single" w:sz="8" w:space="0" w:color="BFBFBF"/>
            </w:tcBorders>
            <w:shd w:fill="FFFF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$119 million - $139 million</w:t>
            </w:r>
          </w:p>
        </w:tc>
      </w:tr>
      <w:tr>
        <w:trPr/>
        <w:tc>
          <w:tcPr>
            <w:tcW w:w="3899"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(2)(3)</w:t>
            </w:r>
          </w:p>
        </w:tc>
        <w:tc>
          <w:tcPr>
            <w:tcW w:w="2565"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$0.85 - $1.09</w:t>
            </w:r>
          </w:p>
        </w:tc>
        <w:tc>
          <w:tcPr>
            <w:tcW w:w="2804" w:type="dxa"/>
            <w:gridSpan w:val="3"/>
            <w:tcBorders>
              <w:top w:val="single" w:sz="8" w:space="0" w:color="BFBFBF"/>
              <w:left w:val="single" w:sz="8" w:space="0" w:color="BFBFBF"/>
              <w:right w:val="single" w:sz="8" w:space="0" w:color="BFBFBF"/>
            </w:tcBorders>
            <w:shd w:fill="CCEE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$0.94 - $1.09</w:t>
            </w:r>
          </w:p>
        </w:tc>
      </w:tr>
      <w:tr>
        <w:trPr/>
        <w:tc>
          <w:tcPr>
            <w:tcW w:w="3899"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Depreciation and Amortization</w:t>
            </w:r>
            <w:r>
              <w:rPr>
                <w:rFonts w:ascii="Arial;sans-serif" w:hAnsi="Arial;sans-serif"/>
                <w:b w:val="false"/>
                <w:color w:val="000000"/>
                <w:sz w:val="13"/>
              </w:rPr>
              <w:t xml:space="preserve">(4) </w:t>
            </w:r>
          </w:p>
        </w:tc>
        <w:tc>
          <w:tcPr>
            <w:tcW w:w="2565"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$88 million - $92 million</w:t>
            </w:r>
          </w:p>
        </w:tc>
        <w:tc>
          <w:tcPr>
            <w:tcW w:w="2804" w:type="dxa"/>
            <w:gridSpan w:val="3"/>
            <w:tcBorders>
              <w:top w:val="single" w:sz="8" w:space="0" w:color="BFBFBF"/>
              <w:left w:val="single" w:sz="8" w:space="0" w:color="BFBFBF"/>
              <w:right w:val="single" w:sz="8" w:space="0" w:color="BFBFBF"/>
            </w:tcBorders>
            <w:shd w:fill="FFFF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$92 million - $93 million</w:t>
            </w:r>
          </w:p>
        </w:tc>
      </w:tr>
      <w:tr>
        <w:trPr/>
        <w:tc>
          <w:tcPr>
            <w:tcW w:w="3899"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Interest</w:t>
            </w:r>
            <w:r>
              <w:rPr>
                <w:rFonts w:ascii="Arial;sans-serif" w:hAnsi="Arial;sans-serif"/>
                <w:b w:val="false"/>
                <w:color w:val="000000"/>
                <w:sz w:val="13"/>
              </w:rPr>
              <w:t xml:space="preserve">(5) </w:t>
            </w:r>
          </w:p>
        </w:tc>
        <w:tc>
          <w:tcPr>
            <w:tcW w:w="2565" w:type="dxa"/>
            <w:gridSpan w:val="3"/>
            <w:tcBorders>
              <w:top w:val="single" w:sz="8" w:space="0" w:color="BFBFBF"/>
              <w:left w:val="single" w:sz="8" w:space="0" w:color="BFBFBF"/>
            </w:tcBorders>
            <w:shd w:fill="CCEE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 million - $16 million</w:t>
            </w:r>
          </w:p>
        </w:tc>
        <w:tc>
          <w:tcPr>
            <w:tcW w:w="2804" w:type="dxa"/>
            <w:gridSpan w:val="3"/>
            <w:tcBorders>
              <w:top w:val="single" w:sz="8" w:space="0" w:color="BFBFBF"/>
              <w:left w:val="single" w:sz="8" w:space="0" w:color="BFBFBF"/>
              <w:right w:val="single" w:sz="8" w:space="0" w:color="BFBFBF"/>
            </w:tcBorders>
            <w:shd w:fill="CCEE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 million - $13 million</w:t>
            </w:r>
          </w:p>
        </w:tc>
      </w:tr>
      <w:tr>
        <w:trPr/>
        <w:tc>
          <w:tcPr>
            <w:tcW w:w="3899"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Tax Rate</w:t>
            </w:r>
            <w:r>
              <w:rPr>
                <w:rFonts w:ascii="Arial;sans-serif" w:hAnsi="Arial;sans-serif"/>
                <w:b w:val="false"/>
                <w:color w:val="000000"/>
                <w:sz w:val="13"/>
              </w:rPr>
              <w:t>(6)</w:t>
            </w:r>
          </w:p>
        </w:tc>
        <w:tc>
          <w:tcPr>
            <w:tcW w:w="2565" w:type="dxa"/>
            <w:gridSpan w:val="3"/>
            <w:tcBorders>
              <w:top w:val="single" w:sz="8" w:space="0" w:color="BFBFBF"/>
              <w:left w:val="single" w:sz="8" w:space="0" w:color="BFBFBF"/>
            </w:tcBorders>
            <w:shd w:fill="FFFFFF" w:val="clear"/>
            <w:tcMar>
              <w:top w:w="52"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2804" w:type="dxa"/>
            <w:gridSpan w:val="3"/>
            <w:tcBorders>
              <w:top w:val="single" w:sz="8" w:space="0" w:color="BFBFBF"/>
              <w:left w:val="single" w:sz="8" w:space="0" w:color="BFBFBF"/>
              <w:right w:val="single" w:sz="8" w:space="0" w:color="BFBFBF"/>
            </w:tcBorders>
            <w:shd w:fill="FFFFFF" w:val="clear"/>
            <w:tcMar>
              <w:top w:w="52"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w:t>
            </w:r>
          </w:p>
        </w:tc>
      </w:tr>
      <w:tr>
        <w:trPr/>
        <w:tc>
          <w:tcPr>
            <w:tcW w:w="3899" w:type="dxa"/>
            <w:gridSpan w:val="3"/>
            <w:tcBorders>
              <w:top w:val="single" w:sz="8" w:space="0" w:color="BFBFBF"/>
              <w:left w:val="single" w:sz="8" w:space="0" w:color="BFBFBF"/>
              <w:bottom w:val="single" w:sz="8" w:space="0" w:color="BFBFBF"/>
            </w:tcBorders>
            <w:shd w:fill="CCEEFF" w:val="clear"/>
            <w:tcMar>
              <w:top w:w="52"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2565" w:type="dxa"/>
            <w:gridSpan w:val="3"/>
            <w:tcBorders>
              <w:top w:val="single" w:sz="8" w:space="0" w:color="BFBFBF"/>
              <w:left w:val="single" w:sz="8" w:space="0" w:color="BFBFBF"/>
              <w:bottom w:val="single" w:sz="8" w:space="0" w:color="BFBFBF"/>
            </w:tcBorders>
            <w:shd w:fill="CCEEFF" w:val="clear"/>
            <w:tcMar>
              <w:top w:w="52"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$73 million - $78 million</w:t>
            </w:r>
          </w:p>
        </w:tc>
        <w:tc>
          <w:tcPr>
            <w:tcW w:w="2804" w:type="dxa"/>
            <w:gridSpan w:val="3"/>
            <w:tcBorders>
              <w:top w:val="single" w:sz="8" w:space="0" w:color="BFBFBF"/>
              <w:left w:val="single" w:sz="8" w:space="0" w:color="BFBFBF"/>
              <w:bottom w:val="single" w:sz="8" w:space="0" w:color="BFBFBF"/>
              <w:right w:val="single" w:sz="8" w:space="0" w:color="BFBFBF"/>
            </w:tcBorders>
            <w:shd w:fill="CCEEFF" w:val="clear"/>
            <w:tcMar>
              <w:top w:w="52"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 million - $76 million</w:t>
            </w:r>
          </w:p>
        </w:tc>
      </w:tr>
    </w:tbl>
    <w:p>
      <w:pPr>
        <w:pStyle w:val="TextBody"/>
        <w:bidi w:val="0"/>
        <w:spacing w:lineRule="auto" w:line="288" w:before="0" w:after="0"/>
        <w:ind w:left="0" w:right="0" w:hanging="180"/>
        <w:jc w:val="both"/>
        <w:rPr/>
      </w:pPr>
      <w:r>
        <w:rPr>
          <w:rFonts w:ascii="Arial;sans-serif" w:hAnsi="Arial;sans-serif"/>
          <w:b w:val="false"/>
          <w:i/>
          <w:color w:val="000000"/>
          <w:sz w:val="13"/>
        </w:rPr>
        <w:t xml:space="preserve">1 </w:t>
      </w:r>
      <w:r>
        <w:rPr>
          <w:rFonts w:ascii="Arial;sans-serif" w:hAnsi="Arial;sans-serif"/>
          <w:b w:val="false"/>
          <w:i/>
          <w:color w:val="000000"/>
          <w:sz w:val="20"/>
        </w:rPr>
        <w:t>Assumes primarily America's Best new stores, does not include 20 Military store additions in April 2026.</w:t>
      </w:r>
    </w:p>
    <w:p>
      <w:pPr>
        <w:pStyle w:val="TextBody"/>
        <w:bidi w:val="0"/>
        <w:spacing w:lineRule="auto" w:line="288" w:before="0" w:after="0"/>
        <w:ind w:left="0" w:right="0" w:hanging="180"/>
        <w:jc w:val="both"/>
        <w:rPr/>
      </w:pPr>
      <w:r>
        <w:rPr>
          <w:rFonts w:ascii="Arial;sans-serif" w:hAnsi="Arial;sans-serif"/>
          <w:b w:val="false"/>
          <w:i/>
          <w:color w:val="000000"/>
          <w:sz w:val="13"/>
        </w:rPr>
        <w:t xml:space="preserve">2 </w:t>
      </w:r>
      <w:r>
        <w:rPr>
          <w:rFonts w:ascii="Arial;sans-serif" w:hAnsi="Arial;sans-serif"/>
          <w:b w:val="false"/>
          <w:i/>
          <w:color w:val="000000"/>
          <w:sz w:val="20"/>
        </w:rPr>
        <w:t>Refer to “Non-GAAP Financial Measures” below for more information.</w:t>
      </w:r>
    </w:p>
    <w:p>
      <w:pPr>
        <w:pStyle w:val="TextBody"/>
        <w:bidi w:val="0"/>
        <w:spacing w:lineRule="auto" w:line="288" w:before="0" w:after="0"/>
        <w:ind w:left="0" w:right="0" w:hanging="180"/>
        <w:jc w:val="both"/>
        <w:rPr/>
      </w:pP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Assumes approximately 81 million shares.</w:t>
      </w:r>
    </w:p>
    <w:p>
      <w:pPr>
        <w:pStyle w:val="TextBody"/>
        <w:bidi w:val="0"/>
        <w:spacing w:lineRule="auto" w:line="288" w:before="0" w:after="0"/>
        <w:ind w:left="0" w:right="0" w:hanging="180"/>
        <w:jc w:val="both"/>
        <w:rPr/>
      </w:pPr>
      <w:r>
        <w:rPr>
          <w:rFonts w:ascii="Arial;sans-serif" w:hAnsi="Arial;sans-serif"/>
          <w:b w:val="false"/>
          <w:i/>
          <w:color w:val="000000"/>
          <w:sz w:val="13"/>
        </w:rPr>
        <w:t>4</w:t>
      </w:r>
      <w:r>
        <w:rPr>
          <w:color w:val="000000"/>
        </w:rPr>
        <w:t xml:space="preserve"> </w:t>
      </w:r>
      <w:r>
        <w:rPr>
          <w:rFonts w:ascii="Arial;sans-serif" w:hAnsi="Arial;sans-serif"/>
          <w:b w:val="false"/>
          <w:i/>
          <w:color w:val="000000"/>
          <w:sz w:val="20"/>
        </w:rPr>
        <w:t>Includes amortization of acquisition intangibles of approximately $0.7 million, which is excluded in the definition of Adjusted Operating Income.</w:t>
      </w:r>
    </w:p>
    <w:p>
      <w:pPr>
        <w:pStyle w:val="TextBody"/>
        <w:bidi w:val="0"/>
        <w:spacing w:lineRule="auto" w:line="288" w:before="0" w:after="0"/>
        <w:ind w:left="0" w:right="0" w:hanging="180"/>
        <w:jc w:val="both"/>
        <w:rPr/>
      </w:pPr>
      <w:r>
        <w:rPr>
          <w:rFonts w:ascii="Arial;sans-serif" w:hAnsi="Arial;sans-serif"/>
          <w:b w:val="false"/>
          <w:i/>
          <w:color w:val="000000"/>
          <w:sz w:val="13"/>
        </w:rPr>
        <w:t xml:space="preserve">5 </w:t>
      </w:r>
      <w:r>
        <w:rPr>
          <w:rFonts w:ascii="Arial;sans-serif" w:hAnsi="Arial;sans-serif"/>
          <w:b w:val="false"/>
          <w:i/>
          <w:color w:val="000000"/>
          <w:sz w:val="20"/>
        </w:rPr>
        <w:t>Before the impact of gains or losses on change in fair value of derivatives and charges related to debt discounts and deferred financing costs.</w:t>
      </w:r>
    </w:p>
    <w:p>
      <w:pPr>
        <w:pStyle w:val="TextBody"/>
        <w:bidi w:val="0"/>
        <w:spacing w:lineRule="auto" w:line="288" w:before="0" w:after="120"/>
        <w:ind w:left="0" w:right="0" w:hanging="180"/>
        <w:jc w:val="both"/>
        <w:rPr/>
      </w:pPr>
      <w:r>
        <w:rPr>
          <w:rFonts w:ascii="Arial;sans-serif" w:hAnsi="Arial;sans-serif"/>
          <w:b w:val="false"/>
          <w:i/>
          <w:color w:val="000000"/>
          <w:sz w:val="13"/>
        </w:rPr>
        <w:t xml:space="preserve">6 </w:t>
      </w:r>
      <w:r>
        <w:rPr>
          <w:rFonts w:ascii="Arial;sans-serif" w:hAnsi="Arial;sans-serif"/>
          <w:b w:val="false"/>
          <w:i/>
          <w:color w:val="000000"/>
          <w:sz w:val="20"/>
        </w:rPr>
        <w:t>Excluding the impact of vesting of restricted stock units and stock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fiscal 2026 outlook information provided in this release includes Adjusted Operating Income and Adjusted Diluted EPS guidance.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pStyle w:val="TextBody"/>
        <w:bidi w:val="0"/>
        <w:spacing w:lineRule="auto" w:line="276"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fiscal 2026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These uncertainties include, but are not limited to, dynamic market conditions, unexpected disruptions including additional regulatory actions impacting international trade such as tariffs, issues relating to the implementation of our transformation initiatives, geopolitical issues, higher transportation or other costs due to rising fuel or energy costs, and other macroeconomic risks and uncertainties. Actual results may vary and those variations may be material. As such, the Company’s results may not fall within the ranges contained in its fiscal 2026 outlook. The Company uses these forward-looking measures internally to assess and benchmark its results and strategic plans. See “Forward-Looking Statements”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88" w:before="0" w:after="0"/>
        <w:jc w:val="left"/>
        <w:rPr/>
      </w:pPr>
      <w:r>
        <w:rPr>
          <w:rFonts w:ascii="Arial;sans-serif" w:hAnsi="Arial;sans-serif"/>
          <w:b w:val="false"/>
          <w:color w:val="000000"/>
          <w:sz w:val="20"/>
        </w:rPr>
        <w:t>The Company will host a conference call to discuss the second quarter 2026 financial results and fiscal-year 2026 guidance today, August 12, 2026, at 8:30 a.m. Eastern Time. To pre-register for the conference call and obtain a dial-in number and passcode, please refer to the</w:t>
      </w:r>
      <w:r>
        <w:rPr>
          <w:color w:val="000000"/>
          <w:shd w:fill="FFFFFF" w:val="clear"/>
        </w:rPr>
        <w:t xml:space="preserve"> “</w:t>
      </w:r>
      <w:r>
        <w:rPr>
          <w:rFonts w:ascii="Arial;sans-serif" w:hAnsi="Arial;sans-serif"/>
          <w:b w:val="false"/>
          <w:color w:val="000000"/>
          <w:sz w:val="20"/>
          <w:shd w:fill="FFFFFF" w:val="clear"/>
        </w:rPr>
        <w:t>Investors” section of the Company’s</w:t>
      </w:r>
      <w:r>
        <w:rPr>
          <w:color w:val="000000"/>
        </w:rPr>
        <w:t xml:space="preserve"> </w:t>
      </w:r>
      <w:r>
        <w:rPr>
          <w:rFonts w:ascii="Arial;sans-serif" w:hAnsi="Arial;sans-serif"/>
          <w:b w:val="false"/>
          <w:color w:val="000000"/>
          <w:sz w:val="20"/>
        </w:rPr>
        <w:t xml:space="preserve">website at </w:t>
      </w:r>
      <w:r>
        <w:rPr>
          <w:rFonts w:ascii="Arial;sans-serif" w:hAnsi="Arial;sans-serif"/>
          <w:b w:val="false"/>
          <w:color w:val="0E32E1"/>
          <w:sz w:val="20"/>
          <w:u w:val="single"/>
        </w:rPr>
        <w:t>www.ir.nationalvision.com</w:t>
      </w:r>
      <w:r>
        <w:rPr>
          <w:rFonts w:ascii="Arial;sans-serif" w:hAnsi="Arial;sans-serif"/>
          <w:b w:val="false"/>
          <w:color w:val="000000"/>
          <w:sz w:val="20"/>
        </w:rPr>
        <w:t xml:space="preserve">. A live audio webcast of the conference call will be available on the “Investors” section of the Company’s website at </w:t>
      </w:r>
      <w:r>
        <w:rPr>
          <w:rFonts w:ascii="Arial;sans-serif" w:hAnsi="Arial;sans-serif"/>
          <w:b w:val="false"/>
          <w:color w:val="0E32E1"/>
          <w:sz w:val="20"/>
          <w:u w:val="single"/>
        </w:rPr>
        <w:t>www.ir.nationalvision.com</w:t>
      </w:r>
      <w:r>
        <w:rPr>
          <w:rFonts w:ascii="Arial;sans-serif" w:hAnsi="Arial;sans-serif"/>
          <w:b w:val="false"/>
          <w:color w:val="000000"/>
          <w:sz w:val="20"/>
        </w:rPr>
        <w:t xml:space="preserve">, where presentation materials will be posted prior to </w:t>
      </w:r>
      <w:r>
        <w:rPr>
          <w:rFonts w:ascii="Arial;sans-serif" w:hAnsi="Arial;sans-serif"/>
          <w:b w:val="false"/>
          <w:color w:val="000000"/>
          <w:sz w:val="20"/>
          <w:shd w:fill="FFFFFF" w:val="clear"/>
        </w:rPr>
        <w:t>the conference call. A replay of the audio webcast will also be archived on the “Investors” section of the Company’s website.</w:t>
      </w:r>
    </w:p>
    <w:p>
      <w:pPr>
        <w:pStyle w:val="TextBody"/>
        <w:bidi w:val="0"/>
        <w:spacing w:before="0" w:after="0"/>
        <w:jc w:val="left"/>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About National Vision Holdings, Inc.</w:t>
      </w:r>
    </w:p>
    <w:p>
      <w:pPr>
        <w:pStyle w:val="TextBody"/>
        <w:bidi w:val="0"/>
        <w:spacing w:lineRule="auto" w:line="288" w:before="0" w:after="0"/>
        <w:jc w:val="left"/>
        <w:rPr/>
      </w:pPr>
      <w:r>
        <w:rPr>
          <w:rFonts w:ascii="Arial;sans-serif" w:hAnsi="Arial;sans-serif"/>
          <w:b w:val="false"/>
          <w:color w:val="000000"/>
          <w:sz w:val="20"/>
        </w:rPr>
        <w:t>National Vision Holdings, Inc. (NASDAQ: EYE) is one of the largest optical retail companies in the United States with over 1,200 stores in 40 states and Puerto Rico. With a mission of helping people by making quality eye care and eyewear more affordable and accessible, the company op</w:t>
      </w:r>
      <w:r>
        <w:rPr>
          <w:rFonts w:ascii="Arial;sans-serif" w:hAnsi="Arial;sans-serif"/>
          <w:b w:val="false"/>
          <w:color w:val="000000"/>
          <w:sz w:val="20"/>
          <w:shd w:fill="FFFFFF" w:val="clear"/>
        </w:rPr>
        <w:t>erates four retail brands: America’s Best Contacts &amp;</w:t>
      </w:r>
      <w:r>
        <w:rPr>
          <w:color w:val="000000"/>
        </w:rPr>
        <w:t xml:space="preserve"> </w:t>
      </w:r>
      <w:r>
        <w:rPr>
          <w:rFonts w:ascii="Arial;sans-serif" w:hAnsi="Arial;sans-serif"/>
          <w:b w:val="false"/>
          <w:color w:val="000000"/>
          <w:sz w:val="20"/>
        </w:rPr>
        <w:t>Eyeglasses,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64" w:before="0" w:after="120"/>
        <w:jc w:val="left"/>
        <w:rPr/>
      </w:pPr>
      <w:r>
        <w:rPr>
          <w:rFonts w:ascii="Arial;sans-serif" w:hAnsi="Arial;sans-serif"/>
          <w:b w:val="false"/>
          <w:color w:val="000000"/>
          <w:sz w:val="20"/>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2026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variations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 of the economy, global macroeconomic conditions and other factors that may affect consumer spending or behavior; our ability to successfully implement our strategic initiatives, or anticipate the impact of important strategic initiatives; our ability to recruit and retain vision care professionals for in-store roles or to provide remote care offerings; our ability to compete in the highly competitive optical retail industry; our ability to maintain, protect, and enhance the value of our owned brands</w:t>
      </w:r>
      <w:r>
        <w:rPr>
          <w:rFonts w:ascii="Arial;sans-serif" w:hAnsi="Arial;sans-serif"/>
          <w:b w:val="false"/>
          <w:color w:val="008080"/>
          <w:sz w:val="20"/>
        </w:rPr>
        <w:t xml:space="preserve">; </w:t>
      </w:r>
      <w:r>
        <w:rPr>
          <w:rFonts w:ascii="Arial;sans-serif" w:hAnsi="Arial;sans-serif"/>
          <w:b w:val="false"/>
          <w:color w:val="000000"/>
          <w:sz w:val="20"/>
        </w:rPr>
        <w:t xml:space="preserve">the success of our marketing, advertising and promotional efforts;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tariffs and related measures,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strategies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attract qualified new personnel or successfully implement our succession plans; seasonal fluctuations in our operating results and inventory levels;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sustainability issues, including those related to climate change; our ability to develop, maintain and extend relationships with managed vision care companies, vision insurance providers and other third-party payors; our reliance on third-party coverage and reimbursement, including government programs, for an increasing portion of our revenues; risks associated with vendors from whom our products and certain services are sourced and our dependence on a limited number of suppliers; changes in U.S. or international laws, including tariffs, affecting our ability to source merchandise and services internationally; the impact of any significant failure, inadequacy, interruption or security breach affecting our information technology systems, or those of our vendors;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 intellectual property; risks related to our indebtedness; changes in interest rates; restrictions in our credit agreement that limit our flexibility in operating our business; and risks related to owning our common stock.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i/>
          <w:color w:val="000000"/>
          <w:sz w:val="20"/>
        </w:rPr>
        <w:t xml:space="preserve">EBITDA: </w:t>
      </w:r>
      <w:r>
        <w:rPr>
          <w:rFonts w:ascii="Arial;sans-serif" w:hAnsi="Arial;sans-serif"/>
          <w:b w:val="false"/>
          <w:color w:val="000000"/>
          <w:sz w:val="20"/>
        </w:rPr>
        <w:t>We define EBITDA as net income (loss), plus interest expense (income), net, income tax provision (benefit) and depreciation and amortization.</w:t>
      </w:r>
    </w:p>
    <w:p>
      <w:pPr>
        <w:pStyle w:val="TextBody"/>
        <w:bidi w:val="0"/>
        <w:spacing w:lineRule="auto" w:line="288" w:before="0" w:after="60"/>
        <w:jc w:val="left"/>
        <w:rPr/>
      </w:pPr>
      <w:r>
        <w:rPr>
          <w:rFonts w:ascii="Arial;sans-serif" w:hAnsi="Arial;sans-serif"/>
          <w:b/>
          <w:i/>
          <w:color w:val="000000"/>
          <w:sz w:val="20"/>
        </w:rPr>
        <w:t>Adjusted Operating Income:</w:t>
      </w:r>
      <w:r>
        <w:rPr>
          <w:color w:val="000000"/>
        </w:rPr>
        <w:t> </w:t>
      </w:r>
      <w:r>
        <w:rPr>
          <w:rFonts w:ascii="Arial;sans-serif" w:hAnsi="Arial;sans-serif"/>
          <w:b w:val="false"/>
          <w:color w:val="000000"/>
          <w:sz w:val="20"/>
        </w:rPr>
        <w:t xml:space="preserve">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associate-related costs associated with organizational restructuring and certain other expenses. </w:t>
      </w:r>
    </w:p>
    <w:p>
      <w:pPr>
        <w:pStyle w:val="TextBody"/>
        <w:bidi w:val="0"/>
        <w:spacing w:lineRule="auto" w:line="288" w:before="0" w:after="60"/>
        <w:jc w:val="left"/>
        <w:rPr/>
      </w:pPr>
      <w:r>
        <w:rPr>
          <w:rFonts w:ascii="Arial;sans-serif" w:hAnsi="Arial;sans-serif"/>
          <w:b/>
          <w:i/>
          <w:color w:val="000000"/>
          <w:sz w:val="20"/>
        </w:rPr>
        <w:t>Adjusted Operating Margin: </w:t>
      </w:r>
      <w:r>
        <w:rPr>
          <w:rFonts w:ascii="Arial;sans-serif" w:hAnsi="Arial;sans-serif"/>
          <w:b w:val="false"/>
          <w:color w:val="000000"/>
          <w:sz w:val="20"/>
        </w:rPr>
        <w:t>We define Adjusted Operating Margin as Adjusted Operating Income as a percentage of net revenue.</w:t>
      </w:r>
    </w:p>
    <w:p>
      <w:pPr>
        <w:pStyle w:val="TextBody"/>
        <w:bidi w:val="0"/>
        <w:spacing w:lineRule="auto" w:line="288" w:before="0" w:after="6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organizational restructuring and certain other expenses.</w:t>
      </w:r>
    </w:p>
    <w:p>
      <w:pPr>
        <w:pStyle w:val="TextBody"/>
        <w:bidi w:val="0"/>
        <w:spacing w:lineRule="auto" w:line="288" w:before="0" w:after="60"/>
        <w:jc w:val="left"/>
        <w:rPr/>
      </w:pPr>
      <w:r>
        <w:rPr>
          <w:rFonts w:ascii="Arial;sans-serif" w:hAnsi="Arial;sans-serif"/>
          <w:b/>
          <w:i/>
          <w:color w:val="000000"/>
          <w:sz w:val="20"/>
        </w:rPr>
        <w:t xml:space="preserve">Adjusted EBITDA Margin: </w:t>
      </w:r>
      <w:r>
        <w:rPr>
          <w:rFonts w:ascii="Arial;sans-serif" w:hAnsi="Arial;sans-serif"/>
          <w:b w:val="false"/>
          <w:color w:val="000000"/>
          <w:sz w:val="20"/>
        </w:rPr>
        <w:t>We define Adjusted EBITDA Margin as Adjusted EBITDA as a percentage of net revenue.</w:t>
      </w:r>
    </w:p>
    <w:p>
      <w:pPr>
        <w:pStyle w:val="TextBody"/>
        <w:bidi w:val="0"/>
        <w:spacing w:lineRule="auto" w:line="288" w:before="0" w:after="60"/>
        <w:jc w:val="left"/>
        <w:rPr/>
      </w:pPr>
      <w:r>
        <w:rPr>
          <w:rFonts w:ascii="Arial;sans-serif" w:hAnsi="Arial;sans-serif"/>
          <w:b/>
          <w:i/>
          <w:color w:val="000000"/>
          <w:sz w:val="20"/>
        </w:rPr>
        <w:t>Adjusted Diluted EPS:</w:t>
      </w:r>
      <w:r>
        <w:rPr>
          <w:color w:val="000000"/>
        </w:rPr>
        <w:t xml:space="preserve"> </w:t>
      </w:r>
      <w:r>
        <w:rPr>
          <w:rFonts w:ascii="Arial;sans-serif" w:hAnsi="Arial;sans-serif"/>
          <w:b w:val="false"/>
          <w:color w:val="000000"/>
          <w:sz w:val="20"/>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severance and associate-related costs associated with restructuring and certain other expenses, less the tax effect of these adjustments, including tax expense (benefit) from stock-based compensation.</w:t>
      </w:r>
    </w:p>
    <w:p>
      <w:pPr>
        <w:pStyle w:val="TextBody"/>
        <w:bidi w:val="0"/>
        <w:spacing w:lineRule="auto" w:line="288" w:before="0" w:after="60"/>
        <w:jc w:val="left"/>
        <w:rPr/>
      </w:pPr>
      <w:r>
        <w:rPr>
          <w:rFonts w:ascii="Arial;sans-serif" w:hAnsi="Arial;sans-serif"/>
          <w:b/>
          <w:i/>
          <w:color w:val="000000"/>
          <w:sz w:val="20"/>
        </w:rPr>
        <w:t xml:space="preserve">Adjusted SG&amp;A: </w:t>
      </w:r>
      <w:r>
        <w:rPr>
          <w:rFonts w:ascii="Arial;sans-serif" w:hAnsi="Arial;sans-serif"/>
          <w:b w:val="false"/>
          <w:color w:val="000000"/>
          <w:sz w:val="20"/>
        </w:rPr>
        <w:t xml:space="preserve">We define Adjusted SG&amp;A as SG&amp;A adjusted to exclude stock-based compensation expense, litigation settlement, secondary offering expenses, management realignment expenses, long-term incentive plan expense, ERP and CRM implementation expenses, shareholder activism, severance and employee-related costs associated with restructuring and certain other expenses. </w:t>
      </w:r>
    </w:p>
    <w:p>
      <w:pPr>
        <w:pStyle w:val="TextBody"/>
        <w:bidi w:val="0"/>
        <w:spacing w:lineRule="auto" w:line="288" w:before="0" w:after="60"/>
        <w:jc w:val="left"/>
        <w:rPr/>
      </w:pPr>
      <w:r>
        <w:rPr>
          <w:rFonts w:ascii="Arial;sans-serif" w:hAnsi="Arial;sans-serif"/>
          <w:b/>
          <w:i/>
          <w:color w:val="000000"/>
          <w:sz w:val="20"/>
        </w:rPr>
        <w:t xml:space="preserve">Adjusted SG&amp;A Percent of Net Revenue: </w:t>
      </w:r>
      <w:r>
        <w:rPr>
          <w:rFonts w:ascii="Arial;sans-serif" w:hAnsi="Arial;sans-serif"/>
          <w:b w:val="false"/>
          <w:color w:val="000000"/>
          <w:sz w:val="20"/>
        </w:rPr>
        <w:t>We define Adjusted SG&amp;A Percent of Net Revenue as Adjusted SG&amp;A as a percentage of total net revenue.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i/>
          <w:color w:val="000000"/>
          <w:sz w:val="20"/>
        </w:rPr>
        <w:t>Adjusted Comparable Store Sales Growth:</w:t>
      </w:r>
      <w:r>
        <w:rPr>
          <w:color w:val="000000"/>
        </w:rPr>
        <w:t xml:space="preserve"> </w:t>
      </w:r>
      <w:r>
        <w:rPr>
          <w:rFonts w:ascii="Arial;sans-serif" w:hAnsi="Arial;sans-serif"/>
          <w:b w:val="false"/>
          <w:color w:val="00000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and (vi) when applicable, we adjust for the effect of the 53rd week; (vii) in fiscal years following a 53-week fiscal year, there is a one week calendar shift to the comparable prior year period. For the calculation of the adjusted comparable store sales growth in the three months ended July 4, 2026, we compared weeks 14 through 26 in fiscal 2026 against weeks 15 through 27 in fiscal 2025 and for the six months ended July 4, 2026, we compared weeks 1 through 26 in fiscal year 2026 against weeks 2 through 27 in fiscal year 2025.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income from operations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 </w:t>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Please see “Reconciliation of Non-GAAP to GAAP Financial Measures” below for reconciliations of non-GAAP financial measures used in this release to their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916"/>
        <w:gridCol w:w="2091"/>
        <w:gridCol w:w="2103"/>
        <w:gridCol w:w="211"/>
        <w:gridCol w:w="1021"/>
        <w:gridCol w:w="109"/>
        <w:gridCol w:w="109"/>
        <w:gridCol w:w="109"/>
        <w:gridCol w:w="109"/>
        <w:gridCol w:w="217"/>
        <w:gridCol w:w="1050"/>
        <w:gridCol w:w="160"/>
      </w:tblGrid>
      <w:tr>
        <w:trPr/>
        <w:tc>
          <w:tcPr>
            <w:tcW w:w="29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share data</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January 3, 2026</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ASSETS </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225,722 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700,642 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 and trade names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394,896 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1,757,956 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1,983,678 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and accrued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 and finance lease obligations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obligations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412,408 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obligations, less current portion and debt discount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229,327 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obligations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701,737 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Common stock, $0.01 par value; 200,000,000 shares authorized; 87,474,699 and 86,278,538 shares issued as of July 4, 2026 and January 3, 2026, respectively; 79,058,038 and 79,416,050 shares outstanding as of July 4, 2026 and January 3, 2026,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Treasury stock, at cost; 8,416,661 and 6,862,488 shares as of July 4, 2026 and January 3, 2026,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(220,925)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869,533 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1,983,493 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1,983,678 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(Unaudited)</w:t>
      </w:r>
    </w:p>
    <w:tbl>
      <w:tblPr>
        <w:tblW w:w="10205" w:type="dxa"/>
        <w:jc w:val="left"/>
        <w:tblInd w:w="0" w:type="dxa"/>
        <w:tblLayout w:type="fixed"/>
        <w:tblCellMar>
          <w:top w:w="28" w:type="dxa"/>
          <w:left w:w="28" w:type="dxa"/>
          <w:bottom w:w="28" w:type="dxa"/>
          <w:right w:w="28" w:type="dxa"/>
        </w:tblCellMar>
      </w:tblPr>
      <w:tblGrid>
        <w:gridCol w:w="1713"/>
        <w:gridCol w:w="1295"/>
        <w:gridCol w:w="1303"/>
        <w:gridCol w:w="211"/>
        <w:gridCol w:w="856"/>
        <w:gridCol w:w="109"/>
        <w:gridCol w:w="109"/>
        <w:gridCol w:w="109"/>
        <w:gridCol w:w="109"/>
        <w:gridCol w:w="225"/>
        <w:gridCol w:w="915"/>
        <w:gridCol w:w="116"/>
        <w:gridCol w:w="109"/>
        <w:gridCol w:w="109"/>
        <w:gridCol w:w="109"/>
        <w:gridCol w:w="211"/>
        <w:gridCol w:w="856"/>
        <w:gridCol w:w="109"/>
        <w:gridCol w:w="109"/>
        <w:gridCol w:w="109"/>
        <w:gridCol w:w="109"/>
        <w:gridCol w:w="224"/>
        <w:gridCol w:w="913"/>
        <w:gridCol w:w="168"/>
      </w:tblGrid>
      <w:tr>
        <w:trPr/>
        <w:tc>
          <w:tcPr>
            <w:tcW w:w="171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of services and plans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486,423 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996,747 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applicable to revenue (exclusive of depreciation and amortization):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plans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200,371 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405,561 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548,600 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Earnings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provision of unrealized gain on hedge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bookmarkStart w:id="1" w:name="ia2653b04e29242f197837b729ba420ae_325"/>
      <w:bookmarkEnd w:id="1"/>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before="0" w:after="0"/>
        <w:jc w:val="center"/>
        <w:rPr/>
      </w:pPr>
      <w:r>
        <w:rPr/>
      </w:r>
    </w:p>
    <w:tbl>
      <w:tblPr>
        <w:tblW w:w="10031" w:type="dxa"/>
        <w:jc w:val="left"/>
        <w:tblInd w:w="0" w:type="dxa"/>
        <w:tblLayout w:type="fixed"/>
        <w:tblCellMar>
          <w:top w:w="28" w:type="dxa"/>
          <w:left w:w="28" w:type="dxa"/>
          <w:bottom w:w="28" w:type="dxa"/>
          <w:right w:w="28" w:type="dxa"/>
        </w:tblCellMar>
      </w:tblPr>
      <w:tblGrid>
        <w:gridCol w:w="2588"/>
        <w:gridCol w:w="2275"/>
        <w:gridCol w:w="2291"/>
        <w:gridCol w:w="230"/>
        <w:gridCol w:w="821"/>
        <w:gridCol w:w="119"/>
        <w:gridCol w:w="109"/>
        <w:gridCol w:w="109"/>
        <w:gridCol w:w="109"/>
        <w:gridCol w:w="261"/>
        <w:gridCol w:w="929"/>
        <w:gridCol w:w="190"/>
      </w:tblGrid>
      <w:tr>
        <w:trPr/>
        <w:tc>
          <w:tcPr>
            <w:tcW w:w="258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deferred financing costs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implementation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Asset impairment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and lease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and unearned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86,500 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(32,924)</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long-term debt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long-term debt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finance lease obligations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(78,825)</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(25,249)</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year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cash equivalents and restricted cash, end of period </w:t>
            </w:r>
            <w:r>
              <w:rPr>
                <w:rFonts w:ascii="Arial;sans-serif" w:hAnsi="Arial;sans-serif"/>
                <w:b w:val="false"/>
                <w:color w:val="000000"/>
                <w:sz w:val="13"/>
              </w:rPr>
              <w:t>(i)</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37,313 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49,988 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jc w:val="both"/>
        <w:rPr>
          <w:rFonts w:ascii="Arial;sans-serif" w:hAnsi="Arial;sans-serif"/>
          <w:b w:val="false"/>
          <w:color w:val="000000"/>
          <w:sz w:val="13"/>
        </w:rPr>
      </w:pPr>
      <w:r>
        <w:rPr>
          <w:rFonts w:ascii="Arial;sans-serif" w:hAnsi="Arial;sans-serif"/>
          <w:b w:val="false"/>
          <w:color w:val="000000"/>
          <w:sz w:val="13"/>
        </w:rPr>
        <w:t>(i) Cash balance includes restricted cash of $1.3 million and $1.5 million for the six months ended July 4, 2026 and June 28, 2025, respectively, that are not reflected in cash and cash equivalents shown on the Condensed Consolidated Balance Sheets.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to GAAP Financial Measures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091" w:type="dxa"/>
        <w:jc w:val="center"/>
        <w:tblInd w:w="0" w:type="dxa"/>
        <w:tblLayout w:type="fixed"/>
        <w:tblCellMar>
          <w:top w:w="28" w:type="dxa"/>
          <w:left w:w="28" w:type="dxa"/>
          <w:bottom w:w="28" w:type="dxa"/>
          <w:right w:w="28" w:type="dxa"/>
        </w:tblCellMar>
      </w:tblPr>
      <w:tblGrid>
        <w:gridCol w:w="1414"/>
        <w:gridCol w:w="1241"/>
        <w:gridCol w:w="1245"/>
        <w:gridCol w:w="211"/>
        <w:gridCol w:w="751"/>
        <w:gridCol w:w="286"/>
        <w:gridCol w:w="109"/>
        <w:gridCol w:w="109"/>
        <w:gridCol w:w="109"/>
        <w:gridCol w:w="225"/>
        <w:gridCol w:w="803"/>
        <w:gridCol w:w="306"/>
        <w:gridCol w:w="109"/>
        <w:gridCol w:w="109"/>
        <w:gridCol w:w="109"/>
        <w:gridCol w:w="211"/>
        <w:gridCol w:w="751"/>
        <w:gridCol w:w="286"/>
        <w:gridCol w:w="109"/>
        <w:gridCol w:w="109"/>
        <w:gridCol w:w="109"/>
        <w:gridCol w:w="225"/>
        <w:gridCol w:w="802"/>
        <w:gridCol w:w="353"/>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0091"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Adjusted Operating Income to Net Income</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acquisition intangibles </w:t>
            </w:r>
            <w:r>
              <w:rPr>
                <w:rFonts w:ascii="Arial;sans-serif" w:hAnsi="Arial;sans-serif"/>
                <w:b w:val="false"/>
                <w:color w:val="000000"/>
                <w:sz w:val="13"/>
              </w:rPr>
              <w:t>(c)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(f)</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23,801 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87,034 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65,076 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Operating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 adjusted for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12"/>
        <w:gridCol w:w="1238"/>
        <w:gridCol w:w="1241"/>
        <w:gridCol w:w="211"/>
        <w:gridCol w:w="751"/>
        <w:gridCol w:w="286"/>
        <w:gridCol w:w="109"/>
        <w:gridCol w:w="109"/>
        <w:gridCol w:w="109"/>
        <w:gridCol w:w="224"/>
        <w:gridCol w:w="802"/>
        <w:gridCol w:w="305"/>
        <w:gridCol w:w="109"/>
        <w:gridCol w:w="109"/>
        <w:gridCol w:w="109"/>
        <w:gridCol w:w="211"/>
        <w:gridCol w:w="856"/>
        <w:gridCol w:w="286"/>
        <w:gridCol w:w="109"/>
        <w:gridCol w:w="109"/>
        <w:gridCol w:w="109"/>
        <w:gridCol w:w="211"/>
        <w:gridCol w:w="856"/>
        <w:gridCol w:w="334"/>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EBITDA and Adjusted EBITDA to Net Income</w:t>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22,911 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EBITDA</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113,204 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88,085 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(f)</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46,168 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133,359 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110,237 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margin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EBITDA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 adjusted for rounding.</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74"/>
        <w:gridCol w:w="1397"/>
        <w:gridCol w:w="1405"/>
        <w:gridCol w:w="268"/>
        <w:gridCol w:w="690"/>
        <w:gridCol w:w="138"/>
        <w:gridCol w:w="115"/>
        <w:gridCol w:w="115"/>
        <w:gridCol w:w="115"/>
        <w:gridCol w:w="299"/>
        <w:gridCol w:w="769"/>
        <w:gridCol w:w="154"/>
        <w:gridCol w:w="115"/>
        <w:gridCol w:w="115"/>
        <w:gridCol w:w="115"/>
        <w:gridCol w:w="268"/>
        <w:gridCol w:w="690"/>
        <w:gridCol w:w="138"/>
        <w:gridCol w:w="115"/>
        <w:gridCol w:w="115"/>
        <w:gridCol w:w="115"/>
        <w:gridCol w:w="295"/>
        <w:gridCol w:w="758"/>
        <w:gridCol w:w="227"/>
      </w:tblGrid>
      <w:tr>
        <w:trPr/>
        <w:tc>
          <w:tcPr>
            <w:tcW w:w="167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Adjusted Diluted EPS to Diluted EPS</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in thousands, except per share amounts</w:t>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EPS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(b)</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debt discount and deferred financing costs </w:t>
            </w:r>
            <w:r>
              <w:rPr>
                <w:rFonts w:ascii="Arial;sans-serif" w:hAnsi="Arial;sans-serif"/>
                <w:b w:val="false"/>
                <w:color w:val="000000"/>
                <w:sz w:val="13"/>
              </w:rPr>
              <w:t>(d)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(f)</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effects </w:t>
            </w:r>
            <w:r>
              <w:rPr>
                <w:rFonts w:ascii="Arial;sans-serif" w:hAnsi="Arial;sans-serif"/>
                <w:b w:val="false"/>
                <w:color w:val="000000"/>
                <w:sz w:val="13"/>
              </w:rPr>
              <w:t>(g)</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Diluted EPS</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79,658 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67"/>
        <w:gridCol w:w="1196"/>
        <w:gridCol w:w="1202"/>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36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Adjusted SG&amp;A to SG&amp;A</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243,432 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247,167 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499,524 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502,699 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236,172 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239,984 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482,212 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481,049 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Percent of Net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Percent of Net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w:t>
            </w:r>
          </w:p>
        </w:tc>
      </w:tr>
    </w:tbl>
    <w:p>
      <w:pPr>
        <w:pStyle w:val="TextBody"/>
        <w:bidi w:val="0"/>
        <w:spacing w:before="0" w:after="0"/>
        <w:jc w:val="both"/>
        <w:rPr/>
      </w:pPr>
      <w:r>
        <w:rPr/>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(a)Non-cash charges related to stock-based compensation programs, which may vary from period to period depending on the timing of awards and performance vesting conditions.</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(b)Reflects write-off related to non-cash impairment charges of long-lived assets, primarily impairment of property and equipment related to the Eyeglass World lab restructuring initiative in the second quarter of 2026 and lease-related assets on closed or underperforming stores.</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(c)Amortization of the increase in carrying values of finite-lived intangible assets resulting from the application of purchase accounting following the acquisition of the Company by affiliates of KKR &amp; Co. Inc.</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(d)Amortization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(e)Costs related to the Company’s ERP and CRM implementation.</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 xml:space="preserve">(f)Other adjustments include amounts that management believes are not representative of our operating performance (amounts in brackets represent reductions in Adjusted Operating Income, Adjusted Diluted EPS, Adjusted EBITDA and Adjusted SG&amp;A), which are primarily related to shareholder activism costs of $2.1 million for the six months ended June 28, 2025, severance and other non-cash charges associated with organizational restructuring of $2.2 million and $2.1 million for the six months ended July 4, 2026 and June 28, 2025, respectively, and restructuring costs related to EGW lab optimization initiative of $0.6 million for the three and six months ended July 4, 2026, and other expenses and adjustments. Certain costs associated with the EGW lab optimization initiative are recognized in costs applicable to revenue, with the remainder recorded in SG&amp;A. </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(g)Represents the income tax effect of the total adjustments at our combined statutory federal and state income tax rates, including tax expense (benefit) from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71"/>
        <w:gridCol w:w="552"/>
        <w:gridCol w:w="555"/>
        <w:gridCol w:w="362"/>
        <w:gridCol w:w="329"/>
        <w:gridCol w:w="672"/>
        <w:gridCol w:w="148"/>
        <w:gridCol w:w="148"/>
        <w:gridCol w:w="148"/>
        <w:gridCol w:w="372"/>
        <w:gridCol w:w="339"/>
        <w:gridCol w:w="697"/>
        <w:gridCol w:w="148"/>
        <w:gridCol w:w="148"/>
        <w:gridCol w:w="148"/>
        <w:gridCol w:w="350"/>
        <w:gridCol w:w="317"/>
        <w:gridCol w:w="640"/>
        <w:gridCol w:w="148"/>
        <w:gridCol w:w="148"/>
        <w:gridCol w:w="148"/>
        <w:gridCol w:w="359"/>
        <w:gridCol w:w="326"/>
        <w:gridCol w:w="665"/>
        <w:gridCol w:w="148"/>
        <w:gridCol w:w="148"/>
        <w:gridCol w:w="148"/>
        <w:gridCol w:w="306"/>
        <w:gridCol w:w="306"/>
        <w:gridCol w:w="411"/>
      </w:tblGrid>
      <w:tr>
        <w:trPr/>
        <w:tc>
          <w:tcPr>
            <w:tcW w:w="87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Reconciliation of Adjusted Comparable Store Sales Growth to Total Comparable Store Sales Growth</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Comparable store sales growth </w:t>
            </w:r>
            <w:r>
              <w:rPr>
                <w:rFonts w:ascii="Arial;sans-serif" w:hAnsi="Arial;sans-serif"/>
                <w:b w:val="false"/>
                <w:color w:val="000000"/>
                <w:sz w:val="13"/>
              </w:rPr>
              <w:t>(a)</w:t>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July 4,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28, 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July 4,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28, 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2026 Outlook </w:t>
            </w:r>
            <w:r>
              <w:rPr>
                <w:rFonts w:ascii="Arial;sans-serif" w:hAnsi="Arial;sans-serif"/>
                <w:b w:val="false"/>
                <w:color w:val="000000"/>
                <w:sz w:val="13"/>
              </w:rPr>
              <w:t>(b)</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Owned &amp; Host segment</w:t>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Best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Eyeglass World</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Fred Meyer</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comparable store sales growth</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 - 4.7%</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Adjustments for effects of: </w:t>
            </w:r>
            <w:r>
              <w:rPr>
                <w:rFonts w:ascii="Arial;sans-serif" w:hAnsi="Arial;sans-serif"/>
                <w:b w:val="false"/>
                <w:color w:val="000000"/>
                <w:sz w:val="13"/>
              </w:rPr>
              <w:t>(b)</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&amp; deferred revenue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Adjusted Comparable Store Sales Growth</w:t>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6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 - 5.0%</w:t>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(a) We calculate total comparable store sales based on consolidated net revenue excluding the impact of (i) Corporate and other revenue, (ii) sales from stores opened less than 13 months, (iii) stores closed in the periods presented, (iv) sales from partial months of operation when stores do not open or close on the first day of the month (v) if applicable, the impact of a 53rd week in a fiscal year; and (vi) in fiscal years following a 53-week fiscal year, there is a one week calendar shift to the comparable prior-year period. For the calculation of the adjusted comparable store sales growth in the second quarter of 2026, we compared weeks 14 through 26 in fiscal 2026 against weeks 15 through 27 in fiscal 2025. Brand-level comparable store sales growth is calculated based on point-of-sale revenues consistent with what the CODM reviews, and consistent with reportable segment revenues presented in Note 15. “Segment Reporting” in our Annual Report on Form 10-K for the period ended January 3, 2026.</w:t>
      </w:r>
    </w:p>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(b) Adjusted Comparable Store Sales Growth includes the effect of deferred and unearned revenue as if such revenues were earned at the point of sale, resulting in the changes from total comparable store sales growth based on consolidated net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4"/>
        </w:rPr>
      </w:pPr>
      <w:r>
        <w:rPr>
          <w:rFonts w:ascii="Arial;sans-serif" w:hAnsi="Arial;sans-serif"/>
          <w:b/>
          <w:color w:val="000000"/>
          <w:sz w:val="24"/>
        </w:rPr>
        <w:t>Contacts</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investor.relations@nationalvision.com</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Tamara Gonzalez</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ICR,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Caitlin Churchill </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media@nationalvision.com</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6526</Words>
  <Characters>37540</Characters>
  <CharactersWithSpaces>43543</CharactersWithSpaces>
  <Paragraphs>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