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76"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76"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10-Q </w:t>
      </w:r>
    </w:p>
    <w:p>
      <w:pPr>
        <w:pStyle w:val="TextBody"/>
        <w:bidi w:val="0"/>
        <w:spacing w:lineRule="auto" w:line="276" w:before="100" w:after="12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40" w:before="0" w:after="0"/>
        <w:jc w:val="left"/>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July 1, 2023 </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40" w:before="0" w:after="0"/>
        <w:jc w:val="left"/>
        <w:rPr/>
      </w:pPr>
      <w:r>
        <w:rPr>
          <w:color w:val="000000"/>
        </w:rPr>
        <w:t xml:space="preserve">☐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76"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001-38257 </w:t>
      </w:r>
    </w:p>
    <w:p>
      <w:pPr>
        <w:pStyle w:val="TextBody"/>
        <w:bidi w:val="0"/>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76" w:before="0" w:after="0"/>
        <w:jc w:val="center"/>
        <w:rPr>
          <w:rFonts w:ascii="Times New Roman;sans-serif" w:hAnsi="Times New Roman;sans-serif"/>
          <w:b/>
          <w:color w:val="000000"/>
          <w:sz w:val="32"/>
        </w:rPr>
      </w:pPr>
      <w:r>
        <w:rPr>
          <w:rFonts w:ascii="Times New Roman;sans-serif" w:hAnsi="Times New Roman;sans-serif"/>
          <w:b/>
          <w:color w:val="000000"/>
          <w:sz w:val="32"/>
        </w:rPr>
        <w:t>National Vision Holdings, Inc.</w:t>
      </w:r>
    </w:p>
    <w:p>
      <w:pPr>
        <w:pStyle w:val="TextBody"/>
        <w:bidi w:val="0"/>
        <w:spacing w:lineRule="auto" w:line="276"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tbl>
      <w:tblPr>
        <w:tblW w:w="4706" w:type="dxa"/>
        <w:jc w:val="center"/>
        <w:tblInd w:w="0" w:type="dxa"/>
        <w:tblLayout w:type="fixed"/>
        <w:tblCellMar>
          <w:top w:w="28" w:type="dxa"/>
          <w:left w:w="28" w:type="dxa"/>
          <w:bottom w:w="28" w:type="dxa"/>
          <w:right w:w="28" w:type="dxa"/>
        </w:tblCellMar>
      </w:tblPr>
      <w:tblGrid>
        <w:gridCol w:w="1056"/>
        <w:gridCol w:w="930"/>
        <w:gridCol w:w="938"/>
        <w:gridCol w:w="109"/>
        <w:gridCol w:w="109"/>
        <w:gridCol w:w="109"/>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46-4841717</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2435 Commerce Ave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Building 2200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30096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Duluth,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(770) 822</w:t>
        <w:noBreakHyphen/>
        <w:t xml:space="preserve">3600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76" w:before="0" w:after="10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w:t>
      </w:r>
    </w:p>
    <w:p>
      <w:pPr>
        <w:pStyle w:val="TextBody"/>
        <w:bidi w:val="0"/>
        <w:spacing w:lineRule="auto" w:line="276" w:before="0" w:after="12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797" w:type="dxa"/>
        <w:jc w:val="center"/>
        <w:tblInd w:w="0" w:type="dxa"/>
        <w:tblLayout w:type="fixed"/>
        <w:tblCellMar>
          <w:top w:w="28" w:type="dxa"/>
          <w:left w:w="28" w:type="dxa"/>
          <w:bottom w:w="28" w:type="dxa"/>
          <w:right w:w="28" w:type="dxa"/>
        </w:tblCellMar>
      </w:tblPr>
      <w:tblGrid>
        <w:gridCol w:w="1123"/>
        <w:gridCol w:w="988"/>
        <w:gridCol w:w="994"/>
        <w:gridCol w:w="109"/>
        <w:gridCol w:w="109"/>
        <w:gridCol w:w="109"/>
        <w:gridCol w:w="519"/>
        <w:gridCol w:w="519"/>
        <w:gridCol w:w="521"/>
        <w:gridCol w:w="109"/>
        <w:gridCol w:w="109"/>
        <w:gridCol w:w="109"/>
        <w:gridCol w:w="1019"/>
        <w:gridCol w:w="1019"/>
        <w:gridCol w:w="1441"/>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bidi w:val="0"/>
        <w:spacing w:lineRule="auto" w:line="276" w:before="0" w:after="100"/>
        <w:jc w:val="left"/>
        <w:rPr/>
      </w:pPr>
      <w:r>
        <w:rPr>
          <w:rFonts w:ascii="Times New Roman;sans-serif" w:hAnsi="Times New Roman;sans-serif"/>
          <w:b w:val="false"/>
          <w:color w:val="000000"/>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10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10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the number of shares outstanding of each of the issuer’s classes of common stock, as of the latest practicable date. </w:t>
      </w:r>
    </w:p>
    <w:tbl>
      <w:tblPr>
        <w:tblW w:w="5080"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692"/>
        <w:gridCol w:w="692"/>
        <w:gridCol w:w="985"/>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at July 28, 2023</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78,157,788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200"/>
        <w:jc w:val="center"/>
        <w:rPr>
          <w:rFonts w:ascii="Times New Roman;sans-serif" w:hAnsi="Times New Roman;sans-serif"/>
          <w:b/>
          <w:color w:val="000000"/>
          <w:sz w:val="22"/>
        </w:rPr>
      </w:pPr>
      <w:r>
        <w:rPr>
          <w:rFonts w:ascii="Times New Roman;sans-serif" w:hAnsi="Times New Roman;sans-serif"/>
          <w:b/>
          <w:color w:val="000000"/>
          <w:sz w:val="22"/>
        </w:rPr>
        <w:t>NATIONAL VISION HOLDINGS, INC. AND SUBSIDIARIES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608"/>
        <w:gridCol w:w="535"/>
        <w:gridCol w:w="535"/>
        <w:gridCol w:w="535"/>
        <w:gridCol w:w="535"/>
        <w:gridCol w:w="535"/>
        <w:gridCol w:w="2232"/>
        <w:gridCol w:w="2054"/>
        <w:gridCol w:w="2091"/>
        <w:gridCol w:w="158"/>
        <w:gridCol w:w="158"/>
        <w:gridCol w:w="229"/>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0">
              <w:r>
                <w:rPr>
                  <w:rStyle w:val="InternetLink"/>
                  <w:rFonts w:ascii="Times New Roman;sans-serif" w:hAnsi="Times New Roman;sans-serif"/>
                  <w:b w:val="false"/>
                  <w:color w:val="0000FF"/>
                  <w:sz w:val="20"/>
                  <w:u w:val="single"/>
                </w:rPr>
                <w:t>SPECIAL NOTE REGARDING FORWARD-LOOKING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0">
              <w:r>
                <w:rPr>
                  <w:rStyle w:val="InternetLink"/>
                  <w:rFonts w:ascii="Times New Roman;sans-serif" w:hAnsi="Times New Roman;sans-serif"/>
                  <w:b w:val="false"/>
                  <w:color w:val="0000FF"/>
                  <w:sz w:val="20"/>
                  <w:u w:val="single"/>
                </w:rPr>
                <w:t>3</w:t>
              </w:r>
            </w:hyperlink>
          </w:p>
        </w:tc>
      </w:tr>
      <w:tr>
        <w:trPr/>
        <w:tc>
          <w:tcPr>
            <w:tcW w:w="966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6">
              <w:r>
                <w:rPr>
                  <w:rStyle w:val="InternetLink"/>
                  <w:rFonts w:ascii="Times New Roman;sans-serif" w:hAnsi="Times New Roman;sans-serif"/>
                  <w:b w:val="false"/>
                  <w:color w:val="0000FF"/>
                  <w:sz w:val="20"/>
                  <w:u w:val="single"/>
                </w:rPr>
                <w:t>PART I – FINANCIAL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6">
              <w:r>
                <w:rPr>
                  <w:rStyle w:val="InternetLink"/>
                  <w:rFonts w:ascii="Times New Roman;sans-serif" w:hAnsi="Times New Roman;sans-serif"/>
                  <w:b w:val="false"/>
                  <w:color w:val="0000FF"/>
                  <w:sz w:val="20"/>
                  <w:u w:val="single"/>
                </w:rPr>
                <w:t>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9">
              <w:r>
                <w:rPr>
                  <w:rStyle w:val="InternetLink"/>
                  <w:rFonts w:ascii="Times New Roman;sans-serif" w:hAnsi="Times New Roman;sans-serif"/>
                  <w:b w:val="false"/>
                  <w:color w:val="0000FF"/>
                  <w:sz w:val="20"/>
                  <w:u w:val="single"/>
                </w:rPr>
                <w:t>Item 1.</w:t>
              </w:r>
            </w:hyperlink>
          </w:p>
        </w:tc>
        <w:tc>
          <w:tcPr>
            <w:tcW w:w="6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9">
              <w:r>
                <w:rPr>
                  <w:rStyle w:val="InternetLink"/>
                  <w:rFonts w:ascii="Times New Roman;sans-serif" w:hAnsi="Times New Roman;sans-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9">
              <w:r>
                <w:rPr>
                  <w:rStyle w:val="InternetLink"/>
                  <w:rFonts w:ascii="Times New Roman;sans-serif" w:hAnsi="Times New Roman;sans-serif"/>
                  <w:b w:val="false"/>
                  <w:color w:val="0000FF"/>
                  <w:sz w:val="20"/>
                  <w:u w:val="single"/>
                </w:rPr>
                <w:t>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2df0a8e17594712a3e8e7fd5af6adb7_22">
              <w:r>
                <w:rPr>
                  <w:rStyle w:val="InternetLink"/>
                  <w:rFonts w:ascii="Times New Roman;sans-serif" w:hAnsi="Times New Roman;sans-serif"/>
                  <w:b w:val="false"/>
                  <w:color w:val="0000FF"/>
                  <w:sz w:val="20"/>
                  <w:u w:val="single"/>
                </w:rPr>
                <w:t>Condensed Consolidated Balance Sheets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2">
              <w:r>
                <w:rPr>
                  <w:rStyle w:val="InternetLink"/>
                  <w:rFonts w:ascii="Times New Roman;sans-serif" w:hAnsi="Times New Roman;sans-serif"/>
                  <w:b w:val="false"/>
                  <w:color w:val="0000FF"/>
                  <w:sz w:val="20"/>
                  <w:u w:val="single"/>
                </w:rPr>
                <w:t>5</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8">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8">
              <w:r>
                <w:rPr>
                  <w:rStyle w:val="InternetLink"/>
                  <w:rFonts w:ascii="Times New Roman;sans-serif" w:hAnsi="Times New Roman;sans-serif"/>
                  <w:b w:val="false"/>
                  <w:color w:val="0000FF"/>
                  <w:sz w:val="20"/>
                  <w:u w:val="single"/>
                </w:rPr>
                <w:t>6</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2df0a8e17594712a3e8e7fd5af6adb7_37">
              <w:r>
                <w:rPr>
                  <w:rStyle w:val="InternetLink"/>
                  <w:rFonts w:ascii="Times New Roman;sans-serif" w:hAnsi="Times New Roman;sans-serif"/>
                  <w:b w:val="false"/>
                  <w:color w:val="0000FF"/>
                  <w:sz w:val="20"/>
                  <w:u w:val="single"/>
                </w:rPr>
                <w:t>Condensed Consolidated Statements of Stockholders’ Equity</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37">
              <w:r>
                <w:rPr>
                  <w:rStyle w:val="InternetLink"/>
                  <w:rFonts w:ascii="Times New Roman;sans-serif" w:hAnsi="Times New Roman;sans-serif"/>
                  <w:b w:val="false"/>
                  <w:color w:val="0000FF"/>
                  <w:sz w:val="20"/>
                  <w:u w:val="single"/>
                </w:rPr>
                <w:t>7</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2df0a8e17594712a3e8e7fd5af6adb7_40">
              <w:r>
                <w:rPr>
                  <w:rStyle w:val="InternetLink"/>
                  <w:rFonts w:ascii="Times New Roman;sans-serif" w:hAnsi="Times New Roman;sans-serif"/>
                  <w:b w:val="false"/>
                  <w:color w:val="0000FF"/>
                  <w:sz w:val="20"/>
                  <w:u w:val="single"/>
                </w:rPr>
                <w:t>Condensed Consolidated Statements of Cash Flows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40">
              <w:r>
                <w:rPr>
                  <w:rStyle w:val="InternetLink"/>
                  <w:rFonts w:ascii="Times New Roman;sans-serif" w:hAnsi="Times New Roman;sans-serif"/>
                  <w:b w:val="false"/>
                  <w:color w:val="0000FF"/>
                  <w:sz w:val="20"/>
                  <w:u w:val="single"/>
                </w:rPr>
                <w:t>8</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2df0a8e17594712a3e8e7fd5af6adb7_43">
              <w:r>
                <w:rPr>
                  <w:rStyle w:val="InternetLink"/>
                  <w:rFonts w:ascii="Times New Roman;sans-serif" w:hAnsi="Times New Roman;sans-serif"/>
                  <w:b w:val="false"/>
                  <w:color w:val="0000FF"/>
                  <w:sz w:val="20"/>
                  <w:u w:val="single"/>
                </w:rPr>
                <w:t>Notes to 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43">
              <w:r>
                <w:rPr>
                  <w:rStyle w:val="InternetLink"/>
                  <w:rFonts w:ascii="Times New Roman;sans-serif" w:hAnsi="Times New Roman;sans-serif"/>
                  <w:b w:val="false"/>
                  <w:color w:val="0000FF"/>
                  <w:sz w:val="20"/>
                  <w:u w:val="single"/>
                </w:rPr>
                <w:t>9</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30">
              <w:r>
                <w:rPr>
                  <w:rStyle w:val="InternetLink"/>
                  <w:rFonts w:ascii="Times New Roman;sans-serif" w:hAnsi="Times New Roman;sans-serif"/>
                  <w:b w:val="false"/>
                  <w:color w:val="0000FF"/>
                  <w:sz w:val="20"/>
                  <w:u w:val="single"/>
                </w:rPr>
                <w:t>Item 2.</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3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30">
              <w:r>
                <w:rPr>
                  <w:rStyle w:val="InternetLink"/>
                  <w:rFonts w:ascii="Times New Roman;sans-serif" w:hAnsi="Times New Roman;sans-serif"/>
                  <w:b w:val="false"/>
                  <w:color w:val="0000FF"/>
                  <w:sz w:val="20"/>
                  <w:u w:val="single"/>
                </w:rPr>
                <w:t>22</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78">
              <w:r>
                <w:rPr>
                  <w:rStyle w:val="InternetLink"/>
                  <w:rFonts w:ascii="Times New Roman;sans-serif" w:hAnsi="Times New Roman;sans-serif"/>
                  <w:b w:val="false"/>
                  <w:color w:val="0000FF"/>
                  <w:sz w:val="20"/>
                  <w:u w:val="single"/>
                </w:rPr>
                <w:t>Item 3.</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78">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78">
              <w:r>
                <w:rPr>
                  <w:rStyle w:val="InternetLink"/>
                  <w:rFonts w:ascii="Times New Roman;sans-serif" w:hAnsi="Times New Roman;sans-serif"/>
                  <w:b w:val="false"/>
                  <w:color w:val="0000FF"/>
                  <w:sz w:val="20"/>
                  <w:u w:val="single"/>
                </w:rPr>
                <w:t>36</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1">
              <w:r>
                <w:rPr>
                  <w:rStyle w:val="InternetLink"/>
                  <w:rFonts w:ascii="Times New Roman;sans-serif" w:hAnsi="Times New Roman;sans-serif"/>
                  <w:b w:val="false"/>
                  <w:color w:val="0000FF"/>
                  <w:sz w:val="20"/>
                  <w:u w:val="single"/>
                </w:rPr>
                <w:t>Item 4.</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1">
              <w:r>
                <w:rPr>
                  <w:rStyle w:val="InternetLink"/>
                  <w:rFonts w:ascii="Times New Roman;sans-serif" w:hAnsi="Times New Roman;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1">
              <w:r>
                <w:rPr>
                  <w:rStyle w:val="InternetLink"/>
                  <w:rFonts w:ascii="Times New Roman;sans-serif" w:hAnsi="Times New Roman;sans-serif"/>
                  <w:b w:val="false"/>
                  <w:color w:val="0000FF"/>
                  <w:sz w:val="20"/>
                  <w:u w:val="single"/>
                </w:rPr>
                <w:t>36</w:t>
              </w:r>
            </w:hyperlink>
          </w:p>
        </w:tc>
      </w:tr>
      <w:tr>
        <w:trPr/>
        <w:tc>
          <w:tcPr>
            <w:tcW w:w="966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4">
              <w:r>
                <w:rPr>
                  <w:rStyle w:val="InternetLink"/>
                  <w:rFonts w:ascii="Times New Roman;sans-serif" w:hAnsi="Times New Roman;sans-serif"/>
                  <w:b w:val="false"/>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4">
              <w:r>
                <w:rPr>
                  <w:rStyle w:val="InternetLink"/>
                  <w:rFonts w:ascii="Times New Roman;sans-serif" w:hAnsi="Times New Roman;sans-serif"/>
                  <w:b w:val="false"/>
                  <w:color w:val="0000FF"/>
                  <w:sz w:val="20"/>
                  <w:u w:val="single"/>
                </w:rPr>
                <w:t>37</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7">
              <w:r>
                <w:rPr>
                  <w:rStyle w:val="InternetLink"/>
                  <w:rFonts w:ascii="Times New Roman;sans-serif" w:hAnsi="Times New Roman;sans-serif"/>
                  <w:b w:val="false"/>
                  <w:color w:val="0000FF"/>
                  <w:sz w:val="20"/>
                  <w:u w:val="single"/>
                </w:rPr>
                <w:t>Item 1.</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7">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87">
              <w:r>
                <w:rPr>
                  <w:rStyle w:val="InternetLink"/>
                  <w:rFonts w:ascii="Times New Roman;sans-serif" w:hAnsi="Times New Roman;sans-serif"/>
                  <w:b w:val="false"/>
                  <w:color w:val="0000FF"/>
                  <w:sz w:val="20"/>
                  <w:u w:val="single"/>
                </w:rPr>
                <w:t>37</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90">
              <w:r>
                <w:rPr>
                  <w:rStyle w:val="InternetLink"/>
                  <w:rFonts w:ascii="Times New Roman;sans-serif" w:hAnsi="Times New Roman;sans-serif"/>
                  <w:b w:val="false"/>
                  <w:color w:val="0000FF"/>
                  <w:sz w:val="20"/>
                  <w:u w:val="single"/>
                </w:rPr>
                <w:t>Item 1A.</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90">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90">
              <w:r>
                <w:rPr>
                  <w:rStyle w:val="InternetLink"/>
                  <w:rFonts w:ascii="Times New Roman;sans-serif" w:hAnsi="Times New Roman;sans-serif"/>
                  <w:b w:val="false"/>
                  <w:color w:val="0000FF"/>
                  <w:sz w:val="20"/>
                  <w:u w:val="single"/>
                </w:rPr>
                <w:t>37</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96">
              <w:r>
                <w:rPr>
                  <w:rStyle w:val="InternetLink"/>
                  <w:rFonts w:ascii="Times New Roman;sans-serif" w:hAnsi="Times New Roman;sans-serif"/>
                  <w:b w:val="false"/>
                  <w:color w:val="0000FF"/>
                  <w:sz w:val="20"/>
                  <w:u w:val="single"/>
                </w:rPr>
                <w:t>Item 2.</w:t>
              </w:r>
            </w:hyperlink>
          </w:p>
        </w:tc>
        <w:tc>
          <w:tcPr>
            <w:tcW w:w="6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96">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196">
              <w:r>
                <w:rPr>
                  <w:rStyle w:val="InternetLink"/>
                  <w:rFonts w:ascii="Times New Roman;sans-serif" w:hAnsi="Times New Roman;sans-serif"/>
                  <w:b w:val="false"/>
                  <w:color w:val="0000FF"/>
                  <w:sz w:val="20"/>
                  <w:u w:val="single"/>
                </w:rPr>
                <w:t>37</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2">
              <w:r>
                <w:rPr>
                  <w:rStyle w:val="InternetLink"/>
                  <w:rFonts w:ascii="Times New Roman;sans-serif" w:hAnsi="Times New Roman;sans-serif"/>
                  <w:b w:val="false"/>
                  <w:color w:val="0000FF"/>
                  <w:sz w:val="20"/>
                  <w:u w:val="single"/>
                </w:rPr>
                <w:t>Item 3.</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2">
              <w:r>
                <w:rPr>
                  <w:rStyle w:val="InternetLink"/>
                  <w:rFonts w:ascii="Times New Roman;sans-serif" w:hAnsi="Times New Roman;sans-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2">
              <w:r>
                <w:rPr>
                  <w:rStyle w:val="InternetLink"/>
                  <w:rFonts w:ascii="Times New Roman;sans-serif" w:hAnsi="Times New Roman;sans-serif"/>
                  <w:b w:val="false"/>
                  <w:color w:val="0000FF"/>
                  <w:sz w:val="20"/>
                  <w:u w:val="single"/>
                </w:rPr>
                <w:t>38</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5">
              <w:r>
                <w:rPr>
                  <w:rStyle w:val="InternetLink"/>
                  <w:rFonts w:ascii="Times New Roman;sans-serif" w:hAnsi="Times New Roman;sans-serif"/>
                  <w:b w:val="false"/>
                  <w:color w:val="0000FF"/>
                  <w:sz w:val="20"/>
                  <w:u w:val="single"/>
                </w:rPr>
                <w:t>Item 4.</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5">
              <w:r>
                <w:rPr>
                  <w:rStyle w:val="InternetLink"/>
                  <w:rFonts w:ascii="Times New Roman;sans-serif" w:hAnsi="Times New Roman;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5">
              <w:r>
                <w:rPr>
                  <w:rStyle w:val="InternetLink"/>
                  <w:rFonts w:ascii="Times New Roman;sans-serif" w:hAnsi="Times New Roman;sans-serif"/>
                  <w:b w:val="false"/>
                  <w:color w:val="0000FF"/>
                  <w:sz w:val="20"/>
                  <w:u w:val="single"/>
                </w:rPr>
                <w:t>38</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8">
              <w:r>
                <w:rPr>
                  <w:rStyle w:val="InternetLink"/>
                  <w:rFonts w:ascii="Times New Roman;sans-serif" w:hAnsi="Times New Roman;sans-serif"/>
                  <w:b w:val="false"/>
                  <w:color w:val="0000FF"/>
                  <w:sz w:val="20"/>
                  <w:u w:val="single"/>
                </w:rPr>
                <w:t>Item 5.</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8">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08">
              <w:r>
                <w:rPr>
                  <w:rStyle w:val="InternetLink"/>
                  <w:rFonts w:ascii="Times New Roman;sans-serif" w:hAnsi="Times New Roman;sans-serif"/>
                  <w:b w:val="false"/>
                  <w:color w:val="0000FF"/>
                  <w:sz w:val="20"/>
                  <w:u w:val="single"/>
                </w:rPr>
                <w:t>38</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11">
              <w:r>
                <w:rPr>
                  <w:rStyle w:val="InternetLink"/>
                  <w:rFonts w:ascii="Times New Roman;sans-serif" w:hAnsi="Times New Roman;sans-serif"/>
                  <w:b w:val="false"/>
                  <w:color w:val="0000FF"/>
                  <w:sz w:val="20"/>
                  <w:u w:val="single"/>
                </w:rPr>
                <w:t>Item 6.</w:t>
              </w:r>
            </w:hyperlink>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11">
              <w:r>
                <w:rPr>
                  <w:rStyle w:val="InternetLink"/>
                  <w:rFonts w:ascii="Times New Roman;sans-serif" w:hAnsi="Times New Roman;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11">
              <w:r>
                <w:rPr>
                  <w:rStyle w:val="InternetLink"/>
                  <w:rFonts w:ascii="Times New Roman;sans-serif" w:hAnsi="Times New Roman;sans-serif"/>
                  <w:b w:val="false"/>
                  <w:color w:val="0000FF"/>
                  <w:sz w:val="20"/>
                  <w:u w:val="single"/>
                </w:rPr>
                <w:t>39</w:t>
              </w:r>
            </w:hyperlink>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14">
              <w:r>
                <w:rPr>
                  <w:rStyle w:val="InternetLink"/>
                  <w:rFonts w:ascii="Times New Roman;sans-serif" w:hAnsi="Times New Roman;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df0a8e17594712a3e8e7fd5af6adb7_214">
              <w:r>
                <w:rPr>
                  <w:rStyle w:val="InternetLink"/>
                  <w:rFonts w:ascii="Times New Roman;sans-serif" w:hAnsi="Times New Roman;sans-serif"/>
                  <w:b w:val="false"/>
                  <w:color w:val="0000FF"/>
                  <w:sz w:val="20"/>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December 31, 2022 (the “2022 Annual Report on Form 10-K”), as filed with the Securities and Exchange Commission (the “SEC”), as such risk factors may be updated from time to time in our periodic filings with the SEC, which are accessible on the SEC’s website at www.sec.gov, and also include, but are not limited to, the COVID-19 pandemic and future resurgences, and related impacts including federal, state, and local governmental actions in response thereto; customer behavior in response to the pandemic, including the impact of such behavior on in-store traffic and sales; market volatility and an overall decline in the health of the economy and other factors impacting consumer spending, including inflation and uncertainty in financial markets (including as a result of recent bank failures and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successfully navigate the termination of our Walmart partnership, including the transition period;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related to owning our common stock (including the timing, manner and volume of repurchases of common stock pursuant to our share repurchase program), including our ability to comply with requirements to design and implement and maintain effective internal controls.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86"/>
        <w:gridCol w:w="2077"/>
        <w:gridCol w:w="2063"/>
        <w:gridCol w:w="211"/>
        <w:gridCol w:w="976"/>
        <w:gridCol w:w="109"/>
        <w:gridCol w:w="109"/>
        <w:gridCol w:w="109"/>
        <w:gridCol w:w="109"/>
        <w:gridCol w:w="228"/>
        <w:gridCol w:w="1058"/>
        <w:gridCol w:w="170"/>
      </w:tblGrid>
      <w:tr>
        <w:trPr/>
        <w:tc>
          <w:tcPr>
            <w:tcW w:w="298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1,817,410 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2,291,246 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and finance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344,264 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less current portion and debt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1,045,869 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(See Note 9)</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84,625 and 84,273 shares issued as of July 1, 2023 and December 31, 2022, respectively; 78,154 and 78,992 shares outstanding as of July 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at cost; 6,471 and 5,281 shares as of July 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2,291,246 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Earnings Per Share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2"/>
        <w:gridCol w:w="1398"/>
        <w:gridCol w:w="14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services and plans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applicable to revenue (exclusive of 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and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of unrealized gain on hedge instruments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16"/>
        <w:gridCol w:w="606"/>
        <w:gridCol w:w="610"/>
        <w:gridCol w:w="360"/>
        <w:gridCol w:w="361"/>
        <w:gridCol w:w="211"/>
        <w:gridCol w:w="225"/>
        <w:gridCol w:w="498"/>
        <w:gridCol w:w="116"/>
        <w:gridCol w:w="211"/>
        <w:gridCol w:w="826"/>
        <w:gridCol w:w="109"/>
        <w:gridCol w:w="308"/>
        <w:gridCol w:w="925"/>
        <w:gridCol w:w="160"/>
        <w:gridCol w:w="237"/>
        <w:gridCol w:w="929"/>
        <w:gridCol w:w="122"/>
        <w:gridCol w:w="211"/>
        <w:gridCol w:w="859"/>
        <w:gridCol w:w="109"/>
        <w:gridCol w:w="228"/>
        <w:gridCol w:w="893"/>
        <w:gridCol w:w="175"/>
      </w:tblGrid>
      <w:tr>
        <w:trPr/>
        <w:tc>
          <w:tcPr>
            <w:tcW w:w="9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July 1, 2023</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w:t>
              <w:br/>
              <w:t xml:space="preserve">Paid-In </w:t>
              <w:br/>
              <w:t>Capital</w:t>
            </w:r>
          </w:p>
        </w:tc>
        <w:tc>
          <w:tcPr>
            <w:tcW w:w="13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Other</w:t>
              <w:br/>
              <w:t xml:space="preserve">Comprehensive </w:t>
              <w:br/>
              <w:t>Loss</w:t>
            </w:r>
          </w:p>
        </w:tc>
        <w:tc>
          <w:tcPr>
            <w:tcW w:w="12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w:t>
              <w:br/>
              <w:t>Stock</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br/>
              <w:t xml:space="preserve">Stockholders’ </w:t>
              <w:br/>
              <w:t xml:space="preserve">Equity </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2025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April 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896,726 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July 1,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908,412 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tbl>
      <w:tblPr>
        <w:tblW w:w="10205" w:type="dxa"/>
        <w:jc w:val="center"/>
        <w:tblInd w:w="0" w:type="dxa"/>
        <w:tblLayout w:type="fixed"/>
        <w:tblCellMar>
          <w:top w:w="28" w:type="dxa"/>
          <w:left w:w="28" w:type="dxa"/>
          <w:bottom w:w="28" w:type="dxa"/>
          <w:right w:w="28" w:type="dxa"/>
        </w:tblCellMar>
      </w:tblPr>
      <w:tblGrid>
        <w:gridCol w:w="950"/>
        <w:gridCol w:w="589"/>
        <w:gridCol w:w="593"/>
        <w:gridCol w:w="360"/>
        <w:gridCol w:w="361"/>
        <w:gridCol w:w="211"/>
        <w:gridCol w:w="225"/>
        <w:gridCol w:w="498"/>
        <w:gridCol w:w="116"/>
        <w:gridCol w:w="211"/>
        <w:gridCol w:w="826"/>
        <w:gridCol w:w="109"/>
        <w:gridCol w:w="308"/>
        <w:gridCol w:w="925"/>
        <w:gridCol w:w="160"/>
        <w:gridCol w:w="237"/>
        <w:gridCol w:w="929"/>
        <w:gridCol w:w="122"/>
        <w:gridCol w:w="211"/>
        <w:gridCol w:w="859"/>
        <w:gridCol w:w="109"/>
        <w:gridCol w:w="228"/>
        <w:gridCol w:w="893"/>
        <w:gridCol w:w="175"/>
      </w:tblGrid>
      <w:tr>
        <w:trPr/>
        <w:tc>
          <w:tcPr>
            <w:tcW w:w="95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July 2, 2022</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w:t>
              <w:br/>
              <w:t xml:space="preserve">Paid-In </w:t>
              <w:br/>
              <w:t>Capital</w:t>
            </w:r>
          </w:p>
        </w:tc>
        <w:tc>
          <w:tcPr>
            <w:tcW w:w="13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Other</w:t>
              <w:br/>
              <w:t xml:space="preserve">Comprehensive </w:t>
              <w:br/>
              <w:t>Loss</w:t>
            </w:r>
          </w:p>
        </w:tc>
        <w:tc>
          <w:tcPr>
            <w:tcW w:w="12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w:t>
              <w:br/>
              <w:t>Stock</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br/>
              <w:t xml:space="preserve">Stockholders’ </w:t>
              <w:br/>
              <w:t xml:space="preserve">Equity </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January 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2025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April 2,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950,726 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 instruments,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July 2,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891,669 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213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43" w:type="dxa"/>
        <w:jc w:val="left"/>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Six Months Ended</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 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Asset impairment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(gains) on change in fair value of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 and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unearned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accrued at the end of the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Notes to Condensed Consolidated Financial Statements</w:t>
      </w:r>
    </w:p>
    <w:p>
      <w:pPr>
        <w:pStyle w:val="TextBody"/>
        <w:bidi w:val="0"/>
        <w:spacing w:before="0" w:after="0"/>
        <w:jc w:val="left"/>
        <w:rPr/>
      </w:pPr>
      <w:r>
        <w:rPr/>
      </w:r>
    </w:p>
    <w:p>
      <w:pPr>
        <w:pStyle w:val="TextBody"/>
        <w:bidi w:val="0"/>
        <w:spacing w:before="0" w:after="0"/>
        <w:jc w:val="left"/>
        <w:rPr/>
      </w:pPr>
      <w:r>
        <w:rPr/>
      </w:r>
    </w:p>
    <w:tbl>
      <w:tblPr>
        <w:tblW w:w="4860" w:type="dxa"/>
        <w:jc w:val="left"/>
        <w:tblInd w:w="0" w:type="dxa"/>
        <w:tblLayout w:type="fixed"/>
        <w:tblCellMar>
          <w:top w:w="28" w:type="dxa"/>
          <w:left w:w="28" w:type="dxa"/>
          <w:bottom w:w="28" w:type="dxa"/>
          <w:right w:w="28" w:type="dxa"/>
        </w:tblCellMar>
      </w:tblPr>
      <w:tblGrid>
        <w:gridCol w:w="1565"/>
        <w:gridCol w:w="1373"/>
        <w:gridCol w:w="1381"/>
        <w:gridCol w:w="158"/>
        <w:gridCol w:w="158"/>
        <w:gridCol w:w="225"/>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49">
              <w:r>
                <w:rPr>
                  <w:rStyle w:val="InternetLink"/>
                  <w:rFonts w:ascii="Times New Roman;sans-serif" w:hAnsi="Times New Roman;sans-serif"/>
                  <w:b w:val="false"/>
                  <w:color w:val="0000FF"/>
                  <w:sz w:val="20"/>
                  <w:u w:val="single"/>
                </w:rPr>
                <w:t>1. Description of Business and Basis of Presentation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49">
              <w:r>
                <w:rPr>
                  <w:rStyle w:val="InternetLink"/>
                  <w:rFonts w:ascii="Times New Roman;sans-serif" w:hAnsi="Times New Roman;sans-serif"/>
                  <w:b w:val="false"/>
                  <w:color w:val="0000FF"/>
                  <w:sz w:val="20"/>
                  <w:u w:val="single"/>
                </w:rPr>
                <w:t>10</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55">
              <w:r>
                <w:rPr>
                  <w:rStyle w:val="InternetLink"/>
                  <w:rFonts w:ascii="Times New Roman;sans-serif" w:hAnsi="Times New Roman;sans-serif"/>
                  <w:b w:val="false"/>
                  <w:color w:val="0000FF"/>
                  <w:sz w:val="20"/>
                  <w:u w:val="single"/>
                </w:rPr>
                <w:t>2. Details of Certain Balance Sheet Accounts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55">
              <w:r>
                <w:rPr>
                  <w:rStyle w:val="InternetLink"/>
                  <w:rFonts w:ascii="Times New Roman;sans-serif" w:hAnsi="Times New Roman;sans-serif"/>
                  <w:b w:val="false"/>
                  <w:color w:val="0000FF"/>
                  <w:sz w:val="20"/>
                  <w:u w:val="single"/>
                </w:rPr>
                <w:t>11</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61">
              <w:r>
                <w:rPr>
                  <w:rStyle w:val="InternetLink"/>
                  <w:rFonts w:ascii="Times New Roman;sans-serif" w:hAnsi="Times New Roman;sans-serif"/>
                  <w:b w:val="false"/>
                  <w:color w:val="0000FF"/>
                  <w:sz w:val="20"/>
                  <w:u w:val="single"/>
                </w:rPr>
                <w:t>3. Fair Value Measurement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61">
              <w:r>
                <w:rPr>
                  <w:rStyle w:val="InternetLink"/>
                  <w:rFonts w:ascii="Times New Roman;sans-serif" w:hAnsi="Times New Roman;sans-serif"/>
                  <w:b w:val="false"/>
                  <w:color w:val="0000FF"/>
                  <w:sz w:val="20"/>
                  <w:u w:val="single"/>
                </w:rPr>
                <w:t>12</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67">
              <w:r>
                <w:rPr>
                  <w:rStyle w:val="InternetLink"/>
                  <w:rFonts w:ascii="Times New Roman;sans-serif" w:hAnsi="Times New Roman;sans-serif"/>
                  <w:b w:val="false"/>
                  <w:color w:val="0000FF"/>
                  <w:sz w:val="20"/>
                  <w:u w:val="single"/>
                </w:rPr>
                <w:t>4. Long-term Debt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67">
              <w:r>
                <w:rPr>
                  <w:rStyle w:val="InternetLink"/>
                  <w:rFonts w:ascii="Times New Roman;sans-serif" w:hAnsi="Times New Roman;sans-serif"/>
                  <w:b w:val="false"/>
                  <w:color w:val="0000FF"/>
                  <w:sz w:val="20"/>
                  <w:u w:val="single"/>
                </w:rPr>
                <w:t>13</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73">
              <w:r>
                <w:rPr>
                  <w:rStyle w:val="InternetLink"/>
                  <w:rFonts w:ascii="Times New Roman;sans-serif" w:hAnsi="Times New Roman;sans-serif"/>
                  <w:b w:val="false"/>
                  <w:color w:val="0000FF"/>
                  <w:sz w:val="20"/>
                  <w:u w:val="single"/>
                </w:rPr>
                <w:t>5. Interest Rate Derivatives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73">
              <w:r>
                <w:rPr>
                  <w:rStyle w:val="InternetLink"/>
                  <w:rFonts w:ascii="Times New Roman;sans-serif" w:hAnsi="Times New Roman;sans-serif"/>
                  <w:b w:val="false"/>
                  <w:color w:val="0000FF"/>
                  <w:sz w:val="20"/>
                  <w:u w:val="single"/>
                </w:rPr>
                <w:t>15</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79">
              <w:r>
                <w:rPr>
                  <w:rStyle w:val="InternetLink"/>
                  <w:rFonts w:ascii="Times New Roman;sans-serif" w:hAnsi="Times New Roman;sans-serif"/>
                  <w:b w:val="false"/>
                  <w:color w:val="0000FF"/>
                  <w:sz w:val="20"/>
                  <w:u w:val="single"/>
                </w:rPr>
                <w:t>6. Stock Incentive Plans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79">
              <w:r>
                <w:rPr>
                  <w:rStyle w:val="InternetLink"/>
                  <w:rFonts w:ascii="Times New Roman;sans-serif" w:hAnsi="Times New Roman;sans-serif"/>
                  <w:b w:val="false"/>
                  <w:color w:val="0000FF"/>
                  <w:sz w:val="20"/>
                  <w:u w:val="single"/>
                </w:rPr>
                <w:t>15</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88">
              <w:r>
                <w:rPr>
                  <w:rStyle w:val="InternetLink"/>
                  <w:rFonts w:ascii="Times New Roman;sans-serif" w:hAnsi="Times New Roman;sans-serif"/>
                  <w:b w:val="false"/>
                  <w:color w:val="0000FF"/>
                  <w:sz w:val="20"/>
                  <w:u w:val="single"/>
                </w:rPr>
                <w:t>7. Revenue From Contracts With Customers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88">
              <w:r>
                <w:rPr>
                  <w:rStyle w:val="InternetLink"/>
                  <w:rFonts w:ascii="Times New Roman;sans-serif" w:hAnsi="Times New Roman;sans-serif"/>
                  <w:b w:val="false"/>
                  <w:color w:val="0000FF"/>
                  <w:sz w:val="20"/>
                  <w:u w:val="single"/>
                </w:rPr>
                <w:t>16</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94">
              <w:r>
                <w:rPr>
                  <w:rStyle w:val="InternetLink"/>
                  <w:rFonts w:ascii="Times New Roman;sans-serif" w:hAnsi="Times New Roman;sans-serif"/>
                  <w:b w:val="false"/>
                  <w:color w:val="0000FF"/>
                  <w:sz w:val="20"/>
                  <w:u w:val="single"/>
                </w:rPr>
                <w:t>8. Leases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94">
              <w:r>
                <w:rPr>
                  <w:rStyle w:val="InternetLink"/>
                  <w:rFonts w:ascii="Times New Roman;sans-serif" w:hAnsi="Times New Roman;sans-serif"/>
                  <w:b w:val="false"/>
                  <w:color w:val="0000FF"/>
                  <w:sz w:val="20"/>
                  <w:u w:val="single"/>
                </w:rPr>
                <w:t>17</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100">
              <w:r>
                <w:rPr>
                  <w:rStyle w:val="InternetLink"/>
                  <w:rFonts w:ascii="Times New Roman;sans-serif" w:hAnsi="Times New Roman;sans-serif"/>
                  <w:b w:val="false"/>
                  <w:color w:val="0000FF"/>
                  <w:sz w:val="20"/>
                  <w:u w:val="single"/>
                </w:rPr>
                <w:t>9. 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00">
              <w:r>
                <w:rPr>
                  <w:rStyle w:val="InternetLink"/>
                  <w:rFonts w:ascii="Times New Roman;sans-serif" w:hAnsi="Times New Roman;sans-serif"/>
                  <w:b w:val="false"/>
                  <w:color w:val="0000FF"/>
                  <w:sz w:val="20"/>
                  <w:u w:val="single"/>
                </w:rPr>
                <w:t>17</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106">
              <w:r>
                <w:rPr>
                  <w:rStyle w:val="InternetLink"/>
                  <w:rFonts w:ascii="Times New Roman;sans-serif" w:hAnsi="Times New Roman;sans-serif"/>
                  <w:b w:val="false"/>
                  <w:color w:val="0000FF"/>
                  <w:sz w:val="20"/>
                  <w:u w:val="single"/>
                </w:rPr>
                <w:t>10. Segment Reporting</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06">
              <w:r>
                <w:rPr>
                  <w:rStyle w:val="InternetLink"/>
                  <w:rFonts w:ascii="Times New Roman;sans-serif" w:hAnsi="Times New Roman;sans-serif"/>
                  <w:b w:val="false"/>
                  <w:color w:val="0000FF"/>
                  <w:sz w:val="20"/>
                  <w:u w:val="single"/>
                </w:rPr>
                <w:t>18</w:t>
              </w:r>
            </w:hyperlink>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112">
              <w:r>
                <w:rPr>
                  <w:rStyle w:val="InternetLink"/>
                  <w:rFonts w:ascii="Times New Roman;sans-serif" w:hAnsi="Times New Roman;sans-serif"/>
                  <w:b w:val="false"/>
                  <w:color w:val="0000FF"/>
                  <w:sz w:val="20"/>
                  <w:u w:val="single"/>
                </w:rPr>
                <w:t>11. Earnings Per Share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12">
              <w:r>
                <w:rPr>
                  <w:rStyle w:val="InternetLink"/>
                  <w:rFonts w:ascii="Times New Roman;sans-serif" w:hAnsi="Times New Roman;sans-serif"/>
                  <w:b w:val="false"/>
                  <w:color w:val="0000FF"/>
                  <w:sz w:val="20"/>
                  <w:u w:val="single"/>
                </w:rPr>
                <w:t>21</w:t>
              </w:r>
            </w:hyperlink>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df0a8e17594712a3e8e7fd5af6adb7_124">
              <w:r>
                <w:rPr>
                  <w:rStyle w:val="InternetLink"/>
                  <w:rFonts w:ascii="Times New Roman;sans-serif" w:hAnsi="Times New Roman;sans-serif"/>
                  <w:b w:val="false"/>
                  <w:color w:val="000080"/>
                  <w:sz w:val="20"/>
                  <w:u w:val="single"/>
                </w:rPr>
                <w:t>1</w:t>
              </w:r>
            </w:hyperlink>
            <w:hyperlink w:anchor="if2df0a8e17594712a3e8e7fd5af6adb7_124">
              <w:r>
                <w:rPr>
                  <w:rStyle w:val="InternetLink"/>
                  <w:rFonts w:ascii="Times New Roman;sans-serif" w:hAnsi="Times New Roman;sans-serif"/>
                  <w:b w:val="false"/>
                  <w:color w:val="000080"/>
                  <w:sz w:val="20"/>
                  <w:u w:val="single"/>
                </w:rPr>
                <w:t>2</w:t>
              </w:r>
            </w:hyperlink>
            <w:hyperlink w:anchor="if2df0a8e17594712a3e8e7fd5af6adb7_124">
              <w:r>
                <w:rPr>
                  <w:rStyle w:val="InternetLink"/>
                  <w:rFonts w:ascii="Times New Roman;sans-serif" w:hAnsi="Times New Roman;sans-serif"/>
                  <w:b w:val="false"/>
                  <w:color w:val="000080"/>
                  <w:sz w:val="20"/>
                  <w:u w:val="single"/>
                </w:rPr>
                <w:t>. Subsequent Events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df0a8e17594712a3e8e7fd5af6adb7_124">
              <w:r>
                <w:rPr>
                  <w:rStyle w:val="InternetLink"/>
                  <w:rFonts w:ascii="Times New Roman;sans-serif" w:hAnsi="Times New Roman;sans-serif"/>
                  <w:b w:val="false"/>
                  <w:color w:val="0000FF"/>
                  <w:sz w:val="20"/>
                  <w:u w:val="single"/>
                </w:rPr>
                <w:t>21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National Vision Holdings, Inc.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 Description of Business and Basis of Presentation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Nature of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We operated 1,381 and 1,354 retail optical locations in the United States and its territories as of July 1, 2023 and December 31,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 Refer to Note 12. “Subsequent Events” for developments related to the Walmart partnership that occurred after July 1, 2023.</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31, 2022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31, 2022 included in the 2022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July 1,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our accounts and those of our wholly-owned subsidiaries. All intercompany balances and transactions have been eliminated in consolidation. Certain amounts within the footnotes to the financial statements for fiscal year 2022 have been reclassified to conform to the fiscal year 2023 presentation.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consolidated certain entities meeting the definition of a variable interest entity (“VIE”) as the Company concluded that it is the primary beneficiary of the entities under the provisions of Accounting Standards Codification 810, Consolidation. At July 1, 2023, the variable interest entities include 32 professional corporations. The total assets of the consolidated VIEs included in the accompanying Condensed Consolidated Balance Sheets as of July 1, 2023 and December 31, 2022, were $6.2 million and $7.9 million, respectively, and the total liabilities of the consolidated VIEs were $7.9 million and $8.3 million,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Fiscal Year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consists of 52 or 53 weeks ending on the Saturday closest to December 31. Fiscal year 2023 contains 52 weeks and will end on December 30, 2023. All three and six month periods presented herein contain 13 and 26 weeks, respectively. All references to years and quarters relate to fiscal periods rather than calendar periods.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for the three and six months ended July 1, 2023 and July 2, 2022,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three months ended July 1, 2023 was 4.7%, reflecting our statutory federal and state rate of 25.4%, tax impacts of employee-related federal tax credits and effects of other permanent items. Our effective tax rate for the three months ended July 2, 2022 was 32.4%, reflecting our statutory federal and state rate of 25.5% and effects of other permanent items.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for the six months ended July 1, 2023 was 30.4%, reflecting our statutory federal and state rate of 25.4%, tax impacts of consolidated VIEs and non-deductible compensation expenses, as well as other permanent items. Our effective tax rate for the six months ended July 2, 2022 was 28.6%, reflecting our statutory federal and state rate of 25.5% and effects of other permanent items.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July 1, 2023 and July 2, 2022, the Company repurchased 1.1 million shares of its common stock for $25.0 million, and 2.7 million shares of its common stock for $80.0 million, respectively, under the share repurchase program. As of July 1, 2023, $25.0 million remains available under the share repurchase authorization.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U.S. government enacted the Inflation Reduction Act (“IRA”) which, among other things, provides for a 15% corporate alternative minimum tax based on a prescribed measure of income as well as a 1% excise tax on stock repurchases.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year 2023, we completed an investment in an entity specializing in applying artificial intelligence-powered screening and diagnostic tools to retinal imaging. The initial investment of $0.9 million was recognized in Other assets on the Condensed Consolidated Balance Sheets as of July 1, 2023 and in Other in the investing section of the Condensed Consolidated Statements of Cash Flows for the six months ended July 1, 2023. We have agreed to invest up to an additional $2.4 million in the entity upon the completion of certain milestones.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Adoption of Accounting Pronouncements</w:t>
      </w:r>
    </w:p>
    <w:p>
      <w:pPr>
        <w:pStyle w:val="TextBody"/>
        <w:bidi w:val="0"/>
        <w:spacing w:lineRule="auto" w:line="288" w:before="0" w:after="120"/>
        <w:jc w:val="both"/>
        <w:rPr/>
      </w:pPr>
      <w:r>
        <w:rPr>
          <w:rFonts w:ascii="Times New Roman;sans-serif" w:hAnsi="Times New Roman;sans-serif"/>
          <w:b w:val="false"/>
          <w:i/>
          <w:color w:val="000000"/>
          <w:sz w:val="20"/>
        </w:rPr>
        <w:t xml:space="preserve">Reference Rate Reform. </w:t>
      </w:r>
      <w:r>
        <w:rPr>
          <w:rFonts w:ascii="Times New Roman;sans-serif" w:hAnsi="Times New Roman;sans-serif"/>
          <w:b w:val="false"/>
          <w:color w:val="000000"/>
          <w:sz w:val="20"/>
        </w:rPr>
        <w:t>The Financial Accounting Standards Board (“FASB”) has issued guidance at various points over the last several years that provides 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Refer to Note 4. “Long-term Debt” and Note 5. “Interest Rate Derivatives” for more information on our transition from LIBOR to Term Secured Overnight Financing Rate (“Term SOFR”).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FASB issued other accounting guidance during the period that is not currently applicable or expected to have a material impact on the Company’s condensed consolidated financial statements, and therefore, is not described above.</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 Details of Certain Balance Sheet Accounts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reported within the Condensed Consolidated Balance sheets to the total of Cash, cash equivalents and restricted cash shown in the Condensed Consolidated Statement of Cash Flows:</w:t>
      </w:r>
    </w:p>
    <w:tbl>
      <w:tblPr>
        <w:tblW w:w="6369" w:type="dxa"/>
        <w:jc w:val="left"/>
        <w:tblInd w:w="0" w:type="dxa"/>
        <w:tblLayout w:type="fixed"/>
        <w:tblCellMar>
          <w:top w:w="28" w:type="dxa"/>
          <w:left w:w="28" w:type="dxa"/>
          <w:bottom w:w="28" w:type="dxa"/>
          <w:right w:w="28" w:type="dxa"/>
        </w:tblCellMar>
      </w:tblPr>
      <w:tblGrid>
        <w:gridCol w:w="1343"/>
        <w:gridCol w:w="1178"/>
        <w:gridCol w:w="1184"/>
        <w:gridCol w:w="211"/>
        <w:gridCol w:w="826"/>
        <w:gridCol w:w="109"/>
        <w:gridCol w:w="109"/>
        <w:gridCol w:w="109"/>
        <w:gridCol w:w="109"/>
        <w:gridCol w:w="211"/>
        <w:gridCol w:w="82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20"/>
        <w:jc w:val="left"/>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additional details of certain balance sheet accounts as of the dates shown below:</w:t>
      </w:r>
    </w:p>
    <w:p>
      <w:pPr>
        <w:pStyle w:val="TextBody"/>
        <w:bidi w:val="0"/>
        <w:spacing w:before="0" w:after="20"/>
        <w:jc w:val="left"/>
        <w:rPr/>
      </w:pPr>
      <w:r>
        <w:rPr/>
      </w:r>
    </w:p>
    <w:tbl>
      <w:tblPr>
        <w:tblW w:w="10205" w:type="dxa"/>
        <w:jc w:val="left"/>
        <w:tblInd w:w="0" w:type="dxa"/>
        <w:tblLayout w:type="fixed"/>
        <w:tblCellMar>
          <w:top w:w="28" w:type="dxa"/>
          <w:left w:w="28" w:type="dxa"/>
          <w:bottom w:w="28" w:type="dxa"/>
          <w:right w:w="28" w:type="dxa"/>
        </w:tblCellMar>
      </w:tblPr>
      <w:tblGrid>
        <w:gridCol w:w="1537"/>
        <w:gridCol w:w="1342"/>
        <w:gridCol w:w="1346"/>
        <w:gridCol w:w="431"/>
        <w:gridCol w:w="1474"/>
        <w:gridCol w:w="222"/>
        <w:gridCol w:w="209"/>
        <w:gridCol w:w="209"/>
        <w:gridCol w:w="209"/>
        <w:gridCol w:w="625"/>
        <w:gridCol w:w="2140"/>
        <w:gridCol w:w="461"/>
      </w:tblGrid>
      <w:tr>
        <w:trPr/>
        <w:tc>
          <w:tcPr>
            <w:tcW w:w="15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July 1, 2023</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receivables</w:t>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receivables </w:t>
            </w:r>
            <w:r>
              <w:rPr>
                <w:rFonts w:ascii="Times New Roman;sans-serif" w:hAnsi="Times New Roman;sans-serif"/>
                <w:b w:val="false"/>
                <w:color w:val="000000"/>
                <w:sz w:val="13"/>
              </w:rPr>
              <w:t>(1)</w:t>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79,892 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Coronavirus Aid, Relief, and Economic Security (“CARES”) Act receivable in the amount of $9.0 million as of July 1, 2023 and December 31, 2022.</w:t>
            </w:r>
          </w:p>
        </w:tc>
      </w:tr>
    </w:tbl>
    <w:p>
      <w:pPr>
        <w:pStyle w:val="TextBody"/>
        <w:bidi w:val="0"/>
        <w:spacing w:before="0" w:after="20"/>
        <w:jc w:val="left"/>
        <w:rPr/>
      </w:pPr>
      <w:r>
        <w:rPr/>
      </w:r>
    </w:p>
    <w:tbl>
      <w:tblPr>
        <w:tblW w:w="10205" w:type="dxa"/>
        <w:jc w:val="left"/>
        <w:tblInd w:w="0" w:type="dxa"/>
        <w:tblLayout w:type="fixed"/>
        <w:tblCellMar>
          <w:top w:w="28" w:type="dxa"/>
          <w:left w:w="28" w:type="dxa"/>
          <w:bottom w:w="28" w:type="dxa"/>
          <w:right w:w="28" w:type="dxa"/>
        </w:tblCellMar>
      </w:tblPr>
      <w:tblGrid>
        <w:gridCol w:w="1719"/>
        <w:gridCol w:w="1498"/>
        <w:gridCol w:w="1486"/>
        <w:gridCol w:w="378"/>
        <w:gridCol w:w="1481"/>
        <w:gridCol w:w="195"/>
        <w:gridCol w:w="195"/>
        <w:gridCol w:w="195"/>
        <w:gridCol w:w="195"/>
        <w:gridCol w:w="505"/>
        <w:gridCol w:w="1984"/>
        <w:gridCol w:w="374"/>
      </w:tblGrid>
      <w:tr>
        <w:trPr/>
        <w:tc>
          <w:tcPr>
            <w:tcW w:w="171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July 1, 2023</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Raw materials and work in process </w:t>
            </w:r>
            <w:r>
              <w:rPr>
                <w:rFonts w:ascii="Times New Roman;sans-serif" w:hAnsi="Times New Roman;sans-serif"/>
                <w:b w:val="false"/>
                <w:color w:val="000000"/>
                <w:sz w:val="13"/>
              </w:rPr>
              <w:t>(1)</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123,158 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(1)Due to the immaterial amount of estimated work in process and the short lead times for the conversion of raw materials to finished goods, the Company does not separately present raw materials and work in process.</w:t>
            </w:r>
          </w:p>
        </w:tc>
      </w:tr>
    </w:tbl>
    <w:tbl>
      <w:tblPr>
        <w:tblW w:w="6766" w:type="dxa"/>
        <w:jc w:val="left"/>
        <w:tblInd w:w="0" w:type="dxa"/>
        <w:tblLayout w:type="fixed"/>
        <w:tblCellMar>
          <w:top w:w="28" w:type="dxa"/>
          <w:left w:w="28" w:type="dxa"/>
          <w:bottom w:w="28" w:type="dxa"/>
          <w:right w:w="28" w:type="dxa"/>
        </w:tblCellMar>
      </w:tblPr>
      <w:tblGrid>
        <w:gridCol w:w="1294"/>
        <w:gridCol w:w="1135"/>
        <w:gridCol w:w="1140"/>
        <w:gridCol w:w="211"/>
        <w:gridCol w:w="826"/>
        <w:gridCol w:w="109"/>
        <w:gridCol w:w="109"/>
        <w:gridCol w:w="109"/>
        <w:gridCol w:w="109"/>
        <w:gridCol w:w="335"/>
        <w:gridCol w:w="1145"/>
        <w:gridCol w:w="244"/>
      </w:tblGrid>
      <w:tr>
        <w:trPr/>
        <w:tc>
          <w:tcPr>
            <w:tcW w:w="129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payables and accrued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 compensation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customer returns and remakes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management &amp; services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taxes payable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 store support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Income tax receivables of $4.6 million were included in Prepaid expenses and other current assets as of December 31, 2022.</w:t>
      </w:r>
    </w:p>
    <w:p>
      <w:pPr>
        <w:pStyle w:val="TextBody"/>
        <w:bidi w:val="0"/>
        <w:spacing w:before="0" w:after="0"/>
        <w:jc w:val="left"/>
        <w:rPr/>
      </w:pPr>
      <w:r>
        <w:rPr/>
      </w:r>
    </w:p>
    <w:tbl>
      <w:tblPr>
        <w:tblW w:w="5666" w:type="dxa"/>
        <w:jc w:val="left"/>
        <w:tblInd w:w="0" w:type="dxa"/>
        <w:tblLayout w:type="fixed"/>
        <w:tblCellMar>
          <w:top w:w="28" w:type="dxa"/>
          <w:left w:w="28" w:type="dxa"/>
          <w:bottom w:w="28" w:type="dxa"/>
          <w:right w:w="28" w:type="dxa"/>
        </w:tblCellMar>
      </w:tblPr>
      <w:tblGrid>
        <w:gridCol w:w="908"/>
        <w:gridCol w:w="796"/>
        <w:gridCol w:w="801"/>
        <w:gridCol w:w="250"/>
        <w:gridCol w:w="731"/>
        <w:gridCol w:w="129"/>
        <w:gridCol w:w="109"/>
        <w:gridCol w:w="109"/>
        <w:gridCol w:w="109"/>
        <w:gridCol w:w="371"/>
        <w:gridCol w:w="1083"/>
        <w:gridCol w:w="270"/>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liabilities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Fair Value Measurement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Recurring fair value measurements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Derivatives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5. “Interest Rate Derivatives”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Tangible Long-lived and Right of Use (“ROU”) Store Assets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impairments of $0.9 million and $1.3 million during the three and six months ended July 1, 2023, respectively, and $3.5 million and $3.9 million during the three and six months ended July 2, 2022 respectively, related to our long-lived tangible store assets and ROU assets. The impairments were primarily driven by lower than projected customer sales volume in certain stores. The cash flows used in estimating fair value were discounted using market rates from 10.8% to 11.3%.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six months ended July 1, 2023 and July 2, 2022 was $0.8 million and $4.0 million, respectively; the estimated remaining fair values include amounts estimated at various dates during the related fiscal years. Substantially all of the remaining fair value of the impaired store assets represents the fair value of ROU assets.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fair value information</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Debt - Term A Loans and Revolving Loans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borrowings under the $150.0 million aggregate principal first lien term loan (“Term A Loans”) and revolving credit loans in an aggregate principal amount of $300.0 million (the “Revolving Loans”) utilize variable interest rate setting mechanisms such as Term SOFR, the fair values of these borrowings are deemed to approximate the carrying values. We also considered the effect of our own credit risk on the fair values of our Term A Loans and Revolving Loans. Refer to Note 4. “Long-term Debt” for more information on these borrowings.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Debt - 2025 Notes</w:t>
      </w:r>
    </w:p>
    <w:p>
      <w:pPr>
        <w:pStyle w:val="TextBody"/>
        <w:bidi w:val="0"/>
        <w:spacing w:lineRule="auto" w:line="288" w:before="0" w:after="120"/>
        <w:jc w:val="both"/>
        <w:rPr/>
      </w:pPr>
      <w:r>
        <w:rPr>
          <w:rFonts w:ascii="Times New Roman;sans-serif" w:hAnsi="Times New Roman;sans-serif"/>
          <w:b w:val="false"/>
          <w:color w:val="000000"/>
          <w:sz w:val="20"/>
        </w:rPr>
        <w:t xml:space="preserve">The Company has $402.5 million in aggregate principal amount of 2.50% convertible senior notes due on May 15, 2025 (the “2025 Notes”) issued and outstanding as of July 1, 2023. Refer to Note 4. “Long-term Debt” for more information on the 2025 Notes. The estimated fair value of the 2025 Notes was approximately $422.0 million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nd $553.9 million as of July 1, 2023 and December 31,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4. “Long-term Debt” for more information on the 2025 Notes.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Long-term Debt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consists of the following:</w:t>
      </w:r>
    </w:p>
    <w:tbl>
      <w:tblPr>
        <w:tblW w:w="10205" w:type="dxa"/>
        <w:jc w:val="center"/>
        <w:tblInd w:w="0" w:type="dxa"/>
        <w:tblLayout w:type="fixed"/>
        <w:tblCellMar>
          <w:top w:w="28" w:type="dxa"/>
          <w:left w:w="28" w:type="dxa"/>
          <w:bottom w:w="28" w:type="dxa"/>
          <w:right w:w="28" w:type="dxa"/>
        </w:tblCellMar>
      </w:tblPr>
      <w:tblGrid>
        <w:gridCol w:w="2576"/>
        <w:gridCol w:w="2239"/>
        <w:gridCol w:w="2250"/>
        <w:gridCol w:w="211"/>
        <w:gridCol w:w="826"/>
        <w:gridCol w:w="109"/>
        <w:gridCol w:w="109"/>
        <w:gridCol w:w="109"/>
        <w:gridCol w:w="109"/>
        <w:gridCol w:w="294"/>
        <w:gridCol w:w="1155"/>
        <w:gridCol w:w="218"/>
      </w:tblGrid>
      <w:tr>
        <w:trPr/>
        <w:tc>
          <w:tcPr>
            <w:tcW w:w="2576"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w:t>
              <w:br/>
              <w:t>December 31, 2022</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due May 15,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402,497 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A Loans, due June 13,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 due June 13,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before unamortized discount and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552,497 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issuance costs - 2025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issuance costs - Term A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debt discount and issuance costs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546,231 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 noncurrent portion</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546,231 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less current portion, discount, and issuance costs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555,182 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563,388 </w:t>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Scheduled annual maturities of debt are as follows: </w:t>
      </w:r>
    </w:p>
    <w:tbl>
      <w:tblPr>
        <w:tblW w:w="4106" w:type="dxa"/>
        <w:jc w:val="center"/>
        <w:tblInd w:w="0" w:type="dxa"/>
        <w:tblLayout w:type="fixed"/>
        <w:tblCellMar>
          <w:top w:w="28" w:type="dxa"/>
          <w:left w:w="28" w:type="dxa"/>
          <w:bottom w:w="28" w:type="dxa"/>
          <w:right w:w="28" w:type="dxa"/>
        </w:tblCellMar>
      </w:tblPr>
      <w:tblGrid>
        <w:gridCol w:w="935"/>
        <w:gridCol w:w="818"/>
        <w:gridCol w:w="827"/>
        <w:gridCol w:w="109"/>
        <w:gridCol w:w="109"/>
        <w:gridCol w:w="109"/>
        <w:gridCol w:w="212"/>
        <w:gridCol w:w="832"/>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 remainder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552,497 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(i) that certain Second Joinder and Restatement Agreement, dated as of June 13, 2023 (the “Second Restatement Agreement”), by and among the New Lenders party thereto, the Letter of Credit Issuers party thereto, Nautilus Acquisition Holdings, Inc. (“Holdings”), a Delaware corporation and a wholly-owned subsidiary of the Company, NVI, the subsidiaries of NVI party thereto, as guarantors, Bank of America, N.A. in its capacity as administrative agent and as collateral agent and (ii) the Second Amended and Restated Credit Agreement, dated as of June 13, 2023 (the “Credit Agreement”).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2023 (the “Second Restatement Effective Date”), the Second Restatement Agreement amended and restated the Joinder and Amendment and Restatement Agreement, dated as of July 18, 2019 (as amended, restated, amended and restated, supplemented or otherwise modified prior to the Second Restatement Agreement, the “Original Credit Agreement”) to, among other things, (i) establish new Term A Loans to repay all principal, interest, fees and other amounts outstanding (other than contingent obligations) under the Original Credit Agreement immediately prior to the Second Restatement Effective Date, (ii) establish new Revolving Loans, (iii) provide for a Secured Overnight Financing Rate as administered by the Federal Reserve Bank of New York (or a successor administrator) (“SOFR”)-based rate, with a credit spread adjustment of 10 basis points for all Interest Periods and a SOFR floor of 0.00% per annum, and (iv) as set forth below, modify the Applicable Margins used to calculate the rate of interest payable with respect to the Term A Loans and Revolving Loans (collectively, the “Loans”).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as amended by the Second Restatement Agreement, provides that the Loans mature on the fifth anniversary of the Second Restatement Effective Date, subject to a springing maturity date, which is 91 days before the maturity date of the Company’s 2025 Notes if Minimum Liquidity is less than the sum of the redemption value of such convertible notes on that date plus $25.0 million (the “Maturity Date”). Commencing on the last day of the first full fiscal quarter ended after the Second Restatement Effective Date, the Term A Loans will amortize in equal calendar quarterly installments at a rate of 5.00% per calendar year. The $114.4 million balance (assuming the springing maturity date does not occur) will be payable on the Maturity Date.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new Applicable Margins are initially (i) 1.75% for the Loans that are Term SOFR Loans and (ii) 0.75% for the Loans that are Alternative Base Rate (“ABR”) Loans. Following the delivery of the financial statements for the period ending on September 30, 2023, the Applicable Margins for the Loans will instead be based on NVI’s total leverage ratio as follows: (a) if NVI’s consolidated total debt to consolidated EBITDA ratio is greater than 2.50 to 1.00, the Applicable Margin will be 2.25% for Term SOFR Loans and 1.25% for ABR Loans, (b) if NVI’s consolidated total debt to consolidated EBITDA ratio is less than or equal to 2.50 to 1.00 but greater than 1.75 to 1.00, the Applicable Margin will be 2.00% for Term SOFR Loans and 1.00% for ABR Loans, (c) if NVI’s consolidated total debt to consolidated EBITDA ratio is less than or equal to 1.75 to 1.00 but greater than 0.75 to 1.00, the Applicable Margin will be 1.75% for Term SOFR Loans and 0.75% for ABR Loans, (d) if NVI’s consolidated total debt to consolidated EBITDA ratio is less than or equal to 0.75 to 1.00, the Applicable Margin will be 1.50% for Term SOFR Loans and 0.50% for ABR Loans.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Second Amended and Restated Credit Agreement, we deferred $2.0 million of debt issuance costs related to the Revolving Loans in Other assets and $0.9 million of debt issuance costs related to the Term A Loans in Long-term debt and finance lease obligations, less current portion and debt discount on our Condensed Consolidated Balance Sheets as of July 1, 2023. We will amortize these costs over the term of the amended credit agreement. We wrote off previously unamortized debt issuance costs of $0.2 million in Interest expense (income), net during the three and six months ended July 1, 2023 related to lenders who were parties to the Original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Agreement but are not parties to the Second Restatement Agreement. We recognized $0.2 million of other refinancing fees in Interest expense (income), net during the three and six months ended July 1,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Restatement Agreement contains customary affirmative covenants, negative covenants, and events of default substantially comparable to the Original Credit Agreement.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covenants related to our long-term debt as of July 1, 2023.</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Notes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in Interest expense (income), net related to the 2025 Notes:</w:t>
      </w:r>
    </w:p>
    <w:tbl>
      <w:tblPr>
        <w:tblW w:w="8059" w:type="dxa"/>
        <w:jc w:val="left"/>
        <w:tblInd w:w="0" w:type="dxa"/>
        <w:tblLayout w:type="fixed"/>
        <w:tblCellMar>
          <w:top w:w="28" w:type="dxa"/>
          <w:left w:w="28" w:type="dxa"/>
          <w:bottom w:w="28" w:type="dxa"/>
          <w:right w:w="28" w:type="dxa"/>
        </w:tblCellMar>
      </w:tblPr>
      <w:tblGrid>
        <w:gridCol w:w="940"/>
        <w:gridCol w:w="825"/>
        <w:gridCol w:w="829"/>
        <w:gridCol w:w="250"/>
        <w:gridCol w:w="731"/>
        <w:gridCol w:w="129"/>
        <w:gridCol w:w="109"/>
        <w:gridCol w:w="109"/>
        <w:gridCol w:w="109"/>
        <w:gridCol w:w="250"/>
        <w:gridCol w:w="731"/>
        <w:gridCol w:w="129"/>
        <w:gridCol w:w="109"/>
        <w:gridCol w:w="109"/>
        <w:gridCol w:w="109"/>
        <w:gridCol w:w="250"/>
        <w:gridCol w:w="731"/>
        <w:gridCol w:w="129"/>
        <w:gridCol w:w="109"/>
        <w:gridCol w:w="109"/>
        <w:gridCol w:w="109"/>
        <w:gridCol w:w="248"/>
        <w:gridCol w:w="725"/>
        <w:gridCol w:w="181"/>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 interest expense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the remaining period for the unamortized debt issuance costs balance was approximately two years. An immaterial amount of the principal balance of the 2025 Notes was converted during the six months ended July 2,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the stock price conditions under which the 2025 Notes can be converted at the holders’ option were not met.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5. Interest Rate Derivatives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interest rate collar to offset the variability of cash flows in Term SOFR-indexed debt interest payments. During the second quarter of 2023, we amended the reference rate of the collar from LIBOR to Term SOFR. To manage credit risk associated with our interest rate hedging program, we select as counterparties major financial institutions with investment grade credit ratings. The aggregate notional amount of the interest rate collar, which is not designated as a cash flow hedge, was $325.0 million as of July 1, 2023. The fair value of our interest rate collar instrument was an asset of $11.3 million ($10.8 million in Prepaid expenses and other current assets and $0.5 million in Other assets) as of July 1, 2023, and an asset of $14.1 million ($10.0 million in Prepaid expenses and other current assets and $4.1 million in Other assets) as of December 31, 2022. See Note 3. “Fair Value Measurement” for further details.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(gains) losses on the change in fair value of the interest rate collar of $(2.8) million and $(2.3) million during the three and six months ended July 1, 2023 respectively, and $(0.8) million and $(9.8) million during the three and six months ended July 2, 2022, respectively, in interest expense (income), net.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related to derivatives qualifying as hedges are included in the same section of the Condensed Consolidated Statements of Cash Flows as the underlying assets and liabilities being hedged. Cash flows during the six months ended July 1, 2023 and July 2, 2022 related to derivatives not qualifying as hedges were included in the operating section of the Condensed Consolidated Statements of Cash Flows and were immaterial.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fair value of the Company’s cash flow hedge derivative instruments from their inception are recorded in Accumulated other comprehensive loss (“AOCL”) if the instruments are deemed to be highly effective as cash flow hedges. As of July 1, 2023, we expect to reclassify approximately $0.8 million of unrealized losses on derivative instruments, net of tax, from AOCL into earnings in the next 12 months as the derivative instruments mature.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6. Stock Incentive Plans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July 1, 2023, the Company granted 451,425 performance-based restricted stock units (“PSUs”) and 694,204 time-based restricted stock units (“RSUs”) to eligible employees and non-employee directors under the National Vision Holdings, Inc. 2017 Omnibus Incentive Plan (the “2017 Omnibus Incentive Plan”). The PSUs granted in fiscal 2023 are settled after the end of the performance period (i.e., cliff vesting), which begins on the first day of our 2023 fiscal year and ends on the last day of our 2025 fiscal year, and are based on the Company’s achievement of certain performance targets. The RSUs granted in fiscal 2023 vest primarily in three equal installments.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7. Revenue From Contracts With Customers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disaggregation of revenues depicts our revenue based on the timing of revenue recognition:</w:t>
      </w:r>
    </w:p>
    <w:tbl>
      <w:tblPr>
        <w:tblW w:w="9194" w:type="dxa"/>
        <w:jc w:val="left"/>
        <w:tblInd w:w="0" w:type="dxa"/>
        <w:tblLayout w:type="fixed"/>
        <w:tblCellMar>
          <w:top w:w="28" w:type="dxa"/>
          <w:left w:w="28" w:type="dxa"/>
          <w:bottom w:w="28" w:type="dxa"/>
          <w:right w:w="28" w:type="dxa"/>
        </w:tblCellMar>
      </w:tblPr>
      <w:tblGrid>
        <w:gridCol w:w="1190"/>
        <w:gridCol w:w="1044"/>
        <w:gridCol w:w="105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recognized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recognized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$4.2 million and $3.0 million during the three months ended July 1, 2023 and July 2, 2022, respectively, and $8.4 million and $5.7 million during the six months ended July 1, 2023 and July 2, 2022,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Credit loss expense recognized on our receivables, which is presented in SG&amp;A expenses in the Company’s condensed consolidated statements of operations, was $0.1 million and $0.5 million for the three months ended July 1, 2023 and July 2, 2022, respectively, and $0.3 million and $0.6 million for the six months ended July 1, 2023 and July 2, 2022, respectively.</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Unsatisfied Performance Obligations (Contract Liabilities)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1, 2023 and July 2, 2022, we recognized $23.0 million and $23.9 million, respectively, of deferred revenues outstanding at the beginning of each respective period. During the six months ended July 1, 2023 and July 2, 2022, we recognized $40.4 million and $43.3 million, respectively, of deferred revenues outstanding at the beginning of each respective period.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deferred revenue balance as of July 1, 2023 was $86.0 million. We expect future revenue recognition of this balance of $41.7 million, $32.2 million, $10.7 million and $1.4 million in fiscal years 2023, 2024, 2025 and thereafter, respectively.</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lease costs for the three and six months ended July 1, 2023 and July 2, 2022 were as follows:</w:t>
      </w:r>
    </w:p>
    <w:tbl>
      <w:tblPr>
        <w:tblW w:w="10205" w:type="dxa"/>
        <w:jc w:val="left"/>
        <w:tblInd w:w="0" w:type="dxa"/>
        <w:tblLayout w:type="fixed"/>
        <w:tblCellMar>
          <w:top w:w="28" w:type="dxa"/>
          <w:left w:w="28" w:type="dxa"/>
          <w:bottom w:w="28" w:type="dxa"/>
          <w:right w:w="28" w:type="dxa"/>
        </w:tblCellMar>
      </w:tblPr>
      <w:tblGrid>
        <w:gridCol w:w="1184"/>
        <w:gridCol w:w="920"/>
        <w:gridCol w:w="926"/>
        <w:gridCol w:w="293"/>
        <w:gridCol w:w="1004"/>
        <w:gridCol w:w="151"/>
        <w:gridCol w:w="146"/>
        <w:gridCol w:w="146"/>
        <w:gridCol w:w="146"/>
        <w:gridCol w:w="293"/>
        <w:gridCol w:w="1004"/>
        <w:gridCol w:w="151"/>
        <w:gridCol w:w="146"/>
        <w:gridCol w:w="146"/>
        <w:gridCol w:w="146"/>
        <w:gridCol w:w="293"/>
        <w:gridCol w:w="1004"/>
        <w:gridCol w:w="151"/>
        <w:gridCol w:w="146"/>
        <w:gridCol w:w="146"/>
        <w:gridCol w:w="146"/>
        <w:gridCol w:w="293"/>
        <w:gridCol w:w="1002"/>
        <w:gridCol w:w="222"/>
      </w:tblGrid>
      <w:tr>
        <w:trPr/>
        <w:tc>
          <w:tcPr>
            <w:tcW w:w="118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cost</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Fixed lease cost </w:t>
            </w:r>
            <w:r>
              <w:rPr>
                <w:rFonts w:ascii="Times New Roman;sans-serif" w:hAnsi="Times New Roman;sans-serif"/>
                <w:b w:val="false"/>
                <w:color w:val="000000"/>
                <w:sz w:val="13"/>
              </w:rPr>
              <w:t>(a)</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lease cost </w:t>
            </w:r>
            <w:r>
              <w:rPr>
                <w:rFonts w:ascii="Times New Roman;sans-serif" w:hAnsi="Times New Roman;sans-serif"/>
                <w:b w:val="false"/>
                <w:color w:val="000000"/>
                <w:sz w:val="13"/>
              </w:rPr>
              <w:t>(b)</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Sublease income </w:t>
            </w:r>
            <w:r>
              <w:rPr>
                <w:rFonts w:ascii="Times New Roman;sans-serif" w:hAnsi="Times New Roman;sans-serif"/>
                <w:b w:val="false"/>
                <w:color w:val="000000"/>
                <w:sz w:val="13"/>
              </w:rPr>
              <w:t>(c)</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Finance lease cost</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lease cost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 Includes short-term leases, which are immaterial.</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(b) Includes costs for insurance, real estate taxes and common area maintenance expenses, which are variable as well as lease costs above minimum thresholds for Fred Meyer stores and lease costs for Military stores.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 Income from sub-leasing of stores includes rental income from leasing space to independent optometrists.</w:t>
            </w:r>
          </w:p>
        </w:tc>
      </w:tr>
    </w:tbl>
    <w:p>
      <w:pPr>
        <w:pStyle w:val="TextBody"/>
        <w:bidi w:val="0"/>
        <w:spacing w:before="0" w:after="120"/>
        <w:jc w:val="center"/>
        <w:rPr/>
      </w:pPr>
      <w:r>
        <w:rPr/>
      </w:r>
    </w:p>
    <w:tbl>
      <w:tblPr>
        <w:tblW w:w="7147" w:type="dxa"/>
        <w:jc w:val="center"/>
        <w:tblInd w:w="0" w:type="dxa"/>
        <w:tblLayout w:type="fixed"/>
        <w:tblCellMar>
          <w:top w:w="28" w:type="dxa"/>
          <w:left w:w="28" w:type="dxa"/>
          <w:bottom w:w="28" w:type="dxa"/>
          <w:right w:w="28" w:type="dxa"/>
        </w:tblCellMar>
      </w:tblPr>
      <w:tblGrid>
        <w:gridCol w:w="1532"/>
        <w:gridCol w:w="1345"/>
        <w:gridCol w:w="1352"/>
        <w:gridCol w:w="109"/>
        <w:gridCol w:w="109"/>
        <w:gridCol w:w="109"/>
        <w:gridCol w:w="225"/>
        <w:gridCol w:w="769"/>
        <w:gridCol w:w="116"/>
        <w:gridCol w:w="109"/>
        <w:gridCol w:w="109"/>
        <w:gridCol w:w="109"/>
        <w:gridCol w:w="224"/>
        <w:gridCol w:w="767"/>
        <w:gridCol w:w="163"/>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acquired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and may in the future become subject to various claims and pending or threatened lawsuits in the ordinary course of our business.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We believe that the claims in these lawsuits are without merit and intend to oppose the certification of a class and to defend the litigation vigorously.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Related Cases, seeking for both the case currently pending in the Northern District of California and described in the paragraph above and this case to be assigned to the same Judge/Magistrate Judge in an effort to save judicial effort and avoid duplication of labor. We believe that the claims in these lawsuits are without merit and intend to oppose the certification of a class and to defend the litigation vigorously.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2023, a purported class action complaint was filed in federal court in the Northern District of Georgia against the Company and two of the Company’s officers. The complaint alleges violations of Sections 10(b) and 20(a) of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We believe that the claims alleged are without merit and intend to defend the litigation vigorously.</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10. Segment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Refer to Note 12. “Subsequent Events” for developments related to the Legacy segment, AC Lens and FirstSight that occurred after July 1,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(income), net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Asset information is not included in the following summary since the CODM does not regularly review such information for the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62"/>
        <w:gridCol w:w="824"/>
        <w:gridCol w:w="827"/>
        <w:gridCol w:w="233"/>
        <w:gridCol w:w="917"/>
        <w:gridCol w:w="120"/>
        <w:gridCol w:w="109"/>
        <w:gridCol w:w="109"/>
        <w:gridCol w:w="109"/>
        <w:gridCol w:w="211"/>
        <w:gridCol w:w="721"/>
        <w:gridCol w:w="109"/>
        <w:gridCol w:w="109"/>
        <w:gridCol w:w="109"/>
        <w:gridCol w:w="109"/>
        <w:gridCol w:w="262"/>
        <w:gridCol w:w="984"/>
        <w:gridCol w:w="135"/>
        <w:gridCol w:w="109"/>
        <w:gridCol w:w="109"/>
        <w:gridCol w:w="109"/>
        <w:gridCol w:w="314"/>
        <w:gridCol w:w="918"/>
        <w:gridCol w:w="164"/>
        <w:gridCol w:w="109"/>
        <w:gridCol w:w="109"/>
        <w:gridCol w:w="109"/>
        <w:gridCol w:w="211"/>
        <w:gridCol w:w="826"/>
        <w:gridCol w:w="159"/>
      </w:tblGrid>
      <w:tr>
        <w:trPr/>
        <w:tc>
          <w:tcPr>
            <w:tcW w:w="96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July 1, 2023</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173,479 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impairment </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62"/>
        <w:gridCol w:w="824"/>
        <w:gridCol w:w="827"/>
        <w:gridCol w:w="233"/>
        <w:gridCol w:w="917"/>
        <w:gridCol w:w="120"/>
        <w:gridCol w:w="109"/>
        <w:gridCol w:w="109"/>
        <w:gridCol w:w="109"/>
        <w:gridCol w:w="211"/>
        <w:gridCol w:w="721"/>
        <w:gridCol w:w="109"/>
        <w:gridCol w:w="109"/>
        <w:gridCol w:w="109"/>
        <w:gridCol w:w="109"/>
        <w:gridCol w:w="262"/>
        <w:gridCol w:w="984"/>
        <w:gridCol w:w="135"/>
        <w:gridCol w:w="109"/>
        <w:gridCol w:w="109"/>
        <w:gridCol w:w="109"/>
        <w:gridCol w:w="314"/>
        <w:gridCol w:w="918"/>
        <w:gridCol w:w="164"/>
        <w:gridCol w:w="109"/>
        <w:gridCol w:w="109"/>
        <w:gridCol w:w="109"/>
        <w:gridCol w:w="211"/>
        <w:gridCol w:w="826"/>
        <w:gridCol w:w="159"/>
      </w:tblGrid>
      <w:tr>
        <w:trPr/>
        <w:tc>
          <w:tcPr>
            <w:tcW w:w="96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July 2, 2022</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59"/>
        <w:gridCol w:w="821"/>
        <w:gridCol w:w="823"/>
        <w:gridCol w:w="233"/>
        <w:gridCol w:w="917"/>
        <w:gridCol w:w="120"/>
        <w:gridCol w:w="109"/>
        <w:gridCol w:w="109"/>
        <w:gridCol w:w="109"/>
        <w:gridCol w:w="211"/>
        <w:gridCol w:w="721"/>
        <w:gridCol w:w="109"/>
        <w:gridCol w:w="109"/>
        <w:gridCol w:w="109"/>
        <w:gridCol w:w="109"/>
        <w:gridCol w:w="241"/>
        <w:gridCol w:w="1026"/>
        <w:gridCol w:w="124"/>
        <w:gridCol w:w="109"/>
        <w:gridCol w:w="109"/>
        <w:gridCol w:w="109"/>
        <w:gridCol w:w="309"/>
        <w:gridCol w:w="926"/>
        <w:gridCol w:w="161"/>
        <w:gridCol w:w="109"/>
        <w:gridCol w:w="109"/>
        <w:gridCol w:w="109"/>
        <w:gridCol w:w="211"/>
        <w:gridCol w:w="826"/>
        <w:gridCol w:w="159"/>
      </w:tblGrid>
      <w:tr>
        <w:trPr/>
        <w:tc>
          <w:tcPr>
            <w:tcW w:w="9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July 1, 2023</w:t>
            </w:r>
          </w:p>
        </w:tc>
      </w:tr>
      <w:tr>
        <w:trPr/>
        <w:tc>
          <w:tcPr>
            <w:tcW w:w="2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880,660 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353,889 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501,891 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impairment </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left"/>
        <w:rPr/>
      </w:pPr>
      <w:r>
        <w:rPr/>
      </w:r>
    </w:p>
    <w:tbl>
      <w:tblPr>
        <w:tblW w:w="10205" w:type="dxa"/>
        <w:jc w:val="left"/>
        <w:tblInd w:w="0" w:type="dxa"/>
        <w:tblLayout w:type="fixed"/>
        <w:tblCellMar>
          <w:top w:w="28" w:type="dxa"/>
          <w:left w:w="28" w:type="dxa"/>
          <w:bottom w:w="28" w:type="dxa"/>
          <w:right w:w="28" w:type="dxa"/>
        </w:tblCellMar>
      </w:tblPr>
      <w:tblGrid>
        <w:gridCol w:w="959"/>
        <w:gridCol w:w="821"/>
        <w:gridCol w:w="823"/>
        <w:gridCol w:w="233"/>
        <w:gridCol w:w="917"/>
        <w:gridCol w:w="120"/>
        <w:gridCol w:w="109"/>
        <w:gridCol w:w="109"/>
        <w:gridCol w:w="109"/>
        <w:gridCol w:w="211"/>
        <w:gridCol w:w="721"/>
        <w:gridCol w:w="109"/>
        <w:gridCol w:w="109"/>
        <w:gridCol w:w="109"/>
        <w:gridCol w:w="109"/>
        <w:gridCol w:w="241"/>
        <w:gridCol w:w="1026"/>
        <w:gridCol w:w="124"/>
        <w:gridCol w:w="109"/>
        <w:gridCol w:w="109"/>
        <w:gridCol w:w="109"/>
        <w:gridCol w:w="309"/>
        <w:gridCol w:w="926"/>
        <w:gridCol w:w="161"/>
        <w:gridCol w:w="109"/>
        <w:gridCol w:w="109"/>
        <w:gridCol w:w="109"/>
        <w:gridCol w:w="211"/>
        <w:gridCol w:w="826"/>
        <w:gridCol w:w="159"/>
      </w:tblGrid>
      <w:tr>
        <w:trPr/>
        <w:tc>
          <w:tcPr>
            <w:tcW w:w="9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July 2, 2022</w:t>
            </w:r>
          </w:p>
        </w:tc>
      </w:tr>
      <w:tr>
        <w:trPr/>
        <w:tc>
          <w:tcPr>
            <w:tcW w:w="2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Host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plans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196,163 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related to the 2025 Notes is calculated using the if-converted method; the number of dilutive shares is based on the initial conversion rate associated with the 2025 Notes. The 2025 Notes were dilutive for the six months ended July 2, 2022. A reconciliation of the numerators and denominators of the basic and diluted EPS calculations is as follows:</w:t>
      </w:r>
    </w:p>
    <w:tbl>
      <w:tblPr>
        <w:tblW w:w="10205" w:type="dxa"/>
        <w:jc w:val="left"/>
        <w:tblInd w:w="0" w:type="dxa"/>
        <w:tblLayout w:type="fixed"/>
        <w:tblCellMar>
          <w:top w:w="28" w:type="dxa"/>
          <w:left w:w="28" w:type="dxa"/>
          <w:bottom w:w="28" w:type="dxa"/>
          <w:right w:w="28" w:type="dxa"/>
        </w:tblCellMar>
      </w:tblPr>
      <w:tblGrid>
        <w:gridCol w:w="1806"/>
        <w:gridCol w:w="1538"/>
        <w:gridCol w:w="1547"/>
        <w:gridCol w:w="237"/>
        <w:gridCol w:w="694"/>
        <w:gridCol w:w="122"/>
        <w:gridCol w:w="109"/>
        <w:gridCol w:w="109"/>
        <w:gridCol w:w="109"/>
        <w:gridCol w:w="237"/>
        <w:gridCol w:w="694"/>
        <w:gridCol w:w="122"/>
        <w:gridCol w:w="109"/>
        <w:gridCol w:w="109"/>
        <w:gridCol w:w="109"/>
        <w:gridCol w:w="220"/>
        <w:gridCol w:w="753"/>
        <w:gridCol w:w="113"/>
        <w:gridCol w:w="109"/>
        <w:gridCol w:w="109"/>
        <w:gridCol w:w="109"/>
        <w:gridCol w:w="219"/>
        <w:gridCol w:w="752"/>
        <w:gridCol w:w="170"/>
      </w:tblGrid>
      <w:tr>
        <w:trPr/>
        <w:tc>
          <w:tcPr>
            <w:tcW w:w="180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except EPS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interest expense for 2025 Notes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EPS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EPS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dilutive securities: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diluted EPS</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 excluded from diluted weighted average common shares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12. Subsequent Events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July 20, 2023, the Company received a notice of non-renewal from Walmart Inc. (“Walmart”) of the Management &amp; Services Agreement by and between NVI and Walmart, dated as of May 1, 2012 (as amended, supplemented or otherwise modified from time to time, the “Walmart MSA”). In accordance with the terms of the Walmart MSA and the notice, the agreement will terminate as of February 23, 2024, unless an alternate date is agreed by the parties (the “Termination Date”). In connection with the termination of the Walmart MSA, that certain Amended and Restated Supplier Agreement between NVI and Walmart, dated as of January 17, 2017 (the “Walmart Supplier Agreement”), and certain other related agreements will also terminate as of the Termination Date. The Walmart MSA includes provisions governing the transition period and post-termination obligations of the parties.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the Walmart MSA, the agreement between FirstSight Vision Services, Inc. (“FirstSight”), a wholly-owned subsidiary of the Company, and Walmart, which arranges for the provision by FirstSight of optometric services at optometric offices next to certain Walmart stores throughout California, will also terminate as of the Termination Date. Additionally, another wholly-owned subsidiary of the Company, Arlington Contacts Lens Service, Inc. (“AC Lens”), has delivered notices of non-renewal of the agreements it has with Walmart and its affiliate Sam’s Club regarding wholesale contact lenses distribution and related services, such that these agreements will terminate as of June 30, 2024, unless an earlier date is agreed by the parties.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the Walmart MSA, the Company expects to record noncash goodwill and intangible asset impairment charges of approximately $60 million and $10 million, respectively, in the third quarter of fiscal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March 1, 2023 (the “2022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sections of this Form 10-Q and the 2022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jc w:val="both"/>
        <w:rPr/>
      </w:pPr>
      <w:r>
        <w:rPr>
          <w:rFonts w:ascii="Times New Roman;sans-serif" w:hAnsi="Times New Roman;sans-serif"/>
          <w:b w:val="false"/>
          <w:color w:val="000000"/>
          <w:sz w:val="20"/>
        </w:rPr>
        <w:t>We are one of the largest optical retailers in the United States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enabled by our low-cost operating platform. We reach our customers through a diverse portfolio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 xml:space="preserve">1,381 </w:t>
      </w:r>
      <w:r>
        <w:rPr>
          <w:rFonts w:ascii="Times New Roman;sans-serif" w:hAnsi="Times New Roman;sans-serif"/>
          <w:b w:val="false"/>
          <w:color w:val="000000"/>
          <w:sz w:val="20"/>
          <w:shd w:fill="FFFFFF" w:val="clear"/>
        </w:rPr>
        <w:t>r</w:t>
      </w:r>
      <w:r>
        <w:rPr>
          <w:rFonts w:ascii="Times New Roman;sans-serif" w:hAnsi="Times New Roman;sans-serif"/>
          <w:b w:val="false"/>
          <w:color w:val="000000"/>
          <w:sz w:val="20"/>
        </w:rPr>
        <w:t>etail stores acros</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 xml:space="preserve">five </w:t>
      </w: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rands and 13 consumer websites as of July 1, 2023.</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Brand and Segment Information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Refer to Part I. Item 1. Note 12. “Subsequent Events” for more information on the termination of our Walmart partnership.</w:t>
      </w:r>
    </w:p>
    <w:p>
      <w:pPr>
        <w:pStyle w:val="TextBody"/>
        <w:bidi w:val="0"/>
        <w:spacing w:lineRule="auto" w:line="288" w:before="0" w:after="120"/>
        <w:jc w:val="left"/>
        <w:rPr/>
      </w:pPr>
      <w:r>
        <w:rPr>
          <w:rFonts w:ascii="Times New Roman;sans-serif" w:hAnsi="Times New Roman;sans-serif"/>
          <w:b w:val="false"/>
          <w:color w:val="000000"/>
          <w:sz w:val="20"/>
        </w:rPr>
        <w:t>Our operations consi</w:t>
      </w:r>
      <w:r>
        <w:rPr>
          <w:rFonts w:ascii="Times New Roman;sans-serif" w:hAnsi="Times New Roman;sans-serif"/>
          <w:b w:val="false"/>
          <w:color w:val="000000"/>
          <w:sz w:val="20"/>
          <w:shd w:fill="FFFFFF" w:val="clear"/>
        </w:rPr>
        <w:t xml:space="preserve">st of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rep</w:t>
      </w:r>
      <w:r>
        <w:rPr>
          <w:rFonts w:ascii="Times New Roman;sans-serif" w:hAnsi="Times New Roman;sans-serif"/>
          <w:b w:val="false"/>
          <w:color w:val="000000"/>
          <w:sz w:val="20"/>
        </w:rPr>
        <w:t>ortable segments: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Owned &amp; Host - As of July 1, 2023, our owned brands consisted of 926 America’s Best Contacts and Eyeglasses retail stores and 143 Eyeglass World retail stores. Our Host brands consisted of 54 Vista Optical locations on select military bases and 29 Vista Optical locations within select Fred Meyer stores as of July 1, 2023. All brands utilize our centralized laboratories. This segment also includes sales from our America’s Best, Eyeglass World, and Military omni-channel websites.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Legacy - We manage the operations of, and supply inventory and laboratory processing service</w:t>
      </w:r>
      <w:r>
        <w:rPr>
          <w:rFonts w:ascii="Times New Roman;sans-serif" w:hAnsi="Times New Roman;sans-serif"/>
          <w:b w:val="false"/>
          <w:color w:val="000000"/>
          <w:sz w:val="20"/>
          <w:shd w:fill="FFFFFF" w:val="clear"/>
        </w:rPr>
        <w:t xml:space="preserve">s to, </w:t>
      </w:r>
      <w:r>
        <w:rPr>
          <w:rFonts w:ascii="Times New Roman;sans-serif" w:hAnsi="Times New Roman;sans-serif"/>
          <w:b w:val="false"/>
          <w:color w:val="000000"/>
          <w:sz w:val="20"/>
        </w:rPr>
        <w:t>229 Vision Centers in Walmart retail locations as of July 1, 2023. During the six months ended July 1, 2023, sales associated with this arrangement repre</w:t>
      </w:r>
      <w:r>
        <w:rPr>
          <w:rFonts w:ascii="Times New Roman;sans-serif" w:hAnsi="Times New Roman;sans-serif"/>
          <w:b w:val="false"/>
          <w:color w:val="000000"/>
          <w:sz w:val="20"/>
          <w:shd w:fill="FFFFFF" w:val="clear"/>
        </w:rPr>
        <w:t>se</w:t>
      </w:r>
      <w:r>
        <w:rPr>
          <w:rFonts w:ascii="Times New Roman;sans-serif" w:hAnsi="Times New Roman;sans-serif"/>
          <w:b w:val="false"/>
          <w:color w:val="000000"/>
          <w:sz w:val="20"/>
        </w:rPr>
        <w:t xml:space="preserve">nted 7.3% </w:t>
      </w:r>
      <w:r>
        <w:rPr>
          <w:rFonts w:ascii="Times New Roman;sans-serif" w:hAnsi="Times New Roman;sans-serif"/>
          <w:b w:val="false"/>
          <w:color w:val="000000"/>
          <w:sz w:val="20"/>
          <w:shd w:fill="FFFFFF" w:val="clear"/>
        </w:rPr>
        <w:t>of co</w:t>
      </w:r>
      <w:r>
        <w:rPr>
          <w:rFonts w:ascii="Times New Roman;sans-serif" w:hAnsi="Times New Roman;sans-serif"/>
          <w:b w:val="false"/>
          <w:color w:val="000000"/>
          <w:sz w:val="20"/>
        </w:rPr>
        <w:t>nsolidated net revenue. On July 20, 2023, we received a notice of non-renewal from Walmart on the Walmart MSA and, accordingly, the Walmart MSA will terminate on February 23, 2024.</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results also include the following activity recorded in our Corporate/Other category: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e-commerce platform of 9 dedicated websites managed by AC Lens. Our e-commerce business consists of</w:t>
      </w:r>
      <w:r>
        <w:rPr>
          <w:color w:val="000000"/>
          <w:shd w:fill="FFFFFF" w:val="clear"/>
        </w:rPr>
        <w:t xml:space="preserve"> </w:t>
      </w:r>
      <w:r>
        <w:rPr>
          <w:rFonts w:ascii="Times New Roman;sans-serif" w:hAnsi="Times New Roman;sans-serif"/>
          <w:b w:val="false"/>
          <w:color w:val="000000"/>
          <w:sz w:val="20"/>
        </w:rPr>
        <w:t>five proprietary branded websites, including aclens.com, discountglasses.com and discountcontactlenses.com, a</w:t>
      </w:r>
      <w:r>
        <w:rPr>
          <w:rFonts w:ascii="Times New Roman;sans-serif" w:hAnsi="Times New Roman;sans-serif"/>
          <w:b w:val="false"/>
          <w:color w:val="000000"/>
          <w:sz w:val="20"/>
          <w:shd w:fill="FFFFFF" w:val="clear"/>
        </w:rPr>
        <w:t xml:space="preserve">nd </w:t>
      </w:r>
      <w:r>
        <w:rPr>
          <w:rFonts w:ascii="Times New Roman;sans-serif" w:hAnsi="Times New Roman;sans-serif"/>
          <w:b w:val="false"/>
          <w:color w:val="000000"/>
          <w:sz w:val="20"/>
        </w:rPr>
        <w:t>four</w:t>
      </w:r>
      <w:r>
        <w:rPr>
          <w:color w:val="000000"/>
          <w:shd w:fill="FFFFFF" w:val="clear"/>
        </w:rPr>
        <w:t xml:space="preserve"> </w:t>
      </w:r>
      <w:r>
        <w:rPr>
          <w:rFonts w:ascii="Times New Roman;sans-serif" w:hAnsi="Times New Roman;sans-serif"/>
          <w:b w:val="false"/>
          <w:color w:val="000000"/>
          <w:sz w:val="20"/>
          <w:shd w:fill="FFFFFF" w:val="clear"/>
        </w:rPr>
        <w:t>th</w:t>
      </w:r>
      <w:r>
        <w:rPr>
          <w:rFonts w:ascii="Times New Roman;sans-serif" w:hAnsi="Times New Roman;sans-serif"/>
          <w:b w:val="false"/>
          <w:color w:val="000000"/>
          <w:sz w:val="20"/>
        </w:rPr>
        <w:t>ird-party websites with established retailers, such as Walmart, Sam’s Club and Giant Eagle as well as mid-sized vision insurance providers.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Wholesale contact lenses distribution to Walmart and Sam’s Club by AC Lens, which represente</w:t>
      </w:r>
      <w:r>
        <w:rPr>
          <w:rFonts w:ascii="Times New Roman;sans-serif" w:hAnsi="Times New Roman;sans-serif"/>
          <w:b w:val="false"/>
          <w:color w:val="000000"/>
          <w:sz w:val="20"/>
          <w:shd w:fill="FFFFFF" w:val="clear"/>
        </w:rPr>
        <w:t>d</w:t>
      </w:r>
      <w:r>
        <w:rPr>
          <w:color w:val="000000"/>
        </w:rPr>
        <w:t xml:space="preserve"> </w:t>
      </w:r>
      <w:r>
        <w:rPr>
          <w:rFonts w:ascii="Times New Roman;sans-serif" w:hAnsi="Times New Roman;sans-serif"/>
          <w:b w:val="false"/>
          <w:color w:val="000000"/>
          <w:sz w:val="20"/>
        </w:rPr>
        <w:t>6.8%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consolidated net revenue for the six months ended July 1, 2023. In connection with the termination of the Walmart MSA, AC Lens has delivered notices of non-renewal of the agreements it has with Walmart and Sam’s Club and those agreements are expected to terminate on June 30,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Managed care business conducted by FirstSight, our wholly-owned subsidiary that is licensed as a single-service health plan under California law. In connection with the termination of the Walmart MSA, the agreement between FirstSight and Walmart, which arranges for the provision by FirstSight of optometric services at optometric offices next to certain Walmart stores throughout California, will also terminate on February 23,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Unallocated corporate overhead expenses.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Reportable segment information is presented on the same basis as our condensed consolidated financial statements, except reportable segment sales which are presented on a cash basis, including point of sales for managed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Trends and Other Factors Affecting Our Business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remained focused on our long-term growth initiatives despite the ongoing macroeconomic uncertainty. Our core growth initiatives include, but are not limited to, continuing with the expansion of our remote medicine capabilities; maintaining and improving our optometric retention levels; increasing our marketing efficiency and omnichannel capabilities; increasing our participation in vision insurance programs; the further digitization of our stores and corporate office; continuing to position ourselves to capture whitespace opportunity for our stores; and incorporating our corporate sustainability strategy into our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the following key drivers, challenges and risks.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lineRule="auto" w:line="288" w:before="0" w:after="120"/>
        <w:jc w:val="both"/>
        <w:rPr/>
      </w:pPr>
      <w:r>
        <w:rPr>
          <w:rFonts w:ascii="Times New Roman;sans-serif" w:hAnsi="Times New Roman;sans-serif"/>
          <w:b w:val="false"/>
          <w:color w:val="000000"/>
          <w:sz w:val="20"/>
        </w:rPr>
        <w:t>Rising inflation can result in increased costs and greater profitability pressure for us. We anticipate that pressures from increases to our raw materials prices could have an impact on our costs applicable to revenue in fiscal year 2023. Wage investments as a result of inflation and an increasingly competitive recruiting market for vision care professionals due to the pandemic and related effects have had, and may continue to have, an impact on our profitability. Targeted wage investments, including increases in compensation for optometrists and associates, as well as flexibility initiatives, impacted costs applicable to revenue and selling, general and administrative expenses in the first half of fiscal year 2023 and we anticipate that wage pressures in certain markets will continue in 2023. Wage investment pressure and increases in raw materials prices</w:t>
      </w:r>
      <w:r>
        <w:rPr>
          <w:color w:val="000000"/>
          <w:shd w:fill="FFFFFF" w:val="clear"/>
        </w:rPr>
        <w:t xml:space="preserve"> </w:t>
      </w:r>
      <w:r>
        <w:rPr>
          <w:rFonts w:ascii="Times New Roman;sans-serif" w:hAnsi="Times New Roman;sans-serif"/>
          <w:b w:val="false"/>
          <w:color w:val="000000"/>
          <w:sz w:val="20"/>
          <w:shd w:fill="FFFFFF" w:val="clear"/>
        </w:rPr>
        <w:t>in fiscal year 2023 may not be able to be fully offset by leverage from revenue growth, productivity efficiency and, as appropriate, various pricing actions.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Vision care professional recruitment, coverage, and expanded offerings</w:t>
      </w:r>
    </w:p>
    <w:p>
      <w:pPr>
        <w:pStyle w:val="TextBody"/>
        <w:bidi w:val="0"/>
        <w:spacing w:lineRule="auto" w:line="288" w:before="0" w:after="120"/>
        <w:jc w:val="both"/>
        <w:rPr/>
      </w:pPr>
      <w:r>
        <w:rPr>
          <w:rFonts w:ascii="Times New Roman;sans-serif" w:hAnsi="Times New Roman;sans-serif"/>
          <w:b w:val="false"/>
          <w:color w:val="000000"/>
          <w:sz w:val="20"/>
        </w:rPr>
        <w:t xml:space="preserve">Our ability to continue to attract and retain qualified vision care professionals may affect exam capacity. Our operations, like those of many of our competitors, depend on our ability to offer both eyewear and eye exams. </w:t>
      </w:r>
      <w:r>
        <w:rPr>
          <w:rFonts w:ascii="Times New Roman;sans-serif" w:hAnsi="Times New Roman;sans-serif"/>
          <w:b w:val="false"/>
          <w:color w:val="000000"/>
          <w:sz w:val="20"/>
          <w:shd w:fill="FFFFFF" w:val="clear"/>
        </w:rPr>
        <w:t>We believe the impacts of the COVID-19 pandemic on vision care professional availability, including a competitive recruiting market and preferences for adjusted work schedules, and the demand for optometrists exceeding supply in certain areas during the first half of fiscal year</w:t>
      </w:r>
      <w:r>
        <w:rPr>
          <w:color w:val="000000"/>
        </w:rPr>
        <w:t xml:space="preserve"> </w:t>
      </w:r>
      <w:r>
        <w:rPr>
          <w:rFonts w:ascii="Times New Roman;sans-serif" w:hAnsi="Times New Roman;sans-serif"/>
          <w:b w:val="false"/>
          <w:color w:val="000000"/>
          <w:sz w:val="20"/>
        </w:rPr>
        <w:t>2023 have</w:t>
      </w:r>
      <w:r>
        <w:rPr>
          <w:color w:val="000000"/>
          <w:shd w:fill="FFFFFF" w:val="clear"/>
        </w:rPr>
        <w:t xml:space="preserve"> </w:t>
      </w:r>
      <w:r>
        <w:rPr>
          <w:rFonts w:ascii="Times New Roman;sans-serif" w:hAnsi="Times New Roman;sans-serif"/>
          <w:b w:val="false"/>
          <w:color w:val="000000"/>
          <w:sz w:val="20"/>
          <w:shd w:fill="FFFFFF" w:val="clear"/>
        </w:rPr>
        <w:t xml:space="preserve">caused constraints in exam capacity which are continuing. Due to these factors the costs to employ or retain optometrists have increased and may increase further, potentially materially. </w:t>
      </w:r>
      <w:r>
        <w:rPr>
          <w:rFonts w:ascii="Times New Roman;sans-serif" w:hAnsi="Times New Roman;sans-serif"/>
          <w:b w:val="false"/>
          <w:color w:val="000000"/>
          <w:sz w:val="20"/>
        </w:rPr>
        <w:t>We are</w:t>
      </w:r>
      <w:r>
        <w:rPr>
          <w:color w:val="000000"/>
          <w:shd w:fill="FFFFFF" w:val="clear"/>
        </w:rPr>
        <w:t xml:space="preserve"> </w:t>
      </w:r>
      <w:r>
        <w:rPr>
          <w:rFonts w:ascii="Times New Roman;sans-serif" w:hAnsi="Times New Roman;sans-serif"/>
          <w:b w:val="false"/>
          <w:color w:val="000000"/>
          <w:sz w:val="20"/>
          <w:shd w:fill="FFFFFF" w:val="clear"/>
        </w:rPr>
        <w:t>continuing to strategically</w:t>
      </w:r>
      <w:r>
        <w:rPr>
          <w:color w:val="000000"/>
        </w:rPr>
        <w:t xml:space="preserve"> </w:t>
      </w:r>
      <w:r>
        <w:rPr>
          <w:rFonts w:ascii="Times New Roman;sans-serif" w:hAnsi="Times New Roman;sans-serif"/>
          <w:b w:val="false"/>
          <w:color w:val="000000"/>
          <w:sz w:val="20"/>
        </w:rPr>
        <w:t>invest in recruitment and retention initiatives, including flexible adjusted work schedules, along with continuing our implementation of remote medicine technologies, which has expanded our offerings while also increasing costs. We anticipate continuing our investment in our remote medicine capabilities primarily in America’s Best stores in the near term, including enhancements in the efficiency of our remote medicine platform, which could lead to increased costs as we train our personnel to efficiently use these new technologies.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Comparable store sales growth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comparable store sales growth in the first half of fiscal year 2023 was aided by our participation in managed care programs. Such participation continues to represent an increasingly significant portion of our overall revenues as the challenging economic environment continues to impact our core non-managed care customer base business.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Interim results and seasonality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business has realized a higher portion of net revenue, income from operations, and cash flows from operations in the first half of the fiscal year, and a lower portion of net revenue, income from operations, and cash flows from operations in the fourth fiscal quarter. The seasonally larger first half of the fiscal year is attributable primarily to the timing of our customers’ income tax refunds and annual health insurance program start/reset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 strategy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Walmart partnership termination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navigate the termination of our Walmart partnership, including the transition period, may significantly impact our business. The transition period, including Walmart’s solicitation period under the agreements to offer employment or similar arrangements to certain associates and optometrists from specified Vision Centers, presents numerous risks and may cause disruption to the business, including, without limitation, a reduction in sales, productivity and focus, and may make it harder to retain associates and optometrists, which in turn could adversely affect our financial condition and results of operations. Due to these factors, the costs to retain associates and optometrists during the transition period may increase, potentially materially. In addition, while we seek to reduce costs and replace lost business with new America’s Best or Eyeglass World stores and by other means, we may not be successful in our efforts, which could impact our revenues and profitability. Refer to Part II. Item 1A. “Risk Factors” in this Form 10-Q for more details.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Applicable to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SG&amp;A generally fluctuates consistently with revenue due to the variable store, field office and corporate support costs; however, some fixed costs slightly improve as a percentage of net revenue as our net revenues grow over time.</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New Store Openings</w:t>
      </w:r>
    </w:p>
    <w:p>
      <w:pPr>
        <w:pStyle w:val="TextBody"/>
        <w:bidi w:val="0"/>
        <w:spacing w:lineRule="auto" w:line="288" w:before="0" w:after="120"/>
        <w:jc w:val="both"/>
        <w:rPr/>
      </w:pPr>
      <w:r>
        <w:rPr>
          <w:rFonts w:ascii="Times New Roman;sans-serif" w:hAnsi="Times New Roman;sans-serif"/>
          <w:b w:val="false"/>
          <w:color w:val="000000"/>
          <w:sz w:val="20"/>
        </w:rPr>
        <w:t>The total number of new stores per year and the timing of store openings has, and will continue to have, an impact on our re</w:t>
      </w:r>
      <w:r>
        <w:rPr>
          <w:rFonts w:ascii="Times New Roman;sans-serif" w:hAnsi="Times New Roman;sans-serif"/>
          <w:b w:val="false"/>
          <w:color w:val="000000"/>
          <w:sz w:val="20"/>
          <w:shd w:fill="FFFFFF" w:val="clear"/>
        </w:rPr>
        <w:t>sults.</w:t>
      </w:r>
      <w:r>
        <w:rPr>
          <w:color w:val="000000"/>
        </w:rPr>
        <w:t xml:space="preserve"> </w:t>
      </w:r>
      <w:r>
        <w:rPr>
          <w:rFonts w:ascii="Times New Roman;sans-serif" w:hAnsi="Times New Roman;sans-serif"/>
          <w:b w:val="false"/>
          <w:color w:val="000000"/>
          <w:sz w:val="20"/>
        </w:rPr>
        <w:t>We expect to open 65 to 70 stores in the current year. We will continue to monitor and determine our plans for future new store openings based on health, safety</w:t>
      </w:r>
      <w:r>
        <w:rPr>
          <w:color w:val="000000"/>
          <w:shd w:fill="FFFFFF" w:val="clear"/>
        </w:rPr>
        <w:t xml:space="preserve"> </w:t>
      </w:r>
      <w:r>
        <w:rPr>
          <w:rFonts w:ascii="Times New Roman;sans-serif" w:hAnsi="Times New Roman;sans-serif"/>
          <w:b w:val="false"/>
          <w:color w:val="000000"/>
          <w:sz w:val="20"/>
          <w:shd w:fill="FFFFFF" w:val="clear"/>
        </w:rPr>
        <w:t>and economic conditions.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Comparable Store Sales Growth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Income, Adjusted Operating Margin, Adjusted EBITDA, Adjusted EBITDA Margin and Adjusted Diluted EPS (collectively, the “Company Non-GAAP Measures”)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indicated, both in dollars and as a percentage of our net revenue.</w:t>
      </w:r>
    </w:p>
    <w:tbl>
      <w:tblPr>
        <w:tblW w:w="10205" w:type="dxa"/>
        <w:jc w:val="left"/>
        <w:tblInd w:w="0" w:type="dxa"/>
        <w:tblLayout w:type="fixed"/>
        <w:tblCellMar>
          <w:top w:w="28" w:type="dxa"/>
          <w:left w:w="28" w:type="dxa"/>
          <w:bottom w:w="28" w:type="dxa"/>
          <w:right w:w="28" w:type="dxa"/>
        </w:tblCellMar>
      </w:tblPr>
      <w:tblGrid>
        <w:gridCol w:w="1714"/>
        <w:gridCol w:w="1422"/>
        <w:gridCol w:w="1430"/>
        <w:gridCol w:w="358"/>
        <w:gridCol w:w="224"/>
        <w:gridCol w:w="557"/>
        <w:gridCol w:w="123"/>
        <w:gridCol w:w="123"/>
        <w:gridCol w:w="123"/>
        <w:gridCol w:w="358"/>
        <w:gridCol w:w="224"/>
        <w:gridCol w:w="557"/>
        <w:gridCol w:w="109"/>
        <w:gridCol w:w="109"/>
        <w:gridCol w:w="109"/>
        <w:gridCol w:w="359"/>
        <w:gridCol w:w="224"/>
        <w:gridCol w:w="557"/>
        <w:gridCol w:w="113"/>
        <w:gridCol w:w="113"/>
        <w:gridCol w:w="113"/>
        <w:gridCol w:w="355"/>
        <w:gridCol w:w="211"/>
        <w:gridCol w:w="620"/>
      </w:tblGrid>
      <w:tr>
        <w:trPr/>
        <w:tc>
          <w:tcPr>
            <w:tcW w:w="171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earnings per share, percentage and store data</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432,925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897,686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854,853</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services and plans </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182,413</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525,340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1,087,709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1,037,266</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applicable to revenue (exclusive of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167,514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340,616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327,580</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and plans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247,839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501,891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470,604</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243,971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493,893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456,383</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50,396</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544,781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510,959</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55,703</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55,884</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operating data:</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stores open at end of period</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stores opened during the period</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73,084</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EPS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119,736</w:t>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 of net revenue:</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applicable to revenue</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Three Months Ended July 1, 2023 compared to Three Months Ended July 2,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by segment and by brand, comparable store sales growth, stores open at the end of the period and net revenue for the three months ended July 1, 2023 compared to the three months ended July 2, 2022.</w:t>
      </w:r>
    </w:p>
    <w:tbl>
      <w:tblPr>
        <w:tblW w:w="10205" w:type="dxa"/>
        <w:jc w:val="left"/>
        <w:tblInd w:w="0" w:type="dxa"/>
        <w:tblLayout w:type="fixed"/>
        <w:tblCellMar>
          <w:top w:w="28" w:type="dxa"/>
          <w:left w:w="28" w:type="dxa"/>
          <w:bottom w:w="28" w:type="dxa"/>
          <w:right w:w="28" w:type="dxa"/>
        </w:tblCellMar>
      </w:tblPr>
      <w:tblGrid>
        <w:gridCol w:w="757"/>
        <w:gridCol w:w="353"/>
        <w:gridCol w:w="354"/>
        <w:gridCol w:w="109"/>
        <w:gridCol w:w="109"/>
        <w:gridCol w:w="109"/>
        <w:gridCol w:w="239"/>
        <w:gridCol w:w="195"/>
        <w:gridCol w:w="310"/>
        <w:gridCol w:w="118"/>
        <w:gridCol w:w="118"/>
        <w:gridCol w:w="118"/>
        <w:gridCol w:w="307"/>
        <w:gridCol w:w="195"/>
        <w:gridCol w:w="310"/>
        <w:gridCol w:w="109"/>
        <w:gridCol w:w="109"/>
        <w:gridCol w:w="109"/>
        <w:gridCol w:w="335"/>
        <w:gridCol w:w="231"/>
        <w:gridCol w:w="129"/>
        <w:gridCol w:w="120"/>
        <w:gridCol w:w="120"/>
        <w:gridCol w:w="120"/>
        <w:gridCol w:w="335"/>
        <w:gridCol w:w="231"/>
        <w:gridCol w:w="129"/>
        <w:gridCol w:w="109"/>
        <w:gridCol w:w="109"/>
        <w:gridCol w:w="109"/>
        <w:gridCol w:w="196"/>
        <w:gridCol w:w="739"/>
        <w:gridCol w:w="109"/>
        <w:gridCol w:w="278"/>
        <w:gridCol w:w="278"/>
        <w:gridCol w:w="257"/>
        <w:gridCol w:w="109"/>
        <w:gridCol w:w="109"/>
        <w:gridCol w:w="109"/>
        <w:gridCol w:w="196"/>
        <w:gridCol w:w="739"/>
        <w:gridCol w:w="109"/>
        <w:gridCol w:w="278"/>
        <w:gridCol w:w="278"/>
        <w:gridCol w:w="316"/>
      </w:tblGrid>
      <w:tr>
        <w:trPr/>
        <w:tc>
          <w:tcPr>
            <w:tcW w:w="75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Comparable store sales growth</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open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revenue</w:t>
            </w:r>
            <w:r>
              <w:rPr>
                <w:rFonts w:ascii="Times New Roman;sans-serif" w:hAnsi="Times New Roman;sans-serif"/>
                <w:b/>
                <w:color w:val="000000"/>
                <w:sz w:val="10"/>
              </w:rPr>
              <w:t>(2)</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 and 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July 1, 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July 2, 2022</w:t>
            </w:r>
          </w:p>
        </w:tc>
      </w:tr>
      <w:tr>
        <w:trPr/>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Owned &amp; Host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 Best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Eyeglass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Fred Meyer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&amp; Host segment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Legacy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Corporate/Other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Comparable Store Sales Growth</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(2)Percentages reflect line item as a percentage of net revenue, adjusted for rounding.</w:t>
      </w:r>
    </w:p>
    <w:p>
      <w:pPr>
        <w:pStyle w:val="TextBody"/>
        <w:bidi w:val="0"/>
        <w:spacing w:lineRule="auto" w:line="288" w:before="0" w:after="120"/>
        <w:ind w:left="0" w:right="0" w:hanging="360"/>
        <w:jc w:val="both"/>
        <w:rPr/>
      </w:pPr>
      <w:r>
        <w:rPr>
          <w:rFonts w:ascii="Times New Roman;sans-serif" w:hAnsi="Times New Roman;sans-serif"/>
          <w:b w:val="false"/>
          <w:color w:val="000000"/>
          <w:sz w:val="16"/>
        </w:rPr>
        <w:t>(3)There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1.2% and a decrease of 1.2% from total comparable store sales growth based on consolidated net revenue for the three months ended July 1, 2023</w:t>
      </w:r>
      <w:r>
        <w:rPr>
          <w:color w:val="000000"/>
        </w:rPr>
        <w:t xml:space="preserve"> </w:t>
      </w:r>
      <w:r>
        <w:rPr>
          <w:rFonts w:ascii="Times New Roman;sans-serif" w:hAnsi="Times New Roman;sans-serif"/>
          <w:b w:val="false"/>
          <w:color w:val="000000"/>
          <w:sz w:val="16"/>
        </w:rPr>
        <w:t>and July 2, 2022, respectively and (ii) Adjusted Comparable Store Sales Growth includes retail sales to the Legacy partner’s customers (rather than the revenues recognized consistent with the management &amp; services agreement with the Legacy partner), resulting in a decrease of 0.1% and a decrease of 0.2% from total comparable store sales growth based on consolidated net revenue for the three months ended July 1, 2023 and July 2, 2022, respectively.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 of $525.3 million for the three months ended July 1, 2023 increased $15.8 million, or 3.1%, from $509.6 million for the three months ended July 2, 2022. The increase was driven primarily by growth from new store sales and Adjusted Comparable Store Sales Growth, partially offset by effects of deferred and unearned revenue.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Comparable store sales growth and Adjusted Comparable Store Sales Growth for the three months ended July 1, 2023 were (0.1)% and 1.0%, respectively, both reflecting higher average ticket and an increase in customer transactions. Comparable store sales growth was negatively impacted by effects of deferred and unearned revenue.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July 1, 2023, we opened 21 America’s Best stores and three Eyeglass World stores and closed one America’s Best store. Overall, store count grew 5.1% from July 2, 2022 to July 1, 2023 (53 and 14 net new America’s Best and Eyeglass World stores were added, respectively, and one Legacy store was closed).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product sales comprised 82.4% and 82.7% of total net revenue for the three months ended July 1, 2023 and July 2, 2022, respectively. Net product sales increased $11.3 million, or 2.7%, in the three months ended July 1, 2023 compared to the three months ended July 2, 2022, driven primarily by a $7.6 million, or 2.6% increase in eyeglass sales, a $2.8 million, or 2.9%, increase in contact lens sales and a $1.0 million, or 2.9%, increase in wholesale fulfillment.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sales of services and plans increased $4.5 million, or 5.1%, driven primarily by a $6.2 million, or 13.2% increase in eye exams, partially offset by a $1.1 million, or 12.0% decrease in management fees from our Legacy partner.</w:t>
      </w:r>
    </w:p>
    <w:p>
      <w:pPr>
        <w:pStyle w:val="TextBody"/>
        <w:bidi w:val="0"/>
        <w:spacing w:lineRule="auto" w:line="288" w:before="0" w:after="120"/>
        <w:jc w:val="both"/>
        <w:rPr/>
      </w:pPr>
      <w:r>
        <w:rPr>
          <w:rFonts w:ascii="Times New Roman;sans-serif" w:hAnsi="Times New Roman;sans-serif"/>
          <w:b w:val="false"/>
          <w:i/>
          <w:color w:val="000000"/>
          <w:sz w:val="20"/>
        </w:rPr>
        <w:t>Owned &amp; Host segment net revenue.</w:t>
      </w:r>
      <w:r>
        <w:rPr>
          <w:color w:val="000000"/>
        </w:rPr>
        <w:t xml:space="preserve"> </w:t>
      </w:r>
      <w:r>
        <w:rPr>
          <w:rFonts w:ascii="Times New Roman;sans-serif" w:hAnsi="Times New Roman;sans-serif"/>
          <w:b w:val="false"/>
          <w:color w:val="000000"/>
          <w:sz w:val="20"/>
        </w:rPr>
        <w:t>Net revenue increased $19.6 million, or 4.9%, driven primarily by new store openings and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net revenue. </w:t>
      </w:r>
      <w:r>
        <w:rPr>
          <w:rFonts w:ascii="Times New Roman;sans-serif" w:hAnsi="Times New Roman;sans-serif"/>
          <w:b w:val="false"/>
          <w:color w:val="000000"/>
          <w:sz w:val="20"/>
        </w:rPr>
        <w:t>Net revenue increased $0.6 million, or 1.7%, driven by positive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Corporate/Other segment net revenue. </w:t>
      </w:r>
      <w:r>
        <w:rPr>
          <w:rFonts w:ascii="Times New Roman;sans-serif" w:hAnsi="Times New Roman;sans-serif"/>
          <w:b w:val="false"/>
          <w:color w:val="000000"/>
          <w:sz w:val="20"/>
        </w:rPr>
        <w:t>Net revenue increased $1.4 million, or 2.3%, driven primarily by increases in wholesale fulfillment.</w:t>
      </w:r>
    </w:p>
    <w:p>
      <w:pPr>
        <w:pStyle w:val="TextBody"/>
        <w:bidi w:val="0"/>
        <w:spacing w:lineRule="auto" w:line="288" w:before="0" w:after="120"/>
        <w:jc w:val="both"/>
        <w:rPr/>
      </w:pPr>
      <w:r>
        <w:rPr>
          <w:rFonts w:ascii="Times New Roman;sans-serif" w:hAnsi="Times New Roman;sans-serif"/>
          <w:b w:val="false"/>
          <w:i/>
          <w:color w:val="000000"/>
          <w:sz w:val="20"/>
        </w:rPr>
        <w:t xml:space="preserve">Net revenue reconciliations. </w:t>
      </w:r>
      <w:r>
        <w:rPr>
          <w:rFonts w:ascii="Times New Roman;sans-serif" w:hAnsi="Times New Roman;sans-serif"/>
          <w:b w:val="false"/>
          <w:color w:val="000000"/>
          <w:sz w:val="20"/>
        </w:rPr>
        <w:t>The impact of reconciliations negatively impacted net revenue by $5.9 million in the three months ended July 1, 2023. Net revenue was negatively impacted by $4.8 million due to the timing of unearned revenue during the three months ended July 1, 2023. Net revenue was negatively impacted by $1.1 million, primarily due to lower recognition of product protection plan revenue and higher sales of club memberships in the three months ended July 1, 2023 compared to the three months ended July 2,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applicable to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applicable to revenue of $247.8 million for the three months ended July 1, 2023 increased $13.3 million, or 5.7%, from $234.6 million for the three months ended July 2, 2022. As a percentage of net revenue, costs applicable to revenue increased from 46.0% for the three months ended July 2, 2022 to 47.2% for the three months ended July 1, 2023. This increase as a percentage of net revenue was primarily driven by growth in optometrist-related costs of 140 basis points, partially offset by a 90 basis point effect from higher exam revenue. Costs applicable to revenue as a percentage of net revenue increased by 50 basis points due to reduction in other components of service revenues, including product protection plan revenue, as well as other product mix and margin effects.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of products as a percentage of net product sales was 38.7% for the three months ended July 1, 2023 and 38.7% for the three months ended July 2, 2022.</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segment costs of products. </w:t>
      </w:r>
      <w:r>
        <w:rPr>
          <w:rFonts w:ascii="Times New Roman;sans-serif" w:hAnsi="Times New Roman;sans-serif"/>
          <w:b w:val="false"/>
          <w:color w:val="000000"/>
          <w:sz w:val="20"/>
        </w:rPr>
        <w:t xml:space="preserve">Costs of products as a percentage of net product sales increased from 29.2% for the three months ended July 2, 2022 to 29.3% for the three months ended July 1, 2023. </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costs of products. </w:t>
      </w:r>
      <w:r>
        <w:rPr>
          <w:rFonts w:ascii="Times New Roman;sans-serif" w:hAnsi="Times New Roman;sans-serif"/>
          <w:b w:val="false"/>
          <w:color w:val="000000"/>
          <w:sz w:val="20"/>
        </w:rPr>
        <w:t xml:space="preserve">Costs of products as a percentage of net product sales decreased from 47.3% for the three months ended July 2, 2022 to 47.2% for the three months ended July 1, 2023. </w:t>
      </w:r>
    </w:p>
    <w:p>
      <w:pPr>
        <w:pStyle w:val="TextBody"/>
        <w:bidi w:val="0"/>
        <w:spacing w:lineRule="auto" w:line="268" w:before="0" w:after="120"/>
        <w:jc w:val="left"/>
        <w:rPr/>
      </w:pPr>
      <w:r>
        <w:rPr>
          <w:rFonts w:ascii="Times New Roman;sans-serif" w:hAnsi="Times New Roman;sans-serif"/>
          <w:b w:val="false"/>
          <w:color w:val="000000"/>
          <w:sz w:val="20"/>
        </w:rPr>
        <w:t>Costs of services and plans as a percentage of net sales of services and plans increased from 81.0% for the three months ended July 2, 2022 to 86.9% for the three months ended July 1, 2023. The increase was primarily driven by higher growth in optometrist-related costs, lower product protection plan revenues and lower management fees from our Legacy partner</w:t>
      </w:r>
      <w:r>
        <w:rPr>
          <w:rFonts w:ascii="Times New Roman;sans-serif" w:hAnsi="Times New Roman;sans-serif"/>
          <w:b w:val="false"/>
          <w:i/>
          <w:color w:val="000000"/>
          <w:sz w:val="24"/>
        </w:rPr>
        <w:t xml:space="preserve">, </w:t>
      </w:r>
      <w:r>
        <w:rPr>
          <w:rFonts w:ascii="Times New Roman;sans-serif" w:hAnsi="Times New Roman;sans-serif"/>
          <w:b w:val="false"/>
          <w:color w:val="000000"/>
          <w:sz w:val="20"/>
        </w:rPr>
        <w:t>partially offset by higher exam revenue.</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segment costs of services and plans. </w:t>
      </w:r>
      <w:r>
        <w:rPr>
          <w:rFonts w:ascii="Times New Roman;sans-serif" w:hAnsi="Times New Roman;sans-serif"/>
          <w:b w:val="false"/>
          <w:color w:val="000000"/>
          <w:sz w:val="20"/>
        </w:rPr>
        <w:t>Costs of services and plans as a percentage of net sales of services and plans increased from 89.3% for the three months ended July 2, 2022 to 93.1% for the three months ended July 1, 2023. The increase was primarily driven by growth in optometrist-related costs that was partially offset by higher exam revenue.</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costs of services and plans. </w:t>
      </w:r>
      <w:r>
        <w:rPr>
          <w:rFonts w:ascii="Times New Roman;sans-serif" w:hAnsi="Times New Roman;sans-serif"/>
          <w:b w:val="false"/>
          <w:color w:val="000000"/>
          <w:sz w:val="20"/>
        </w:rPr>
        <w:t>Costs of services and plans as a percentage of net sales of services and plans increased from 43.5% for the three months ended July 2, 2022 to 49.6% for the three months ended July 1, 2023. The increase was primarily driven by growth in optometrist-related costs and lower management fees from our Legacy partner.</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SG&amp;A of $244.0 million for the three months ended July 1, 2023 increased $16.1 million, or 7.1%, from the three months ended July 2, 2022. As a percentage of net revenue, SG&amp;A increased from 44.7% for the three months ended July 2, 2022 to 46.4% for the three months ended July 1, 2023. The increase in SG&amp;A as a percentage of net revenue was primarily driven by higher payroll of 70 basis points, performance-based incentive compensation of 60 basis points, occupancy expense of 40 basis points, and stock-based compensation of 30 basis points, partially offset by a 30-basis point decrease in other expenses.</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SG&amp;A. </w:t>
      </w:r>
      <w:r>
        <w:rPr>
          <w:rFonts w:ascii="Times New Roman;sans-serif" w:hAnsi="Times New Roman;sans-serif"/>
          <w:b w:val="false"/>
          <w:color w:val="000000"/>
          <w:sz w:val="20"/>
        </w:rPr>
        <w:t>SG&amp;A as a percentage of net revenue increased from 39.1% for the three months ended July 2, 2022 to 39.6% for the three months ended July 1, 2023, driven primarily by higher payroll and occupancy expense, partially offset by lower advertising expense.</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SG&amp;A. </w:t>
      </w:r>
      <w:r>
        <w:rPr>
          <w:rFonts w:ascii="Times New Roman;sans-serif" w:hAnsi="Times New Roman;sans-serif"/>
          <w:b w:val="false"/>
          <w:color w:val="000000"/>
          <w:sz w:val="20"/>
        </w:rPr>
        <w:t>SG&amp;A as a percentage of net revenue decreased from 39.0% for the three months ended July 2, 2022 to 37.7% for the three months ended July 1, 2023, driven primarily by lower payroll.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$24.9 million for the three months ended July 1, 2023 decreased $0.3 million, or 1.3%, from $25.2 million for the three months ended July 2, 2022 primarily driven by a shift to cloud-based software investments that are amortized in SG&amp;A, partially offset by investments in remote medicine technology and new store openings.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$0.9 million primarily for impairment of tangible long-lived assets and ROU assets associated with our retail stores during the three months ended July 1, 2023, compared to $3.5 million impairment recognized during the three months ended July 2, 2022.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(income), net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was $1.8 million for the three months ended July 1, 2023, compared to $4.0 million for the three months ended July 2, 2022. The change was primarily a result of income on cash balances of $2.0 million and higher derivative income of $1.9 million that were partially offset by higher Term A Loans expense of $1.6 million.</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three months ended July 1, 2023 and July 2, 2022 were 4.7% and 32.4%, respectively. The change in effective tax rates reflects our statutory federal and state rates of 25.4% and 25.5%, respectively, tax impacts of employee-related federal tax credits and tax impacts of non-deductible compensation expenses and other permanent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jc w:val="both"/>
        <w:rPr>
          <w:rFonts w:ascii="Times New Roman;sans-serif" w:hAnsi="Times New Roman;sans-serif"/>
          <w:b/>
          <w:color w:val="000000"/>
          <w:sz w:val="20"/>
        </w:rPr>
      </w:pPr>
      <w:r>
        <w:rPr>
          <w:rFonts w:ascii="Times New Roman;sans-serif" w:hAnsi="Times New Roman;sans-serif"/>
          <w:b/>
          <w:color w:val="000000"/>
          <w:sz w:val="20"/>
        </w:rPr>
        <w:t>Six Months Ended July 1, 2023 compared to Six Months Ended July 2,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by segment and by brand, comparable store sales growth, stores open at the end of the period and net revenue for the six months ended July 1, 2023 compared to the six months ended July 2, 2022.</w:t>
      </w:r>
    </w:p>
    <w:tbl>
      <w:tblPr>
        <w:tblW w:w="10205" w:type="dxa"/>
        <w:jc w:val="center"/>
        <w:tblInd w:w="0" w:type="dxa"/>
        <w:tblLayout w:type="fixed"/>
        <w:tblCellMar>
          <w:top w:w="28" w:type="dxa"/>
          <w:left w:w="28" w:type="dxa"/>
          <w:bottom w:w="28" w:type="dxa"/>
          <w:right w:w="28" w:type="dxa"/>
        </w:tblCellMar>
      </w:tblPr>
      <w:tblGrid>
        <w:gridCol w:w="690"/>
        <w:gridCol w:w="335"/>
        <w:gridCol w:w="336"/>
        <w:gridCol w:w="109"/>
        <w:gridCol w:w="109"/>
        <w:gridCol w:w="109"/>
        <w:gridCol w:w="224"/>
        <w:gridCol w:w="198"/>
        <w:gridCol w:w="274"/>
        <w:gridCol w:w="116"/>
        <w:gridCol w:w="116"/>
        <w:gridCol w:w="116"/>
        <w:gridCol w:w="294"/>
        <w:gridCol w:w="198"/>
        <w:gridCol w:w="274"/>
        <w:gridCol w:w="109"/>
        <w:gridCol w:w="109"/>
        <w:gridCol w:w="109"/>
        <w:gridCol w:w="335"/>
        <w:gridCol w:w="228"/>
        <w:gridCol w:w="124"/>
        <w:gridCol w:w="117"/>
        <w:gridCol w:w="117"/>
        <w:gridCol w:w="117"/>
        <w:gridCol w:w="335"/>
        <w:gridCol w:w="228"/>
        <w:gridCol w:w="124"/>
        <w:gridCol w:w="109"/>
        <w:gridCol w:w="109"/>
        <w:gridCol w:w="109"/>
        <w:gridCol w:w="196"/>
        <w:gridCol w:w="871"/>
        <w:gridCol w:w="109"/>
        <w:gridCol w:w="278"/>
        <w:gridCol w:w="278"/>
        <w:gridCol w:w="241"/>
        <w:gridCol w:w="109"/>
        <w:gridCol w:w="109"/>
        <w:gridCol w:w="109"/>
        <w:gridCol w:w="196"/>
        <w:gridCol w:w="871"/>
        <w:gridCol w:w="109"/>
        <w:gridCol w:w="278"/>
        <w:gridCol w:w="278"/>
        <w:gridCol w:w="296"/>
      </w:tblGrid>
      <w:tr>
        <w:trPr/>
        <w:tc>
          <w:tcPr>
            <w:tcW w:w="69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Comparable store sales growth</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open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revenue</w:t>
            </w:r>
            <w:r>
              <w:rPr>
                <w:rFonts w:ascii="Times New Roman;sans-serif" w:hAnsi="Times New Roman;sans-serif"/>
                <w:b/>
                <w:color w:val="000000"/>
                <w:sz w:val="10"/>
              </w:rPr>
              <w:t>(2)</w:t>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 and 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July 1, 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July 2, 2022</w:t>
            </w:r>
          </w:p>
        </w:tc>
      </w:tr>
      <w:tr>
        <w:trPr/>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Owned &amp; Host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America’s Best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Eyeglass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Military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Fred Meyer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Owned &amp; Host segment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880,660 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Legacy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Corporate/Other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Reconciliations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Adjusted Comparable Store Sales Growth</w:t>
            </w:r>
            <w:r>
              <w:rPr>
                <w:rFonts w:ascii="Times New Roman;sans-serif" w:hAnsi="Times New Roman;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(2)Percentages reflect line item as a percentage of net revenue, adjusted for rounding.</w:t>
      </w:r>
    </w:p>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(3)There are two differences between total comparable store sales growth based on consolidated net revenue and Adjusted Comparable Store Sales Growth: (i) Adjusted Comparable Store Sales Growth includes the effect of deferred and unearned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revenue as if such revenues were earned at the point of sale, resulting in a decrease of 0.4% and a decrease of 1.4% from total comparable store sales growth based on consolidated net revenue for the six months ended July 1, 2023 and July 2, 2022, respectively, and (ii) Adjusted Comparable Store Sales Growth includes retail sales to the Legacy partner’s customers (rather than the revenues recognized consistent with the management &amp; services agreement with the Legacy partner), resulting in a decrease of 0.2% and a decrease of 0.2% from total comparable store sales growth based on consolidated net revenue for the six months ended July 1, 2023 and July 2, 2022, respectively.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 of $1,087.7 million for the six months ended July 1, 2023 increased $50.4 million, or 4.9%, from $1,037.3 million for the six months ended July 2, 2022. The increase was driven by approximately 70% growth from new store sales, 15% by Adjusted Comparable Store Sales Growth, 10% by our AC Lens business and 5% by effects of deferred and unearned revenue.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Comparable store sales growth and Adjusted Comparable Store Sales Growth for the six months ended July 1, 2023 were 1.5% and 0.9%, respectively, primarily due to higher average ticket and an increase in customer transactions.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six months ended July 1, 2023, we opened 25 new America’s Best stores and seven Eyeglass World stores, and closed five America’s Best stores and one Legacy store as a result of our Legacy partner’s decision to cease its overall operations at the location. Overall, store count grew 5.1% from July 2, 2022 to July 1, 2023 (53 and 14 net new America’s Best and Eyeglass World stores were added, respectively, and one Legacy store was closed). </w:t>
      </w:r>
    </w:p>
    <w:p>
      <w:pPr>
        <w:pStyle w:val="TextBody"/>
        <w:bidi w:val="0"/>
        <w:spacing w:lineRule="auto" w:line="288" w:before="0" w:after="120"/>
        <w:jc w:val="both"/>
        <w:rPr/>
      </w:pPr>
      <w:r>
        <w:rPr>
          <w:rFonts w:ascii="Times New Roman;sans-serif" w:hAnsi="Times New Roman;sans-serif"/>
          <w:b w:val="false"/>
          <w:color w:val="000000"/>
          <w:sz w:val="20"/>
        </w:rPr>
        <w:t>Net product sales comprised 82.5% and 82.4% of total net revenue for the six months ended July 1, 2023 and July 2, 2022, respectively. Net product sales increased $42.8 million, or 5.0%, in the six months ended July 1, 2023 compared to the six months ended July 2, 2022, primarily due to a $32.7 million, or 5.6%, increase in eyeglass sales and a $7.0 million, or 3.6%, increase in contact lens sales and a $3.1 million, or 4.3%, increase in wholesale fulfillment.</w:t>
      </w:r>
      <w:r>
        <w:rPr>
          <w:color w:val="EE2724"/>
        </w:rPr>
        <w:t xml:space="preserve"> </w:t>
      </w:r>
    </w:p>
    <w:p>
      <w:pPr>
        <w:pStyle w:val="TextBody"/>
        <w:bidi w:val="0"/>
        <w:spacing w:lineRule="auto" w:line="288" w:before="0" w:after="120"/>
        <w:jc w:val="both"/>
        <w:rPr/>
      </w:pPr>
      <w:r>
        <w:rPr>
          <w:rFonts w:ascii="Times New Roman;sans-serif" w:hAnsi="Times New Roman;sans-serif"/>
          <w:b w:val="false"/>
          <w:color w:val="000000"/>
          <w:sz w:val="20"/>
        </w:rPr>
        <w:t>Net sales of services and plans for the six months ended July 1, 2023 increased $7.6 million, or 4.2%, compared to the six months ended July 2, 2022,</w:t>
      </w:r>
      <w:r>
        <w:rPr>
          <w:color w:val="EE2724"/>
        </w:rPr>
        <w:t xml:space="preserve"> </w:t>
      </w:r>
      <w:r>
        <w:rPr>
          <w:rFonts w:ascii="Times New Roman;sans-serif" w:hAnsi="Times New Roman;sans-serif"/>
          <w:b w:val="false"/>
          <w:color w:val="000000"/>
          <w:sz w:val="20"/>
        </w:rPr>
        <w:t>driven primarily by higher exam revenues of $12.5 million, or 12.7% increase, which was partially offset by a $3.0 million, or 7.6% decrease in product protection plan revenues and a $2.7 million, or 14.2%, decrease in management fees from our Legacy partner.</w:t>
      </w:r>
    </w:p>
    <w:p>
      <w:pPr>
        <w:pStyle w:val="TextBody"/>
        <w:bidi w:val="0"/>
        <w:spacing w:lineRule="auto" w:line="288" w:before="0" w:after="120"/>
        <w:jc w:val="both"/>
        <w:rPr/>
      </w:pPr>
      <w:r>
        <w:rPr>
          <w:rFonts w:ascii="Times New Roman;sans-serif" w:hAnsi="Times New Roman;sans-serif"/>
          <w:b w:val="false"/>
          <w:i/>
          <w:color w:val="000000"/>
          <w:sz w:val="20"/>
        </w:rPr>
        <w:t>Owned &amp; Host segment net revenue.</w:t>
      </w:r>
      <w:r>
        <w:rPr>
          <w:color w:val="000000"/>
        </w:rPr>
        <w:t xml:space="preserve"> </w:t>
      </w:r>
      <w:r>
        <w:rPr>
          <w:rFonts w:ascii="Times New Roman;sans-serif" w:hAnsi="Times New Roman;sans-serif"/>
          <w:b w:val="false"/>
          <w:color w:val="000000"/>
          <w:sz w:val="20"/>
        </w:rPr>
        <w:t>Net revenue increased $43.6 million, or 5.2%, driven primarily by new store openings and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net revenue. </w:t>
      </w:r>
      <w:r>
        <w:rPr>
          <w:rFonts w:ascii="Times New Roman;sans-serif" w:hAnsi="Times New Roman;sans-serif"/>
          <w:b w:val="false"/>
          <w:color w:val="000000"/>
          <w:sz w:val="20"/>
        </w:rPr>
        <w:t>Net revenue decreased $0.3 million, or 0.3%, driven by negative comparable store sales growth.</w:t>
      </w:r>
    </w:p>
    <w:p>
      <w:pPr>
        <w:pStyle w:val="TextBody"/>
        <w:bidi w:val="0"/>
        <w:spacing w:lineRule="auto" w:line="288" w:before="0" w:after="120"/>
        <w:jc w:val="both"/>
        <w:rPr/>
      </w:pPr>
      <w:r>
        <w:rPr>
          <w:rFonts w:ascii="Times New Roman;sans-serif" w:hAnsi="Times New Roman;sans-serif"/>
          <w:b w:val="false"/>
          <w:i/>
          <w:color w:val="000000"/>
          <w:sz w:val="20"/>
        </w:rPr>
        <w:t xml:space="preserve">Corporate/Other segment net revenue. </w:t>
      </w:r>
      <w:r>
        <w:rPr>
          <w:rFonts w:ascii="Times New Roman;sans-serif" w:hAnsi="Times New Roman;sans-serif"/>
          <w:b w:val="false"/>
          <w:color w:val="000000"/>
          <w:sz w:val="20"/>
        </w:rPr>
        <w:t>Net revenue increased $4.6 million, or 3.7%, driven primarily by increases in wholesale fulfillment.</w:t>
      </w:r>
    </w:p>
    <w:p>
      <w:pPr>
        <w:pStyle w:val="TextBody"/>
        <w:bidi w:val="0"/>
        <w:spacing w:lineRule="auto" w:line="288" w:before="0" w:after="120"/>
        <w:jc w:val="both"/>
        <w:rPr/>
      </w:pPr>
      <w:r>
        <w:rPr>
          <w:rFonts w:ascii="Times New Roman;sans-serif" w:hAnsi="Times New Roman;sans-serif"/>
          <w:b w:val="false"/>
          <w:i/>
          <w:color w:val="000000"/>
          <w:sz w:val="20"/>
        </w:rPr>
        <w:t xml:space="preserve">Net revenue reconciliations. </w:t>
      </w:r>
      <w:r>
        <w:rPr>
          <w:rFonts w:ascii="Times New Roman;sans-serif" w:hAnsi="Times New Roman;sans-serif"/>
          <w:b w:val="false"/>
          <w:color w:val="000000"/>
          <w:sz w:val="20"/>
        </w:rPr>
        <w:t>The impact of reconciliations positively impacted net revenue by $2.5 million in the six months ended July 1, 2023 compared to the six months ended July 2, 2022. Net revenue was positively impacted by $5.9 million due to the timing of unearned revenue. Net revenue was negatively impacted by $3.4 million primarily due to lower recognition of product protection plan revenue and higher sales of club memberships and product protection plans in the six months ended July 1, 2023 compared to the six months ended July 2, 2022.</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applicable to revenue</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applicable to revenue of $501.9 million for the six months ended July 1, 2023 increased $31.3 million, or 6.6%, from $470.6 million for the six months ended July 2, 2022. As a percentage of net revenue, costs applicable to revenue increased from 45.4% for the six months ended July 2, 2022 to 46.1% for the six months ended July 1, 2023. This increase as a percentage of net revenue was primarily driven by higher growth in optometrist-related costs of 110 basis points, partially offset by a 70 basis point effect from higher exam revenue and a 40 basis point effect from increased eyeglass mix and higher eyeglass margin. Costs applicable to revenue as a percentage of net revenue increased by 70 basis points due to reduction in other components of service revenue, including product protection plan revenue.</w:t>
      </w:r>
    </w:p>
    <w:p>
      <w:pPr>
        <w:pStyle w:val="TextBody"/>
        <w:bidi w:val="0"/>
        <w:spacing w:lineRule="auto" w:line="288" w:before="0" w:after="180"/>
        <w:jc w:val="both"/>
        <w:rPr/>
      </w:pPr>
      <w:r>
        <w:rPr>
          <w:rFonts w:ascii="Times New Roman;sans-serif" w:hAnsi="Times New Roman;sans-serif"/>
          <w:b w:val="false"/>
          <w:color w:val="000000"/>
          <w:sz w:val="20"/>
        </w:rPr>
        <w:t>Costs of products as a percentage of net product sales decreased from 38.3% for the six months ended July 2, 2022 to 37.9% for the six months ended July 1, 2023, primarily driven</w:t>
      </w:r>
      <w:r>
        <w:rPr>
          <w:color w:val="FF0000"/>
        </w:rPr>
        <w:t xml:space="preserve"> </w:t>
      </w:r>
      <w:r>
        <w:rPr>
          <w:rFonts w:ascii="Times New Roman;sans-serif" w:hAnsi="Times New Roman;sans-serif"/>
          <w:b w:val="false"/>
          <w:color w:val="000000"/>
          <w:sz w:val="20"/>
        </w:rPr>
        <w:t>by increased eyeglass mix and higher eyeglass margin.</w:t>
      </w:r>
    </w:p>
    <w:p>
      <w:pPr>
        <w:pStyle w:val="TextBody"/>
        <w:bidi w:val="0"/>
        <w:spacing w:lineRule="auto" w:line="288" w:before="0" w:after="180"/>
        <w:jc w:val="both"/>
        <w:rPr/>
      </w:pPr>
      <w:r>
        <w:rPr>
          <w:rFonts w:ascii="Times New Roman;sans-serif" w:hAnsi="Times New Roman;sans-serif"/>
          <w:b w:val="false"/>
          <w:i/>
          <w:color w:val="000000"/>
          <w:sz w:val="20"/>
        </w:rPr>
        <w:t xml:space="preserve">Owned &amp; Host segment costs of products. </w:t>
      </w:r>
      <w:r>
        <w:rPr>
          <w:rFonts w:ascii="Times New Roman;sans-serif" w:hAnsi="Times New Roman;sans-serif"/>
          <w:b w:val="false"/>
          <w:color w:val="000000"/>
          <w:sz w:val="20"/>
        </w:rPr>
        <w:t xml:space="preserve">Costs of products as a percentage of net product sales was 28.7% for the six months ended July 1, 2023 and 28.7% for the six months ended July 2, 2022. </w:t>
      </w:r>
    </w:p>
    <w:p>
      <w:pPr>
        <w:pStyle w:val="TextBody"/>
        <w:bidi w:val="0"/>
        <w:spacing w:lineRule="auto" w:line="288" w:before="0" w:after="180"/>
        <w:jc w:val="both"/>
        <w:rPr/>
      </w:pPr>
      <w:r>
        <w:rPr>
          <w:rFonts w:ascii="Times New Roman;sans-serif" w:hAnsi="Times New Roman;sans-serif"/>
          <w:b w:val="false"/>
          <w:i/>
          <w:color w:val="000000"/>
          <w:sz w:val="20"/>
        </w:rPr>
        <w:t xml:space="preserve">Legacy segment costs of products. </w:t>
      </w:r>
      <w:r>
        <w:rPr>
          <w:rFonts w:ascii="Times New Roman;sans-serif" w:hAnsi="Times New Roman;sans-serif"/>
          <w:b w:val="false"/>
          <w:color w:val="000000"/>
          <w:sz w:val="20"/>
        </w:rPr>
        <w:t xml:space="preserve">Costs of products as a percentage of net product sales decreased from 47.0% for the six months ended July 2, 2022 to 45.9% for the six months ended July 1, 2023. The decrease was primarily driven by a higher mix of managed care customer transactions versus non-managed care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pStyle w:val="TextBody"/>
        <w:bidi w:val="0"/>
        <w:spacing w:lineRule="auto" w:line="268" w:before="0" w:after="180"/>
        <w:jc w:val="both"/>
        <w:rPr/>
      </w:pPr>
      <w:r>
        <w:rPr>
          <w:rFonts w:ascii="Times New Roman;sans-serif" w:hAnsi="Times New Roman;sans-serif"/>
          <w:b w:val="false"/>
          <w:color w:val="000000"/>
          <w:sz w:val="20"/>
        </w:rPr>
        <w:t>Costs of services and plans as a percentage of net sales of services and plans increased from 78.4% for the six months ended July 2, 2022 to 84.9% for the six months ended July 1, 2023. The increase was primarily driven by growth in optometrist-related costs, lower product protection plan revenues and lower management fees from our Legacy partner</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partially offset by higher exam revenue.</w:t>
      </w:r>
    </w:p>
    <w:p>
      <w:pPr>
        <w:pStyle w:val="TextBody"/>
        <w:bidi w:val="0"/>
        <w:spacing w:lineRule="auto" w:line="288" w:before="0" w:after="180"/>
        <w:jc w:val="both"/>
        <w:rPr/>
      </w:pPr>
      <w:r>
        <w:rPr>
          <w:rFonts w:ascii="Times New Roman;sans-serif" w:hAnsi="Times New Roman;sans-serif"/>
          <w:b w:val="false"/>
          <w:i/>
          <w:color w:val="000000"/>
          <w:sz w:val="20"/>
        </w:rPr>
        <w:t xml:space="preserve">Owned &amp; Host segment costs of services and plans. </w:t>
      </w:r>
      <w:r>
        <w:rPr>
          <w:rFonts w:ascii="Times New Roman;sans-serif" w:hAnsi="Times New Roman;sans-serif"/>
          <w:b w:val="false"/>
          <w:color w:val="000000"/>
          <w:sz w:val="20"/>
        </w:rPr>
        <w:t>Costs of services and plans as a percentage of net sales of services and plans increased from 85.5% for the six months ended July 2, 2022 to 89.5% for the six months ended July 1, 2023. The increase was primarily driven by growth in optometrist-related costs, partially offset by higher exam revenue.</w:t>
      </w:r>
    </w:p>
    <w:p>
      <w:pPr>
        <w:pStyle w:val="TextBody"/>
        <w:bidi w:val="0"/>
        <w:spacing w:lineRule="auto" w:line="276" w:before="0" w:after="180"/>
        <w:jc w:val="both"/>
        <w:rPr/>
      </w:pPr>
      <w:r>
        <w:rPr>
          <w:rFonts w:ascii="Times New Roman;sans-serif" w:hAnsi="Times New Roman;sans-serif"/>
          <w:b w:val="false"/>
          <w:i/>
          <w:color w:val="000000"/>
          <w:sz w:val="20"/>
        </w:rPr>
        <w:t xml:space="preserve">Legacy segment costs of services and plans. </w:t>
      </w:r>
      <w:r>
        <w:rPr>
          <w:rFonts w:ascii="Times New Roman;sans-serif" w:hAnsi="Times New Roman;sans-serif"/>
          <w:b w:val="false"/>
          <w:color w:val="000000"/>
          <w:sz w:val="20"/>
        </w:rPr>
        <w:t xml:space="preserve">Costs of services and plans as a percentage of net sales of services and plans increased from 43.1% for the six months ended July 2, 2022 to 47.5% for the six months ended July 1, 2023. The increase was primarily driven by lower management fees from our Legacy partner.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SG&amp;A of $493.9 million for the six months ended July 1, 2023 increased $37.5 million, or 8.2%, from the six months ended July 2, 2022. As a percentage of net revenue, SG&amp;A increased from 44.0% for the six months ended July 2, 2022 to 45.4% for the six months ended July 1, 2023. The increase in SG&amp;A as a percentage of net revenue was primarily driven by higher performance-based incentive compensation of 90 basis points, payroll of 70 basis points, and stock-based compensation of 20 basis points, partially offset by lower advertising expense of 30 basis points.</w:t>
      </w:r>
    </w:p>
    <w:p>
      <w:pPr>
        <w:pStyle w:val="TextBody"/>
        <w:bidi w:val="0"/>
        <w:spacing w:lineRule="auto" w:line="288" w:before="0" w:after="120"/>
        <w:jc w:val="both"/>
        <w:rPr/>
      </w:pPr>
      <w:r>
        <w:rPr>
          <w:rFonts w:ascii="Times New Roman;sans-serif" w:hAnsi="Times New Roman;sans-serif"/>
          <w:b w:val="false"/>
          <w:i/>
          <w:color w:val="000000"/>
          <w:sz w:val="20"/>
        </w:rPr>
        <w:t xml:space="preserve">Owned &amp; Host SG&amp;A. </w:t>
      </w:r>
      <w:r>
        <w:rPr>
          <w:rFonts w:ascii="Times New Roman;sans-serif" w:hAnsi="Times New Roman;sans-serif"/>
          <w:b w:val="false"/>
          <w:color w:val="000000"/>
          <w:sz w:val="20"/>
        </w:rPr>
        <w:t>SG&amp;A as a percentage of net revenue increased from 37.5% for the six months ended July 2, 2022 to 37.9% for the six months ended July 1, 2023, driven primarily by higher payroll and occupancy expense, partially offset by lower advertising expense.</w:t>
      </w:r>
    </w:p>
    <w:p>
      <w:pPr>
        <w:pStyle w:val="TextBody"/>
        <w:bidi w:val="0"/>
        <w:spacing w:lineRule="auto" w:line="288" w:before="0" w:after="120"/>
        <w:jc w:val="both"/>
        <w:rPr/>
      </w:pPr>
      <w:r>
        <w:rPr>
          <w:rFonts w:ascii="Times New Roman;sans-serif" w:hAnsi="Times New Roman;sans-serif"/>
          <w:b w:val="false"/>
          <w:i/>
          <w:color w:val="000000"/>
          <w:sz w:val="20"/>
        </w:rPr>
        <w:t xml:space="preserve">Legacy segment SG&amp;A. </w:t>
      </w:r>
      <w:r>
        <w:rPr>
          <w:rFonts w:ascii="Times New Roman;sans-serif" w:hAnsi="Times New Roman;sans-serif"/>
          <w:b w:val="false"/>
          <w:color w:val="000000"/>
          <w:sz w:val="20"/>
        </w:rPr>
        <w:t xml:space="preserve">SG&amp;A as a percentage of net revenue was 37.3% for the six months ended July 2, 2022 as compared to 36.7% for the six months ended July 1, 2023, driven primarily by lower payroll. </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of $49.7 million for the six months ended July 1, 2023 decreased $0.7 million, or 1.3%, from $50.4 million for the six months ended July 2, 2022 primarily driven by a shift to cloud-based software investments that are amortized in SG&amp;A, partially offset by investments in remote medicine technology and new store openings. </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$1.3 million primarily for impairment of tangible long-lived assets and ROU assets associated with our retail stores during the six months ended July 1, 2023 compared to $3.9 million recognized during the six months ended July 2, 2022.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(income), net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was $6.7 million for the six months ended July 1, 2023, compared to $(0.2) million for the six months ended July 2, 2022. The change was primarily a result of lower derivative income of $7.6 million and higher Term A Loans expense of $3.3 million, partially offset by income on cash balances of $4.1 million.</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rates for the six months ended July 1, 2023 and July 2, 2022 were 30.4% and 28.6%, respectively. The change in effective tax rates reflects our statutory federal and state rates of 25.4% and 25.5%, respectively, tax impacts of employee-related federal tax credits and tax impacts of non-deductible compensation expenses and other permanent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Income, Adjusted Operating Margin, EBITDA, Adjusted EBITDA, Adjusted EBITDA Margin and Adjusted Diluted EPS.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Operating Income as net income,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amortization of acquisition intangibles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stock-based compensation expense, loss on extinguishment of debt, asset impairment, litigation settlement, secondary offering expenses, management realignment expenses, long-term incentive plan expenses, and certain other expenses. We define Adjusted EBITDA Margin as Adjusted EBITDA as a percentage of net revenue. We define Adjusted Diluted EPS as diluted earnings per share, adjusted for the per share impact of stock-based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losses (gains) on change in fair value of derivatives, certain other expenses, and tax expense (benefit) from stock-based compensation, less the tax effect of these adjustments.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the Company Non-GAAP Measures can vary substantially in size from one period to the next, and certain types of expenses are non-recurring in nature and consequently may not have been incurred in any of the periods presented below.</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presentations of these measures have limitations as analytical tools and should not be considered in isolation, or as a substitute for analysis of our results as reported under U.S.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they do not reflect costs or cash outlays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Adjusted EBITDA and Adjusted Operating Income do not reflect the interest expense (income), net, or the cash requirements necessary to service interest or principal payments, on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Adjusted EBITDA and Adjusted Operating Income do not reflect period to period changes in taxes, income tax provision or the cash necessary to pay income taxes;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they do not reflect the impact of earnings or charges resulting from matters we consider not to be indicative of our ongoing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and Adjusted EBITDA do not reflect cash requirements for such replacements;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 companies in our industry may calculate these measures differently than we do, limiting their usefulness as comparative measures.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and the Company Non-GAAP Measures should not be considered as measures of discretionary cash available to invest in business growth or to reduce indebtedness.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Adjusted Operating Income, Adjusted Operating Margin, EBITDA, Adjusted EBITDA, Adjusted EBITDA Margin to net income; and Adjusted Diluted EPS to diluted EPS for the periods presented:</w:t>
      </w:r>
    </w:p>
    <w:tbl>
      <w:tblPr>
        <w:tblW w:w="10205" w:type="dxa"/>
        <w:jc w:val="left"/>
        <w:tblInd w:w="0" w:type="dxa"/>
        <w:tblLayout w:type="fixed"/>
        <w:tblCellMar>
          <w:top w:w="28" w:type="dxa"/>
          <w:left w:w="28" w:type="dxa"/>
          <w:bottom w:w="28" w:type="dxa"/>
          <w:right w:w="28" w:type="dxa"/>
        </w:tblCellMar>
      </w:tblPr>
      <w:tblGrid>
        <w:gridCol w:w="972"/>
        <w:gridCol w:w="665"/>
        <w:gridCol w:w="668"/>
        <w:gridCol w:w="211"/>
        <w:gridCol w:w="721"/>
        <w:gridCol w:w="109"/>
        <w:gridCol w:w="203"/>
        <w:gridCol w:w="203"/>
        <w:gridCol w:w="271"/>
        <w:gridCol w:w="109"/>
        <w:gridCol w:w="109"/>
        <w:gridCol w:w="109"/>
        <w:gridCol w:w="211"/>
        <w:gridCol w:w="721"/>
        <w:gridCol w:w="109"/>
        <w:gridCol w:w="203"/>
        <w:gridCol w:w="203"/>
        <w:gridCol w:w="271"/>
        <w:gridCol w:w="109"/>
        <w:gridCol w:w="109"/>
        <w:gridCol w:w="109"/>
        <w:gridCol w:w="211"/>
        <w:gridCol w:w="721"/>
        <w:gridCol w:w="109"/>
        <w:gridCol w:w="203"/>
        <w:gridCol w:w="203"/>
        <w:gridCol w:w="271"/>
        <w:gridCol w:w="109"/>
        <w:gridCol w:w="109"/>
        <w:gridCol w:w="109"/>
        <w:gridCol w:w="211"/>
        <w:gridCol w:w="721"/>
        <w:gridCol w:w="109"/>
        <w:gridCol w:w="203"/>
        <w:gridCol w:w="203"/>
        <w:gridCol w:w="318"/>
      </w:tblGrid>
      <w:tr>
        <w:trPr/>
        <w:tc>
          <w:tcPr>
            <w:tcW w:w="97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impairment </w:t>
            </w:r>
            <w:r>
              <w:rPr>
                <w:rFonts w:ascii="Times New Roman;sans-serif" w:hAnsi="Times New Roman;sans-serif"/>
                <w:b w:val="false"/>
                <w:color w:val="000000"/>
                <w:sz w:val="13"/>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acquisition intangibles </w:t>
            </w:r>
            <w:r>
              <w:rPr>
                <w:rFonts w:ascii="Times New Roman;sans-serif" w:hAnsi="Times New Roman;sans-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Income / Adjusted Operating Margin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6"/>
              </w:rPr>
              <w:t>Note: Percentages reflect line item as a percentage of net revenue, adjusted for rounding.</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i/>
                <w:color w:val="000000"/>
                <w:sz w:val="16"/>
              </w:rPr>
              <w:t>Some of the percentage totals in the table above do not foot due to rounding differences.</w:t>
            </w:r>
          </w:p>
        </w:tc>
      </w:tr>
    </w:tbl>
    <w:tbl>
      <w:tblPr>
        <w:tblW w:w="10205" w:type="dxa"/>
        <w:jc w:val="left"/>
        <w:tblInd w:w="0" w:type="dxa"/>
        <w:tblLayout w:type="fixed"/>
        <w:tblCellMar>
          <w:top w:w="28" w:type="dxa"/>
          <w:left w:w="28" w:type="dxa"/>
          <w:bottom w:w="28" w:type="dxa"/>
          <w:right w:w="28" w:type="dxa"/>
        </w:tblCellMar>
      </w:tblPr>
      <w:tblGrid>
        <w:gridCol w:w="831"/>
        <w:gridCol w:w="526"/>
        <w:gridCol w:w="528"/>
        <w:gridCol w:w="211"/>
        <w:gridCol w:w="721"/>
        <w:gridCol w:w="109"/>
        <w:gridCol w:w="203"/>
        <w:gridCol w:w="203"/>
        <w:gridCol w:w="271"/>
        <w:gridCol w:w="109"/>
        <w:gridCol w:w="109"/>
        <w:gridCol w:w="109"/>
        <w:gridCol w:w="211"/>
        <w:gridCol w:w="721"/>
        <w:gridCol w:w="109"/>
        <w:gridCol w:w="255"/>
        <w:gridCol w:w="256"/>
        <w:gridCol w:w="271"/>
        <w:gridCol w:w="109"/>
        <w:gridCol w:w="109"/>
        <w:gridCol w:w="109"/>
        <w:gridCol w:w="211"/>
        <w:gridCol w:w="826"/>
        <w:gridCol w:w="109"/>
        <w:gridCol w:w="203"/>
        <w:gridCol w:w="203"/>
        <w:gridCol w:w="271"/>
        <w:gridCol w:w="109"/>
        <w:gridCol w:w="109"/>
        <w:gridCol w:w="109"/>
        <w:gridCol w:w="211"/>
        <w:gridCol w:w="826"/>
        <w:gridCol w:w="109"/>
        <w:gridCol w:w="255"/>
        <w:gridCol w:w="256"/>
        <w:gridCol w:w="318"/>
      </w:tblGrid>
      <w:tr>
        <w:trPr/>
        <w:tc>
          <w:tcPr>
            <w:tcW w:w="83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impairment </w:t>
            </w:r>
            <w:r>
              <w:rPr>
                <w:rFonts w:ascii="Times New Roman;sans-serif" w:hAnsi="Times New Roman;sans-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 Adjusted EBITDA Margin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Note: Percentages reflect line item as a percentage of net revenue, adjusted for rounding.</w:t>
              <w:br/>
              <w:t>Some of the percentage totals in the table above do not foot due to rounding differences.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57"/>
        <w:gridCol w:w="1528"/>
        <w:gridCol w:w="1537"/>
        <w:gridCol w:w="276"/>
        <w:gridCol w:w="670"/>
        <w:gridCol w:w="142"/>
        <w:gridCol w:w="109"/>
        <w:gridCol w:w="109"/>
        <w:gridCol w:w="109"/>
        <w:gridCol w:w="276"/>
        <w:gridCol w:w="670"/>
        <w:gridCol w:w="142"/>
        <w:gridCol w:w="109"/>
        <w:gridCol w:w="109"/>
        <w:gridCol w:w="109"/>
        <w:gridCol w:w="276"/>
        <w:gridCol w:w="670"/>
        <w:gridCol w:w="142"/>
        <w:gridCol w:w="109"/>
        <w:gridCol w:w="109"/>
        <w:gridCol w:w="109"/>
        <w:gridCol w:w="272"/>
        <w:gridCol w:w="661"/>
        <w:gridCol w:w="205"/>
      </w:tblGrid>
      <w:tr>
        <w:trPr/>
        <w:tc>
          <w:tcPr>
            <w:tcW w:w="175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w:t>
            </w:r>
            <w:r>
              <w:rPr>
                <w:color w:val="000000"/>
              </w:rPr>
              <w:t xml:space="preserve"> </w:t>
            </w:r>
            <w:r>
              <w:rPr>
                <w:rFonts w:ascii="Times New Roman;sans-serif" w:hAnsi="Times New Roman;sans-serif"/>
                <w:b w:val="false"/>
                <w:color w:val="000000"/>
                <w:sz w:val="13"/>
              </w:rPr>
              <w:t>(b)</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acquisition intangibles </w:t>
            </w:r>
            <w:r>
              <w:rPr>
                <w:rFonts w:ascii="Times New Roman;sans-serif" w:hAnsi="Times New Roman;sans-serif"/>
                <w:b w:val="false"/>
                <w:color w:val="000000"/>
                <w:sz w:val="13"/>
              </w:rPr>
              <w:t>(c)</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debt discount and deferred financing costs</w:t>
            </w:r>
            <w:r>
              <w:rPr>
                <w:color w:val="000000"/>
              </w:rPr>
              <w:t xml:space="preserve"> </w:t>
            </w:r>
            <w:r>
              <w:rPr>
                <w:rFonts w:ascii="Times New Roman;sans-serif" w:hAnsi="Times New Roman;sans-serif"/>
                <w:b w:val="false"/>
                <w:color w:val="000000"/>
                <w:sz w:val="13"/>
              </w:rPr>
              <w:t>(d)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Losses (gains) on change in fair value of derivatives</w:t>
            </w:r>
            <w:r>
              <w:rPr>
                <w:color w:val="000000"/>
              </w:rPr>
              <w:t xml:space="preserve"> </w:t>
            </w:r>
            <w:r>
              <w:rPr>
                <w:rFonts w:ascii="Times New Roman;sans-serif" w:hAnsi="Times New Roman;sans-serif"/>
                <w:b w:val="false"/>
                <w:color w:val="000000"/>
                <w:sz w:val="13"/>
              </w:rPr>
              <w:t>(e)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(i)</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expense (benefit) from stock-based compensation </w:t>
            </w:r>
            <w:r>
              <w:rPr>
                <w:rFonts w:ascii="Times New Roman;sans-serif" w:hAnsi="Times New Roman;sans-serif"/>
                <w:b w:val="false"/>
                <w:color w:val="000000"/>
                <w:sz w:val="13"/>
              </w:rPr>
              <w:t>(g)</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effect of total adjustments </w:t>
            </w:r>
            <w:r>
              <w:rPr>
                <w:rFonts w:ascii="Times New Roman;sans-serif" w:hAnsi="Times New Roman;sans-serif"/>
                <w:b w:val="false"/>
                <w:color w:val="000000"/>
                <w:sz w:val="13"/>
              </w:rPr>
              <w:t>(h)</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EPS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diluted shares outstanding</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Note: Some of the totals in the table above do not foot due to rounding differences.</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(a)Non-cash charges related to stock-based compensation programs, which vary from period to period depending on the timing of awards and performance vesting conditions.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(b)Reflects write-off of primarily property, equipment and lease-related assets on closed or underperforming stores.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(c)Amortization of the increase in carrying values of finite-lived intangible assets resulting from the application of purchase accounting following the acquisition of the Company by affiliates of KKR &amp; Co. Inc.</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(e)Reflects losses (gains) recognized in interest expense (income), net on change in fair value of de-designated hedges.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(f)Other adjustments include amounts that management believes are not representative of our operating performance (amounts in brackets represent reductions in Adjusted Operating Income, Adjusted Diluted EPS and Adjusted EBITDA), which are primarily related to excess payroll taxes on vesting of restricted stock units and exercises of stock options, executive severance and relocation and other expenses and adjustments, including losses on other investments of $0.3 million for the six months ended July 2, 2022.</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(g)Tax expense (benefit) associated with accounting guidance requiring excess tax expense (benefit) related to vesting of restricted stock units and exercises of stock options to be recorded in earnings as discrete items in the reporting period in which they occur.</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(h)Represents the income tax effect of the total adjustments at our combined statutory federal and state income tax rates.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(i)Reflects other</w:t>
      </w:r>
      <w:r>
        <w:rPr>
          <w:color w:val="000000"/>
          <w:shd w:fill="FFFFFF" w:val="clear"/>
        </w:rPr>
        <w:t xml:space="preserve"> </w:t>
      </w:r>
      <w:r>
        <w:rPr>
          <w:rFonts w:ascii="Times New Roman;sans-serif" w:hAnsi="Times New Roman;sans-serif"/>
          <w:b w:val="false"/>
          <w:color w:val="000000"/>
          <w:sz w:val="16"/>
          <w:shd w:fill="FFFFFF" w:val="clear"/>
        </w:rPr>
        <w:t xml:space="preserve">expenses in </w:t>
      </w:r>
      <w:r>
        <w:rPr>
          <w:rFonts w:ascii="Times New Roman;sans-serif" w:hAnsi="Times New Roman;sans-serif"/>
          <w:b w:val="false"/>
          <w:color w:val="000000"/>
          <w:sz w:val="16"/>
        </w:rPr>
        <w:t>(f</w:t>
      </w:r>
      <w:r>
        <w:rPr>
          <w:rFonts w:ascii="Times New Roman;sans-serif" w:hAnsi="Times New Roman;sans-serif"/>
          <w:b w:val="false"/>
          <w:color w:val="000000"/>
          <w:sz w:val="16"/>
          <w:shd w:fill="FFFFFF" w:val="clear"/>
        </w:rPr>
        <w:t>) above, including</w:t>
      </w:r>
      <w:r>
        <w:rPr>
          <w:color w:val="000000"/>
        </w:rPr>
        <w:t xml:space="preserve"> </w:t>
      </w:r>
      <w:r>
        <w:rPr>
          <w:rFonts w:ascii="Times New Roman;sans-serif" w:hAnsi="Times New Roman;sans-serif"/>
          <w:b w:val="false"/>
          <w:color w:val="000000"/>
          <w:sz w:val="16"/>
        </w:rPr>
        <w:t>debt issuance costs of $0.2 million for the three and six months ended July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modifications to our Term A Loans where possible. We recently refinanced our Term A Loans and Revolving Loans, extending their maturity to 2028. Refer to Part I. Item 1. Note 4. “Long-term Debt” for more information.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$254.6 million in cash and cash equivalents and $293.6 million of availability under our Revolving Loans, which includes $6.4 million in outstanding letters of credit.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$150.0 million of Term A Loans outstanding under our credit agreement. We were in compliance with all covenants related to our long-term debt as of July 1,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flows provided by (used for) operating activities, investing activities and financing activities for the periods indicated:</w:t>
      </w:r>
    </w:p>
    <w:tbl>
      <w:tblPr>
        <w:tblW w:w="7269" w:type="dxa"/>
        <w:jc w:val="left"/>
        <w:tblInd w:w="0" w:type="dxa"/>
        <w:tblLayout w:type="fixed"/>
        <w:tblCellMar>
          <w:top w:w="28" w:type="dxa"/>
          <w:left w:w="28" w:type="dxa"/>
          <w:bottom w:w="28" w:type="dxa"/>
          <w:right w:w="28" w:type="dxa"/>
        </w:tblCellMar>
      </w:tblPr>
      <w:tblGrid>
        <w:gridCol w:w="1679"/>
        <w:gridCol w:w="1474"/>
        <w:gridCol w:w="1482"/>
        <w:gridCol w:w="211"/>
        <w:gridCol w:w="826"/>
        <w:gridCol w:w="109"/>
        <w:gridCol w:w="109"/>
        <w:gridCol w:w="109"/>
        <w:gridCol w:w="109"/>
        <w:gridCol w:w="211"/>
        <w:gridCol w:w="796"/>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2022</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for):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increased $24.2 million from $88.0 million during the six months ended July 2, 2022 to $112.2 million for the six months ended July 1, 2023. Changes in net working capital and other assets and liabilities contributed $34.5 million of cash and were partially offset by lower net income of $16.0 million and an increase in non-cash adjustments of $5.7 million compared to the six months ended July 2,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other liabilities during the six months ended July 1, 2023 contributed $25.8 million in year-over-year cash primarily due to increases in compensation-related accruals. Decreases in accounts receivable contributed $9.2 million in year-over-year cash primarily due to an increase in the CARES Act receivable during the six months ended July 2, 2022 that did not recur during the six months ended July 1, 2023. Decreases of inventory contributed $7.5 million in year-over-year cash primarily due to timing of purchases. These were partially offset by decreases in accounts payable that used $6.8 million in year-over-year cash, primarily as a result of timing of payments.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for Investing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decreased by $0.9 million, to $54.8 million, during the six months ended July 1, 2023 from $55.7 million during the six months ended July 2, 2022. The year-over-year decrease was primarily due to lower information technology infrastructure and remote medicine investments, partially offset by investments in labs and distribution centers. Refer to Part I. Item 1. Note 1. “Description of Business and Basis of Presentation” for more information on the investment.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For Financing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financing activities was $32.1 million during the six months ended July 1, 2023 as compared to $83.6 million during the six months ended July 2, 2022. The $51.5 million year-over-year decrease in cash used for financing activities was primarily due to decreased purchases of treasury stock of $56.0 million offset by payments of debt issuance costs of $2.9 million during the six months ended July 1, 2023.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Authority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July 1, 2023 and July 2, 2022, the Company repurchased 1.1 million shares of its common stock for $25.0 million, and 2.7 million shares of its common stock for $80.0 million, respectively, under the share repurchase program. As of July 1, 2023, $25.0 million remains available under the share repurchase authorization.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outside the ordinary course of business in our material cash requirements and commercial commitments from those reported in the 2022 Annual Report on Form 10-K. The refinancing of our Term A Loans and Revolving Loans changed the timing of the repayment of our Term A Loans from what was presented in the 2022 Annual Report on Form 10-K. Refer to Part I. Item 1. Note 4. “Long-term Debt” on this Form 10-Q for the new payment schedule.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endeavors. We have disclosed the amount of future commitments associated with these items in the 2022 Annual Report on Form 10-K. We are not a party to any other material off-balance sheet arrangements.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2022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2022 Annual Report on Form 10-K.</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the Walmart MSA, the Company expects to record noncash goodwill and intangible asset impairment charges of approximately $60 million and $10 million, respectively, in the third quarter of fiscal 2023.</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Adoption of New Accounting Pronouncements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due to recently issued or adopted accounting standards since those disclosed in our 2022 Annual Report on Form 10-K.</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$150.0 million of Term A Loans borrowings were subject to variable interest rates, with a weighted average borrowing rate of 3.6%. An increase to market rates of 1.0% as of July 1, 2023 would not result in a material increase to interest expense. Assuming a decrease to market rates of 1.0% as of July 1, 2023, the resulting increase to interest expense related to the interest rate derivative would be approximately $3 million. For more information about quantitative and qualitative disclosures about market risk, please see Item 7A. “Quantitative and Qualitative Disclosures About Market Risk” in Part II. of the 2022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July 1, 2023.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that term is defined in Rules 13a-15(f) and 15d-15(f) of the Exchange Act) that occurred during the second quarter of fiscal year 2023 that have materially affected, or are reasonably likely to materially affect, our internal control over financial reporting.</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could affect the Company’s results of operations, financial condition and liquidity, see the risk factors discussed in Part I. Item 1A. “Risk Factors” in our 2022 Annual Report on Form 10-K. Except as described below, there have been no material changes to the risk factors described in our 2022 Annual Report on Form 10-K.</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termination of our partnership with Walmart, including the transition period, will have a significant impact on our business, revenues, profitability and cash flows, which impact could be material.</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Following receipt of notice of non-renewal by Walmart on July 20, 2023, our partnership with Walmart, which includes supplying and operating Vision Centers in select Walmart stores and arranging for the provision of optometric services at certain Walmart locations in California, is ending effective February 23, 2024 unless an alternate date is agreed by the parties. Additionally, the agreements governing our provision of contact lens distribution and related services to Walmart and Sam’s Club are terminating effective June 30, 2024 unless an earlier date is agreed by the parties. The termination of the Walmart partnership will result in a reduction of our revenues, profitability and cash flows, and therefore will adversely affect our business, financial condition and results of operations, which could be material. In addition, in connection with the termination of these agreements, we expect to record noncash goodwill and intangible asset impairment charges of approximately $60 million and $10 million, respectively, in the third quarter of fiscal 2023, which would adversely impact our profitability during this period.</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agreements include pre-termination transition and post-termination obligations of the parties, including a solicitation period for Walmart to offer employment or similar arrangements to certain associates and optometrists from specified Vision Centers. The transition period presents numerous risks and may cause disruption to these businesses, including, without limitation, a potential reduction in sales, productivity and focus, and may make it harder to retain associates and optometrists, which in turn could adversely affect our financial condition and results of operations. The termination of the Walmart partnership could negatively impact other parts of our business, including, without limitation, impairing our ability to attract and retain management, associates and optometrists, to compete for managed vision care contracts, to obtain favorable terms from vendors and to generate cash to fund our business. While we may seek to reduce costs and replace any lost business with new America’s Best or Eyeglass World stores and by other means, we may not be successful in our efforts. In addition, the termination of the Walmart partnership has adversely affected, and may continue to adversely affect, the market price of our common stock, regardless of our actual operating performance during the transition period and thereafter.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For additional risks associated with the termination of the Walmart partnership, see the following risk factors included in our 2022 Form 10-K: “</w:t>
      </w:r>
      <w:r>
        <w:rPr>
          <w:rFonts w:ascii="Times New Roman;sans-serif" w:hAnsi="Times New Roman;sans-serif"/>
          <w:b w:val="false"/>
          <w:i/>
          <w:color w:val="000000"/>
          <w:sz w:val="20"/>
        </w:rPr>
        <w:t>If we fail to retain our existing senior management team or attract qualified new personnel, such failure could have a material adverse effect on our business, financial condition and results of operations,” “The optical retail industry is highly competitive, and if we do not compete successfully, our business may be adversely impacted,” “Failure to recruit and retain vision care professionals could adversely affect our business, financial condition and results of operations,” and “If we fail to open and operate new stores in a timely and cost-effective manner or fail to successfully enter new markets, our financial performance could be materially and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2023, L. Reade Fahs, the Company’s Chief Executive Officer, entered into a Rule 10b5-1 trading arrangement (the “Fahs 10b5-1 Sales Plan”) intended to satisfy the affirmative defense of Rule 10b5-1(c) under the Exchange Act. The Fahs 10b5-1 Sales Plan provides for the potential sale of up to an aggregate of 250,000 shares of the Company’s common stock until the earlier of (1) May 31, 2024 and (2) the date on which all such shares have been sold under the Fahs 10b5-1 Sales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823"/>
        <w:gridCol w:w="2577"/>
        <w:gridCol w:w="3668"/>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Certificate of Incorporation of National Vision Holdings, Inc. - incorporated herein by reference to Exhibit 3.1 to the Company’s Current Report on Form 8-K filed on June 10, 2021.</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Bylaws of National Vision Holdings, Inc. - incorporated herein by reference to Exhibit 3.2 to the Company’s Current Report on Form 8-K filed on June 10, 2021.</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Joinder and Restatement Agreement, dated as of June 13, 2023, including as Exhibit A thereto, to the Second Amended and Restated Credit Agreement, by and among Nautilus Acquisition Holdings, Inc., National Vision, Inc., certain subsidiaries of National Vision, Inc., as guarantors, Bank of America, N.A., as Administrative Agent and the Collateral Agent, and the lenders from time to time party thereto -incorporated herein by reference to Exhibit 10.1 to the Company’s Current Report on Form 8-K filed on June 20, 2023.</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nvhisoxcerts311xq2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Executive Officer under Section 302 of the Sarbanes-Oxley Act of 2002 (filed herewith).</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nvhisoxcerts312xq2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Financial Officer under Section 302 of the Sarbanes-Oxley Act of 2002 (filed herewith).</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nvhisoxcerts321xq2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 (furnished herewith).</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nvhisoxcerts322xq2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 (furnished herewith).</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Inline XBRL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Quarterly report on Form 10-Q for the quarter ended July 1, 2023, formatted in Inline XBRL (included within the Exhibit 101 attachments).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2df0a8e17594712a3e8e7fd5af6adb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83" w:type="dxa"/>
        <w:jc w:val="left"/>
        <w:tblInd w:w="0" w:type="dxa"/>
        <w:tblLayout w:type="fixed"/>
        <w:tblCellMar>
          <w:top w:w="28" w:type="dxa"/>
          <w:left w:w="28" w:type="dxa"/>
          <w:bottom w:w="28" w:type="dxa"/>
          <w:right w:w="28" w:type="dxa"/>
        </w:tblCellMar>
      </w:tblPr>
      <w:tblGrid>
        <w:gridCol w:w="743"/>
        <w:gridCol w:w="653"/>
        <w:gridCol w:w="659"/>
        <w:gridCol w:w="408"/>
        <w:gridCol w:w="408"/>
        <w:gridCol w:w="408"/>
        <w:gridCol w:w="1165"/>
        <w:gridCol w:w="1165"/>
        <w:gridCol w:w="167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Vision Holdings, Inc.</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10, 2023</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Reade Fahs</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10, 2023</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Rasmussen</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and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PERIODIC REPORT UNDER SECTION 302 OF</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L. Reade Fahs,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1.I have reviewed this quarterly report on Form 10-Q for the quarterly period ended July 1, 2023 of National Vision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 xml:space="preserve">4.The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000000"/>
          <w:sz w:val="20"/>
        </w:rPr>
        <w:t>and internal control over financial reporting (as defined in Exchange Act Rules 13a-15(f) and 15d-15(f))</w:t>
      </w:r>
      <w:r>
        <w:rPr>
          <w:color w:val="000000"/>
          <w:shd w:fill="FFFFFF" w:val="clear"/>
        </w:rPr>
        <w:t xml:space="preserve"> </w:t>
      </w:r>
      <w:r>
        <w:rPr>
          <w:rFonts w:ascii="Times New Roman;sans-serif" w:hAnsi="Times New Roman;sans-serif"/>
          <w:b w:val="false"/>
          <w:color w:val="000000"/>
          <w:sz w:val="20"/>
          <w:shd w:fill="FFFFFF" w:val="clear"/>
        </w:rPr>
        <w:t>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August 10,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144" w:type="dxa"/>
        <w:jc w:val="center"/>
        <w:tblInd w:w="0" w:type="dxa"/>
        <w:tblLayout w:type="fixed"/>
        <w:tblCellMar>
          <w:top w:w="28" w:type="dxa"/>
          <w:left w:w="28" w:type="dxa"/>
          <w:bottom w:w="28" w:type="dxa"/>
          <w:right w:w="28" w:type="dxa"/>
        </w:tblCellMar>
      </w:tblPr>
      <w:tblGrid>
        <w:gridCol w:w="124"/>
        <w:gridCol w:w="109"/>
        <w:gridCol w:w="109"/>
        <w:gridCol w:w="809"/>
        <w:gridCol w:w="809"/>
        <w:gridCol w:w="8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PERIODIC REPORT UNDER SECTION 302 OF</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Melissa Rasmussen,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1.I have reviewed this quarterly report on Form 10-Q for the quarterly period ended July 1, 2023 of National Vision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 xml:space="preserve">4.The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000000"/>
          <w:sz w:val="20"/>
        </w:rPr>
        <w:t>and internal control over financial reporting (as defined in Exchange Act Rules 13a-15(f) and 15d-15(f))</w:t>
      </w:r>
      <w:r>
        <w:rPr>
          <w:color w:val="000000"/>
          <w:shd w:fill="FFFFFF" w:val="clear"/>
        </w:rPr>
        <w:t xml:space="preserve"> </w:t>
      </w:r>
      <w:r>
        <w:rPr>
          <w:rFonts w:ascii="Times New Roman;sans-serif" w:hAnsi="Times New Roman;sans-serif"/>
          <w:b w:val="false"/>
          <w:color w:val="000000"/>
          <w:sz w:val="20"/>
          <w:shd w:fill="FFFFFF" w:val="clear"/>
        </w:rPr>
        <w:t>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August 10, 2023 </w:t>
      </w:r>
    </w:p>
    <w:p>
      <w:pPr>
        <w:pStyle w:val="TextBody"/>
        <w:bidi w:val="0"/>
        <w:spacing w:before="0" w:after="0"/>
        <w:jc w:val="left"/>
        <w:rPr/>
      </w:pPr>
      <w:r>
        <w:rPr/>
      </w:r>
    </w:p>
    <w:tbl>
      <w:tblPr>
        <w:tblW w:w="4509" w:type="dxa"/>
        <w:jc w:val="center"/>
        <w:tblInd w:w="0" w:type="dxa"/>
        <w:tblLayout w:type="fixed"/>
        <w:tblCellMar>
          <w:top w:w="28" w:type="dxa"/>
          <w:left w:w="28" w:type="dxa"/>
          <w:bottom w:w="28" w:type="dxa"/>
          <w:right w:w="28" w:type="dxa"/>
        </w:tblCellMar>
      </w:tblPr>
      <w:tblGrid>
        <w:gridCol w:w="124"/>
        <w:gridCol w:w="109"/>
        <w:gridCol w:w="109"/>
        <w:gridCol w:w="1264"/>
        <w:gridCol w:w="1264"/>
        <w:gridCol w:w="12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906</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National Vision Holdings, Inc. (the “Company”) on Form 10-Q for the quarterly period ended July 1, 2023 filed with the Securities and Exchange Commission on the date hereof (the “Report”), I, L. Reade Fahs, Chief Executive Officer of the Company, do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August 10, 2023 </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p>
    <w:tbl>
      <w:tblPr>
        <w:tblW w:w="3144" w:type="dxa"/>
        <w:jc w:val="center"/>
        <w:tblInd w:w="0" w:type="dxa"/>
        <w:tblLayout w:type="fixed"/>
        <w:tblCellMar>
          <w:top w:w="28" w:type="dxa"/>
          <w:left w:w="28" w:type="dxa"/>
          <w:bottom w:w="28" w:type="dxa"/>
          <w:right w:w="28" w:type="dxa"/>
        </w:tblCellMar>
      </w:tblPr>
      <w:tblGrid>
        <w:gridCol w:w="124"/>
        <w:gridCol w:w="109"/>
        <w:gridCol w:w="109"/>
        <w:gridCol w:w="809"/>
        <w:gridCol w:w="809"/>
        <w:gridCol w:w="8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Reade Fahs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906</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National Vision Holdings, Inc. (the “Company”) on Form 10-Q for the quarterly period ended July 1, 2023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August 10, 2023 </w:t>
      </w:r>
    </w:p>
    <w:p>
      <w:pPr>
        <w:pStyle w:val="TextBody"/>
        <w:bidi w:val="0"/>
        <w:spacing w:before="0" w:after="0"/>
        <w:jc w:val="left"/>
        <w:rPr/>
      </w:pPr>
      <w:r>
        <w:rPr/>
      </w:r>
    </w:p>
    <w:tbl>
      <w:tblPr>
        <w:tblW w:w="4509" w:type="dxa"/>
        <w:jc w:val="center"/>
        <w:tblInd w:w="0" w:type="dxa"/>
        <w:tblLayout w:type="fixed"/>
        <w:tblCellMar>
          <w:top w:w="28" w:type="dxa"/>
          <w:left w:w="28" w:type="dxa"/>
          <w:bottom w:w="28" w:type="dxa"/>
          <w:right w:w="28" w:type="dxa"/>
        </w:tblCellMar>
      </w:tblPr>
      <w:tblGrid>
        <w:gridCol w:w="124"/>
        <w:gridCol w:w="109"/>
        <w:gridCol w:w="109"/>
        <w:gridCol w:w="1264"/>
        <w:gridCol w:w="1264"/>
        <w:gridCol w:w="12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Rasmussen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0155/000171015521000036/nationalvision-thirdamende.htm" TargetMode="External"/><Relationship Id="rId3" Type="http://schemas.openxmlformats.org/officeDocument/2006/relationships/hyperlink" Target="https://www.sec.gov/Archives/edgar/data/0001710155/000171015521000036/nationalvisionholdingsinct.htm" TargetMode="External"/><Relationship Id="rId4" Type="http://schemas.openxmlformats.org/officeDocument/2006/relationships/hyperlink" Target="https://www.sec.gov/Archives/edgar/data/1710155/000171015523000033/exhibit101-creditagreemen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22641</Words>
  <Characters>122561</Characters>
  <CharactersWithSpaces>143723</CharactersWithSpaces>
  <Paragraphs>2839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