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ind w:left="3720"/>
        <w:spacing w:after="0" w:line="216" w:lineRule="auto"/>
        <w:rPr>
          <w:sz w:val="20"/>
          <w:szCs w:val="20"/>
          <w:color w:val="auto"/>
        </w:rPr>
      </w:pPr>
      <w:r>
        <w:rPr>
          <w:rFonts w:ascii="Arial" w:cs="Arial" w:eastAsia="Arial" w:hAnsi="Arial"/>
          <w:sz w:val="11"/>
          <w:szCs w:val="11"/>
          <w:b w:val="1"/>
          <w:bCs w:val="1"/>
          <w:color w:val="auto"/>
        </w:rPr>
        <w:t>_____________________________</w:t>
      </w:r>
      <w:r>
        <w:rPr>
          <w:rFonts w:ascii="Arial" w:cs="Arial" w:eastAsia="Arial" w:hAnsi="Arial"/>
          <w:sz w:val="8"/>
          <w:szCs w:val="8"/>
          <w:b w:val="1"/>
          <w:bCs w:val="1"/>
          <w:color w:val="auto"/>
        </w:rPr>
        <w:t>_</w:t>
      </w:r>
      <w:r>
        <w:rPr>
          <w:rFonts w:ascii="Arial" w:cs="Arial" w:eastAsia="Arial" w:hAnsi="Arial"/>
          <w:sz w:val="11"/>
          <w:szCs w:val="11"/>
          <w:b w:val="1"/>
          <w:bCs w:val="1"/>
          <w:color w:val="auto"/>
        </w:rPr>
        <w:t>_________________________________________</w:t>
      </w:r>
    </w:p>
    <w:p>
      <w:pPr>
        <w:spacing w:after="0"/>
        <w:rPr>
          <w:sz w:val="20"/>
          <w:szCs w:val="20"/>
          <w:color w:val="auto"/>
        </w:rPr>
      </w:pPr>
      <w:r>
        <w:rPr>
          <w:rFonts w:ascii="Arial" w:cs="Arial" w:eastAsia="Arial" w:hAnsi="Arial"/>
          <w:sz w:val="16"/>
          <w:szCs w:val="16"/>
          <w:color w:val="auto"/>
        </w:rPr>
        <w:t>(Mark One)</w:t>
      </w:r>
    </w:p>
    <w:p>
      <w:pPr>
        <w:spacing w:after="0" w:line="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January 1, 2022</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6"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48"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For the transition period from _____ to 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240"/>
          </w:cols>
          <w:pgMar w:left="320" w:top="683" w:right="339" w:bottom="1440" w:gutter="0" w:footer="0" w:header="0"/>
        </w:sectPr>
      </w:pPr>
    </w:p>
    <w:p>
      <w:pPr>
        <w:spacing w:after="0" w:line="136" w:lineRule="exact"/>
        <w:rPr>
          <w:sz w:val="24"/>
          <w:szCs w:val="24"/>
          <w:color w:val="auto"/>
        </w:rPr>
      </w:pPr>
    </w:p>
    <w:p>
      <w:pPr>
        <w:ind w:left="25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46-4841717</w:t>
      </w:r>
    </w:p>
    <w:p>
      <w:pPr>
        <w:spacing w:after="0" w:line="71" w:lineRule="exact"/>
        <w:rPr>
          <w:sz w:val="24"/>
          <w:szCs w:val="24"/>
          <w:color w:val="auto"/>
        </w:rPr>
      </w:pPr>
    </w:p>
    <w:p>
      <w:pPr>
        <w:sectPr>
          <w:pgSz w:w="11900" w:h="16838" w:orient="portrait"/>
          <w:cols w:equalWidth="0" w:num="2">
            <w:col w:w="7320" w:space="720"/>
            <w:col w:w="3200"/>
          </w:cols>
          <w:pgMar w:left="320" w:top="683" w:right="339" w:bottom="1440" w:gutter="0" w:footer="0" w:header="0"/>
          <w:type w:val="continuous"/>
        </w:sectPr>
      </w:pPr>
    </w:p>
    <w:p>
      <w:pPr>
        <w:ind w:left="11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30" w:lineRule="exact"/>
        <w:rPr>
          <w:sz w:val="24"/>
          <w:szCs w:val="24"/>
          <w:color w:val="auto"/>
        </w:rPr>
      </w:pPr>
    </w:p>
    <w:p>
      <w:pPr>
        <w:sectPr>
          <w:pgSz w:w="11900" w:h="16838" w:orient="portrait"/>
          <w:cols w:equalWidth="0" w:num="2">
            <w:col w:w="6620" w:space="720"/>
            <w:col w:w="3900"/>
          </w:cols>
          <w:pgMar w:left="320" w:top="683"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2435 Commerce Ave,</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Building 2200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Duluth, Georgia 30096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93"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b w:val="1"/>
          <w:bCs w:val="1"/>
          <w:color w:val="auto"/>
        </w:rPr>
        <w:t>(770) 822</w:t>
      </w:r>
      <w:r>
        <w:rPr>
          <w:rFonts w:ascii="MS PGothic" w:cs="MS PGothic" w:eastAsia="MS PGothic" w:hAnsi="MS PGothic"/>
          <w:sz w:val="14"/>
          <w:szCs w:val="14"/>
          <w:color w:val="auto"/>
        </w:rPr>
        <w:t>‑</w:t>
      </w:r>
      <w:r>
        <w:rPr>
          <w:rFonts w:ascii="Arial" w:cs="Arial" w:eastAsia="Arial" w:hAnsi="Arial"/>
          <w:sz w:val="14"/>
          <w:szCs w:val="14"/>
          <w:b w:val="1"/>
          <w:bCs w:val="1"/>
          <w:color w:val="auto"/>
        </w:rPr>
        <w:t>3600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(Registrant’s telephone number, including area code)</w:t>
      </w:r>
    </w:p>
    <w:p>
      <w:pPr>
        <w:sectPr>
          <w:pgSz w:w="11900" w:h="16838" w:orient="portrait"/>
          <w:cols w:equalWidth="0" w:num="1">
            <w:col w:w="11240"/>
          </w:cols>
          <w:pgMar w:left="320" w:top="683" w:right="339" w:bottom="1440" w:gutter="0" w:footer="0" w:header="0"/>
          <w:type w:val="continuous"/>
        </w:sectPr>
      </w:pPr>
    </w:p>
    <w:p>
      <w:pPr>
        <w:spacing w:after="0" w:line="32"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_______________________________________________________________________</w:t>
      </w:r>
    </w:p>
    <w:p>
      <w:pPr>
        <w:spacing w:after="0" w:line="71" w:lineRule="exact"/>
        <w:rPr>
          <w:sz w:val="24"/>
          <w:szCs w:val="24"/>
          <w:color w:val="auto"/>
        </w:rPr>
      </w:pPr>
    </w:p>
    <w:tbl>
      <w:tblPr>
        <w:tblLayout w:type="fixed"/>
        <w:tblInd w:w="90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55"/>
        </w:trPr>
        <w:tc>
          <w:tcPr>
            <w:tcW w:w="660" w:type="dxa"/>
            <w:vAlign w:val="bottom"/>
          </w:tcPr>
          <w:p>
            <w:pPr>
              <w:spacing w:after="0"/>
              <w:rPr>
                <w:sz w:val="22"/>
                <w:szCs w:val="22"/>
                <w:color w:val="auto"/>
              </w:rPr>
            </w:pPr>
          </w:p>
        </w:tc>
        <w:tc>
          <w:tcPr>
            <w:tcW w:w="20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9"/>
              </w:rPr>
              <w:t>Title of each class</w:t>
            </w:r>
          </w:p>
        </w:tc>
        <w:tc>
          <w:tcPr>
            <w:tcW w:w="1460" w:type="dxa"/>
            <w:vAlign w:val="bottom"/>
          </w:tcPr>
          <w:p>
            <w:pPr>
              <w:spacing w:after="0"/>
              <w:rPr>
                <w:sz w:val="22"/>
                <w:szCs w:val="22"/>
                <w:color w:val="auto"/>
              </w:rPr>
            </w:pPr>
          </w:p>
        </w:tc>
        <w:tc>
          <w:tcPr>
            <w:tcW w:w="256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92"/>
              </w:rPr>
              <w:t>Trading Symbol(s)</w:t>
            </w:r>
          </w:p>
        </w:tc>
        <w:tc>
          <w:tcPr>
            <w:tcW w:w="28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98"/>
        </w:trPr>
        <w:tc>
          <w:tcPr>
            <w:tcW w:w="2680" w:type="dxa"/>
            <w:vAlign w:val="bottom"/>
            <w:gridSpan w:val="3"/>
          </w:tcPr>
          <w:p>
            <w:pPr>
              <w:jc w:val="center"/>
              <w:ind w:right="260"/>
              <w:spacing w:after="0"/>
              <w:rPr>
                <w:sz w:val="20"/>
                <w:szCs w:val="20"/>
                <w:color w:val="auto"/>
              </w:rPr>
            </w:pPr>
            <w:r>
              <w:rPr>
                <w:rFonts w:ascii="Arial" w:cs="Arial" w:eastAsia="Arial" w:hAnsi="Arial"/>
                <w:sz w:val="14"/>
                <w:szCs w:val="14"/>
                <w:color w:val="auto"/>
                <w:w w:val="91"/>
              </w:rPr>
              <w:t>Common Stock, par value $0.01 per share</w:t>
            </w:r>
          </w:p>
        </w:tc>
        <w:tc>
          <w:tcPr>
            <w:tcW w:w="1460" w:type="dxa"/>
            <w:vAlign w:val="bottom"/>
          </w:tcPr>
          <w:p>
            <w:pPr>
              <w:spacing w:after="0"/>
              <w:rPr>
                <w:sz w:val="17"/>
                <w:szCs w:val="17"/>
                <w:color w:val="auto"/>
              </w:rPr>
            </w:pPr>
          </w:p>
        </w:tc>
        <w:tc>
          <w:tcPr>
            <w:tcW w:w="2560" w:type="dxa"/>
            <w:vAlign w:val="bottom"/>
            <w:gridSpan w:val="2"/>
          </w:tcPr>
          <w:p>
            <w:pPr>
              <w:jc w:val="center"/>
              <w:ind w:right="1400"/>
              <w:spacing w:after="0"/>
              <w:rPr>
                <w:sz w:val="20"/>
                <w:szCs w:val="20"/>
                <w:color w:val="auto"/>
              </w:rPr>
            </w:pPr>
            <w:r>
              <w:rPr>
                <w:rFonts w:ascii="Arial" w:cs="Arial" w:eastAsia="Arial" w:hAnsi="Arial"/>
                <w:sz w:val="14"/>
                <w:szCs w:val="14"/>
                <w:color w:val="auto"/>
                <w:w w:val="99"/>
              </w:rPr>
              <w:t>EYE</w:t>
            </w:r>
          </w:p>
        </w:tc>
        <w:tc>
          <w:tcPr>
            <w:tcW w:w="20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rPr>
              <w:t>NASDAQ</w:t>
            </w:r>
          </w:p>
        </w:tc>
      </w:tr>
    </w:tbl>
    <w:p>
      <w:pPr>
        <w:spacing w:after="0" w:line="178" w:lineRule="exact"/>
        <w:rPr>
          <w:sz w:val="24"/>
          <w:szCs w:val="24"/>
          <w:color w:val="auto"/>
        </w:rPr>
      </w:pPr>
    </w:p>
    <w:p>
      <w:pPr>
        <w:jc w:val="both"/>
        <w:ind w:right="3540" w:firstLine="3687"/>
        <w:spacing w:after="0" w:line="220" w:lineRule="exact"/>
        <w:rPr>
          <w:sz w:val="20"/>
          <w:szCs w:val="20"/>
          <w:color w:val="auto"/>
        </w:rPr>
      </w:pPr>
      <w:r>
        <w:rPr>
          <w:rFonts w:ascii="Arial" w:cs="Arial" w:eastAsia="Arial" w:hAnsi="Arial"/>
          <w:sz w:val="13"/>
          <w:szCs w:val="13"/>
          <w:b w:val="1"/>
          <w:bCs w:val="1"/>
          <w:color w:val="auto"/>
        </w:rPr>
        <w:t xml:space="preserve">Securities registered pursuant to Section 12(g) of the Act: </w:t>
      </w:r>
      <w:r>
        <w:rPr>
          <w:rFonts w:ascii="Arial" w:cs="Arial" w:eastAsia="Arial" w:hAnsi="Arial"/>
          <w:sz w:val="13"/>
          <w:szCs w:val="13"/>
          <w:color w:val="auto"/>
        </w:rPr>
        <w:t>None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1800" w:type="dxa"/>
        <w:tblCellMar>
          <w:top w:w="0" w:type="dxa"/>
          <w:left w:w="0" w:type="dxa"/>
          <w:bottom w:w="0" w:type="dxa"/>
          <w:right w:w="0" w:type="dxa"/>
        </w:tblCellMar>
      </w:tblPr>
      <w:tr>
        <w:trPr>
          <w:trHeight w:val="203"/>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7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ind w:left="9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17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020" w:type="dxa"/>
            <w:vAlign w:val="bottom"/>
          </w:tcPr>
          <w:p>
            <w:pPr>
              <w:ind w:left="9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20" w:type="dxa"/>
            <w:vAlign w:val="bottom"/>
          </w:tcPr>
          <w:p>
            <w:pPr>
              <w:ind w:left="9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6"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emerging growth company, indicate by check mark if the registrant has elected not to use the excluded transition period for complying with any new or revised financial accounting standards provided pursuant to Section 13(a) of the Act. </w:t>
      </w:r>
      <w:r>
        <w:rPr>
          <w:rFonts w:ascii="MS PGothic" w:cs="MS PGothic" w:eastAsia="MS PGothic" w:hAnsi="MS PGothic"/>
          <w:sz w:val="14"/>
          <w:szCs w:val="14"/>
          <w:color w:val="auto"/>
        </w:rPr>
        <w:t>☐</w:t>
      </w:r>
    </w:p>
    <w:p>
      <w:pPr>
        <w:spacing w:after="0" w:line="19"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July 3, 2021, the last day of the registrant’s most recently completed second quarter, the aggregate market value of the registrant’s common stock held by non-affiliates of the registrant was approximately $4.1 billion (based upon the closing sale price of the common stock on last trading date of the quarter on the NASDAQ).</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614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w:t>
            </w:r>
          </w:p>
        </w:tc>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Outstanding at February 18, 2022</w:t>
            </w:r>
          </w:p>
        </w:tc>
      </w:tr>
      <w:tr>
        <w:trPr>
          <w:trHeight w:val="182"/>
        </w:trPr>
        <w:tc>
          <w:tcPr>
            <w:tcW w:w="5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Common Stock, $0.01 par value per share</w:t>
            </w:r>
          </w:p>
        </w:tc>
        <w:tc>
          <w:tcPr>
            <w:tcW w:w="1040" w:type="dxa"/>
            <w:vAlign w:val="bottom"/>
          </w:tcPr>
          <w:p>
            <w:pPr>
              <w:spacing w:after="0"/>
              <w:rPr>
                <w:sz w:val="15"/>
                <w:szCs w:val="15"/>
                <w:color w:val="auto"/>
              </w:rPr>
            </w:pPr>
          </w:p>
        </w:tc>
        <w:tc>
          <w:tcPr>
            <w:tcW w:w="5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81,407,944</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jc w:val="both"/>
        <w:spacing w:after="0" w:line="255" w:lineRule="auto"/>
        <w:rPr>
          <w:sz w:val="20"/>
          <w:szCs w:val="20"/>
          <w:color w:val="auto"/>
        </w:rPr>
      </w:pPr>
      <w:r>
        <w:rPr>
          <w:rFonts w:ascii="Arial" w:cs="Arial" w:eastAsia="Arial" w:hAnsi="Arial"/>
          <w:sz w:val="14"/>
          <w:szCs w:val="14"/>
          <w:color w:val="auto"/>
        </w:rPr>
        <w:t>Portions of the registrant's definitive Proxy Statement for its 2022 Annual Meeting of Stockholders are incorporated by reference into Part III of this Annual Report on Form 10-K. The Proxy Statement will be filed with the Securities and Exchange Commission within 120 days of the registrant’s fiscal year ended January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565150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gridSpan w:val="9"/>
          </w:tcPr>
          <w:p>
            <w:pPr>
              <w:ind w:left="620"/>
              <w:spacing w:after="0"/>
              <w:rPr>
                <w:sz w:val="20"/>
                <w:szCs w:val="20"/>
                <w:color w:val="auto"/>
              </w:rPr>
            </w:pPr>
            <w:r>
              <w:rPr>
                <w:rFonts w:ascii="Arial" w:cs="Arial" w:eastAsia="Arial" w:hAnsi="Arial"/>
                <w:sz w:val="18"/>
                <w:szCs w:val="18"/>
                <w:color w:val="auto"/>
              </w:rPr>
              <w:t>Page</w:t>
            </w:r>
          </w:p>
        </w:tc>
      </w:tr>
      <w:tr>
        <w:trPr>
          <w:trHeight w:val="230"/>
        </w:trPr>
        <w:tc>
          <w:tcPr>
            <w:tcW w:w="20" w:type="dxa"/>
            <w:vAlign w:val="bottom"/>
          </w:tcPr>
          <w:p>
            <w:pPr>
              <w:spacing w:after="0"/>
              <w:rPr>
                <w:sz w:val="19"/>
                <w:szCs w:val="19"/>
                <w:color w:val="auto"/>
              </w:rPr>
            </w:pPr>
          </w:p>
        </w:tc>
        <w:tc>
          <w:tcPr>
            <w:tcW w:w="5340" w:type="dxa"/>
            <w:vAlign w:val="bottom"/>
            <w:gridSpan w:val="22"/>
          </w:tcPr>
          <w:p>
            <w:pPr>
              <w:spacing w:after="0"/>
              <w:rPr>
                <w:rFonts w:ascii="Arial" w:cs="Arial" w:eastAsia="Arial" w:hAnsi="Arial"/>
                <w:sz w:val="18"/>
                <w:szCs w:val="18"/>
                <w:color w:val="0000FF"/>
                <w:w w:val="95"/>
              </w:rPr>
            </w:pPr>
            <w:hyperlink w:anchor="page3">
              <w:r>
                <w:rPr>
                  <w:rFonts w:ascii="Arial" w:cs="Arial" w:eastAsia="Arial" w:hAnsi="Arial"/>
                  <w:sz w:val="18"/>
                  <w:szCs w:val="18"/>
                  <w:color w:val="0000FF"/>
                  <w:w w:val="95"/>
                </w:rPr>
                <w:t>SPECIAL NOTE REGARDING FORWARD-LOOKING STATEMENTS</w:t>
              </w:r>
            </w:hyperlink>
          </w:p>
        </w:tc>
        <w:tc>
          <w:tcPr>
            <w:tcW w:w="4780" w:type="dxa"/>
            <w:vAlign w:val="bottom"/>
            <w:gridSpan w:val="9"/>
          </w:tcPr>
          <w:p>
            <w:pPr>
              <w:spacing w:after="0"/>
              <w:rPr>
                <w:sz w:val="19"/>
                <w:szCs w:val="19"/>
                <w:color w:val="auto"/>
              </w:rPr>
            </w:pPr>
          </w:p>
        </w:tc>
        <w:tc>
          <w:tcPr>
            <w:tcW w:w="880" w:type="dxa"/>
            <w:vAlign w:val="bottom"/>
            <w:gridSpan w:val="6"/>
          </w:tcPr>
          <w:p>
            <w:pPr>
              <w:jc w:val="center"/>
              <w:ind w:left="63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220" w:type="dxa"/>
            <w:vAlign w:val="bottom"/>
            <w:gridSpan w:val="12"/>
          </w:tcPr>
          <w:p>
            <w:pPr>
              <w:spacing w:after="0"/>
              <w:rPr>
                <w:rFonts w:ascii="Arial" w:cs="Arial" w:eastAsia="Arial" w:hAnsi="Arial"/>
                <w:sz w:val="18"/>
                <w:szCs w:val="18"/>
                <w:color w:val="0000FF"/>
                <w:w w:val="94"/>
              </w:rPr>
            </w:pPr>
            <w:hyperlink w:anchor="page5">
              <w:r>
                <w:rPr>
                  <w:rFonts w:ascii="Arial" w:cs="Arial" w:eastAsia="Arial" w:hAnsi="Arial"/>
                  <w:sz w:val="18"/>
                  <w:szCs w:val="18"/>
                  <w:color w:val="0000FF"/>
                  <w:w w:val="94"/>
                </w:rPr>
                <w:t>RISK FACTORS SUMMARY</w:t>
              </w:r>
            </w:hyperlink>
          </w:p>
        </w:tc>
        <w:tc>
          <w:tcPr>
            <w:tcW w:w="3120" w:type="dxa"/>
            <w:vAlign w:val="bottom"/>
            <w:gridSpan w:val="10"/>
          </w:tcPr>
          <w:p>
            <w:pPr>
              <w:spacing w:after="0"/>
              <w:rPr>
                <w:sz w:val="20"/>
                <w:szCs w:val="20"/>
                <w:color w:val="auto"/>
              </w:rPr>
            </w:pPr>
          </w:p>
        </w:tc>
        <w:tc>
          <w:tcPr>
            <w:tcW w:w="4780" w:type="dxa"/>
            <w:vAlign w:val="bottom"/>
            <w:gridSpan w:val="9"/>
          </w:tcPr>
          <w:p>
            <w:pPr>
              <w:spacing w:after="0"/>
              <w:rPr>
                <w:sz w:val="20"/>
                <w:szCs w:val="20"/>
                <w:color w:val="auto"/>
              </w:rPr>
            </w:pPr>
          </w:p>
        </w:tc>
        <w:tc>
          <w:tcPr>
            <w:tcW w:w="880" w:type="dxa"/>
            <w:vAlign w:val="bottom"/>
            <w:gridSpan w:val="6"/>
          </w:tcPr>
          <w:p>
            <w:pPr>
              <w:jc w:val="center"/>
              <w:ind w:left="63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gridSpan w:val="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PART I</w:t>
              </w:r>
            </w:hyperlink>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gridSpan w:val="6"/>
          </w:tcPr>
          <w:p>
            <w:pPr>
              <w:jc w:val="center"/>
              <w:ind w:left="63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FF"/>
                <w:w w:val="87"/>
              </w:rPr>
            </w:pPr>
            <w:hyperlink w:anchor="page7">
              <w:r>
                <w:rPr>
                  <w:rFonts w:ascii="Arial" w:cs="Arial" w:eastAsia="Arial" w:hAnsi="Arial"/>
                  <w:sz w:val="18"/>
                  <w:szCs w:val="18"/>
                  <w:color w:val="0000FF"/>
                  <w:w w:val="87"/>
                </w:rPr>
                <w:t>Item 1.</w:t>
              </w:r>
            </w:hyperlink>
          </w:p>
        </w:tc>
        <w:tc>
          <w:tcPr>
            <w:tcW w:w="540" w:type="dxa"/>
            <w:vAlign w:val="bottom"/>
            <w:gridSpan w:val="3"/>
          </w:tcPr>
          <w:p>
            <w:pPr>
              <w:spacing w:after="0"/>
              <w:rPr>
                <w:sz w:val="21"/>
                <w:szCs w:val="21"/>
                <w:color w:val="auto"/>
              </w:rPr>
            </w:pPr>
          </w:p>
        </w:tc>
        <w:tc>
          <w:tcPr>
            <w:tcW w:w="640" w:type="dxa"/>
            <w:vAlign w:val="bottom"/>
          </w:tcPr>
          <w:p>
            <w:pPr>
              <w:spacing w:after="0"/>
              <w:rPr>
                <w:rFonts w:ascii="Arial" w:cs="Arial" w:eastAsia="Arial" w:hAnsi="Arial"/>
                <w:sz w:val="18"/>
                <w:szCs w:val="18"/>
                <w:color w:val="0000FF"/>
                <w:w w:val="84"/>
              </w:rPr>
            </w:pPr>
            <w:hyperlink w:anchor="page7">
              <w:r>
                <w:rPr>
                  <w:rFonts w:ascii="Arial" w:cs="Arial" w:eastAsia="Arial" w:hAnsi="Arial"/>
                  <w:sz w:val="18"/>
                  <w:szCs w:val="18"/>
                  <w:color w:val="0000FF"/>
                  <w:w w:val="84"/>
                </w:rPr>
                <w:t>Business</w:t>
              </w:r>
            </w:hyperlink>
          </w:p>
        </w:tc>
        <w:tc>
          <w:tcPr>
            <w:tcW w:w="8040" w:type="dxa"/>
            <w:vAlign w:val="bottom"/>
            <w:gridSpan w:val="21"/>
          </w:tcPr>
          <w:p>
            <w:pPr>
              <w:spacing w:after="0"/>
              <w:rPr>
                <w:sz w:val="21"/>
                <w:szCs w:val="21"/>
                <w:color w:val="auto"/>
              </w:rPr>
            </w:pPr>
          </w:p>
        </w:tc>
        <w:tc>
          <w:tcPr>
            <w:tcW w:w="880" w:type="dxa"/>
            <w:vAlign w:val="bottom"/>
            <w:gridSpan w:val="6"/>
          </w:tcPr>
          <w:p>
            <w:pPr>
              <w:jc w:val="center"/>
              <w:ind w:left="63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FF"/>
                <w:w w:val="86"/>
              </w:rPr>
            </w:pPr>
            <w:hyperlink w:anchor="page21">
              <w:r>
                <w:rPr>
                  <w:rFonts w:ascii="Arial" w:cs="Arial" w:eastAsia="Arial" w:hAnsi="Arial"/>
                  <w:sz w:val="18"/>
                  <w:szCs w:val="18"/>
                  <w:color w:val="0000FF"/>
                  <w:w w:val="86"/>
                </w:rPr>
                <w:t>Item 1A.</w:t>
              </w:r>
            </w:hyperlink>
          </w:p>
        </w:tc>
        <w:tc>
          <w:tcPr>
            <w:tcW w:w="440" w:type="dxa"/>
            <w:vAlign w:val="bottom"/>
          </w:tcPr>
          <w:p>
            <w:pPr>
              <w:spacing w:after="0"/>
              <w:rPr>
                <w:sz w:val="21"/>
                <w:szCs w:val="21"/>
                <w:color w:val="auto"/>
              </w:rPr>
            </w:pPr>
          </w:p>
        </w:tc>
        <w:tc>
          <w:tcPr>
            <w:tcW w:w="8680" w:type="dxa"/>
            <w:vAlign w:val="bottom"/>
            <w:gridSpan w:val="22"/>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Risk Factors</w:t>
              </w:r>
            </w:hyperlink>
          </w:p>
        </w:tc>
        <w:tc>
          <w:tcPr>
            <w:tcW w:w="920" w:type="dxa"/>
            <w:vAlign w:val="bottom"/>
            <w:gridSpan w:val="7"/>
          </w:tcPr>
          <w:p>
            <w:pPr>
              <w:jc w:val="center"/>
              <w:ind w:left="57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21</w:t>
              </w:r>
            </w:hyperlink>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FF"/>
                <w:w w:val="86"/>
              </w:rPr>
            </w:pPr>
            <w:hyperlink w:anchor="page43">
              <w:r>
                <w:rPr>
                  <w:rFonts w:ascii="Arial" w:cs="Arial" w:eastAsia="Arial" w:hAnsi="Arial"/>
                  <w:sz w:val="18"/>
                  <w:szCs w:val="18"/>
                  <w:color w:val="0000FF"/>
                  <w:w w:val="86"/>
                </w:rPr>
                <w:t>Item 1B.</w:t>
              </w:r>
            </w:hyperlink>
          </w:p>
        </w:tc>
        <w:tc>
          <w:tcPr>
            <w:tcW w:w="440" w:type="dxa"/>
            <w:vAlign w:val="bottom"/>
          </w:tcPr>
          <w:p>
            <w:pPr>
              <w:spacing w:after="0"/>
              <w:rPr>
                <w:sz w:val="21"/>
                <w:szCs w:val="21"/>
                <w:color w:val="auto"/>
              </w:rPr>
            </w:pPr>
          </w:p>
        </w:tc>
        <w:tc>
          <w:tcPr>
            <w:tcW w:w="8680" w:type="dxa"/>
            <w:vAlign w:val="bottom"/>
            <w:gridSpan w:val="2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Unresolved Staff Comments</w:t>
              </w:r>
            </w:hyperlink>
          </w:p>
        </w:tc>
        <w:tc>
          <w:tcPr>
            <w:tcW w:w="920" w:type="dxa"/>
            <w:vAlign w:val="bottom"/>
            <w:gridSpan w:val="7"/>
          </w:tcPr>
          <w:p>
            <w:pPr>
              <w:jc w:val="center"/>
              <w:ind w:left="57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42</w:t>
              </w:r>
            </w:hyperlink>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FF"/>
                <w:w w:val="87"/>
              </w:rPr>
            </w:pPr>
            <w:hyperlink w:anchor="page43">
              <w:r>
                <w:rPr>
                  <w:rFonts w:ascii="Arial" w:cs="Arial" w:eastAsia="Arial" w:hAnsi="Arial"/>
                  <w:sz w:val="18"/>
                  <w:szCs w:val="18"/>
                  <w:color w:val="0000FF"/>
                  <w:w w:val="87"/>
                </w:rPr>
                <w:t>Item 2.</w:t>
              </w:r>
            </w:hyperlink>
          </w:p>
        </w:tc>
        <w:tc>
          <w:tcPr>
            <w:tcW w:w="100" w:type="dxa"/>
            <w:vAlign w:val="bottom"/>
            <w:gridSpan w:val="2"/>
          </w:tcPr>
          <w:p>
            <w:pPr>
              <w:spacing w:after="0"/>
              <w:rPr>
                <w:sz w:val="21"/>
                <w:szCs w:val="21"/>
                <w:color w:val="auto"/>
              </w:rPr>
            </w:pPr>
          </w:p>
        </w:tc>
        <w:tc>
          <w:tcPr>
            <w:tcW w:w="440" w:type="dxa"/>
            <w:vAlign w:val="bottom"/>
          </w:tcPr>
          <w:p>
            <w:pPr>
              <w:spacing w:after="0"/>
              <w:rPr>
                <w:sz w:val="21"/>
                <w:szCs w:val="21"/>
                <w:color w:val="auto"/>
              </w:rPr>
            </w:pPr>
          </w:p>
        </w:tc>
        <w:tc>
          <w:tcPr>
            <w:tcW w:w="2040" w:type="dxa"/>
            <w:vAlign w:val="bottom"/>
            <w:gridSpan w:val="9"/>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Properties</w:t>
              </w:r>
            </w:hyperlink>
          </w:p>
        </w:tc>
        <w:tc>
          <w:tcPr>
            <w:tcW w:w="6640" w:type="dxa"/>
            <w:vAlign w:val="bottom"/>
            <w:gridSpan w:val="13"/>
          </w:tcPr>
          <w:p>
            <w:pPr>
              <w:spacing w:after="0"/>
              <w:rPr>
                <w:sz w:val="21"/>
                <w:szCs w:val="21"/>
                <w:color w:val="auto"/>
              </w:rPr>
            </w:pPr>
          </w:p>
        </w:tc>
        <w:tc>
          <w:tcPr>
            <w:tcW w:w="700" w:type="dxa"/>
            <w:vAlign w:val="bottom"/>
            <w:gridSpan w:val="3"/>
          </w:tcPr>
          <w:p>
            <w:pPr>
              <w:spacing w:after="0"/>
              <w:rPr>
                <w:sz w:val="21"/>
                <w:szCs w:val="21"/>
                <w:color w:val="auto"/>
              </w:rPr>
            </w:pPr>
          </w:p>
        </w:tc>
        <w:tc>
          <w:tcPr>
            <w:tcW w:w="220" w:type="dxa"/>
            <w:vAlign w:val="bottom"/>
            <w:gridSpan w:val="4"/>
          </w:tcPr>
          <w:p>
            <w:pPr>
              <w:jc w:val="center"/>
              <w:ind w:right="4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43</w:t>
              </w:r>
            </w:hyperlink>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FF"/>
                <w:w w:val="87"/>
              </w:rPr>
            </w:pPr>
            <w:hyperlink w:anchor="page44">
              <w:r>
                <w:rPr>
                  <w:rFonts w:ascii="Arial" w:cs="Arial" w:eastAsia="Arial" w:hAnsi="Arial"/>
                  <w:sz w:val="18"/>
                  <w:szCs w:val="18"/>
                  <w:color w:val="0000FF"/>
                  <w:w w:val="87"/>
                </w:rPr>
                <w:t>Item 3.</w:t>
              </w:r>
            </w:hyperlink>
          </w:p>
        </w:tc>
        <w:tc>
          <w:tcPr>
            <w:tcW w:w="540" w:type="dxa"/>
            <w:vAlign w:val="bottom"/>
            <w:gridSpan w:val="3"/>
          </w:tcPr>
          <w:p>
            <w:pPr>
              <w:spacing w:after="0"/>
              <w:rPr>
                <w:sz w:val="21"/>
                <w:szCs w:val="21"/>
                <w:color w:val="auto"/>
              </w:rPr>
            </w:pPr>
          </w:p>
        </w:tc>
        <w:tc>
          <w:tcPr>
            <w:tcW w:w="1320" w:type="dxa"/>
            <w:vAlign w:val="bottom"/>
            <w:gridSpan w:val="5"/>
          </w:tcPr>
          <w:p>
            <w:pPr>
              <w:spacing w:after="0"/>
              <w:rPr>
                <w:rFonts w:ascii="Arial" w:cs="Arial" w:eastAsia="Arial" w:hAnsi="Arial"/>
                <w:sz w:val="18"/>
                <w:szCs w:val="18"/>
                <w:color w:val="0000FF"/>
                <w:w w:val="85"/>
              </w:rPr>
            </w:pPr>
            <w:hyperlink w:anchor="page44">
              <w:r>
                <w:rPr>
                  <w:rFonts w:ascii="Arial" w:cs="Arial" w:eastAsia="Arial" w:hAnsi="Arial"/>
                  <w:sz w:val="18"/>
                  <w:szCs w:val="18"/>
                  <w:color w:val="0000FF"/>
                  <w:w w:val="85"/>
                </w:rPr>
                <w:t>Legal Proceedings</w:t>
              </w:r>
            </w:hyperlink>
          </w:p>
        </w:tc>
        <w:tc>
          <w:tcPr>
            <w:tcW w:w="7360" w:type="dxa"/>
            <w:vAlign w:val="bottom"/>
            <w:gridSpan w:val="17"/>
          </w:tcPr>
          <w:p>
            <w:pPr>
              <w:spacing w:after="0"/>
              <w:rPr>
                <w:sz w:val="21"/>
                <w:szCs w:val="21"/>
                <w:color w:val="auto"/>
              </w:rPr>
            </w:pPr>
          </w:p>
        </w:tc>
        <w:tc>
          <w:tcPr>
            <w:tcW w:w="700" w:type="dxa"/>
            <w:vAlign w:val="bottom"/>
            <w:gridSpan w:val="3"/>
          </w:tcPr>
          <w:p>
            <w:pPr>
              <w:spacing w:after="0"/>
              <w:rPr>
                <w:sz w:val="21"/>
                <w:szCs w:val="21"/>
                <w:color w:val="auto"/>
              </w:rPr>
            </w:pPr>
          </w:p>
        </w:tc>
        <w:tc>
          <w:tcPr>
            <w:tcW w:w="220" w:type="dxa"/>
            <w:vAlign w:val="bottom"/>
            <w:gridSpan w:val="4"/>
          </w:tcPr>
          <w:p>
            <w:pPr>
              <w:jc w:val="center"/>
              <w:ind w:right="4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FF"/>
                <w:w w:val="87"/>
              </w:rPr>
            </w:pPr>
            <w:hyperlink w:anchor="page45">
              <w:r>
                <w:rPr>
                  <w:rFonts w:ascii="Arial" w:cs="Arial" w:eastAsia="Arial" w:hAnsi="Arial"/>
                  <w:sz w:val="18"/>
                  <w:szCs w:val="18"/>
                  <w:color w:val="0000FF"/>
                  <w:w w:val="87"/>
                </w:rPr>
                <w:t>Item 4.</w:t>
              </w:r>
            </w:hyperlink>
          </w:p>
        </w:tc>
        <w:tc>
          <w:tcPr>
            <w:tcW w:w="540" w:type="dxa"/>
            <w:vAlign w:val="bottom"/>
            <w:gridSpan w:val="3"/>
          </w:tcPr>
          <w:p>
            <w:pPr>
              <w:spacing w:after="0"/>
              <w:rPr>
                <w:sz w:val="21"/>
                <w:szCs w:val="21"/>
                <w:color w:val="auto"/>
              </w:rPr>
            </w:pPr>
          </w:p>
        </w:tc>
        <w:tc>
          <w:tcPr>
            <w:tcW w:w="8680" w:type="dxa"/>
            <w:vAlign w:val="bottom"/>
            <w:gridSpan w:val="2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Mine Safety Disclosures</w:t>
              </w:r>
            </w:hyperlink>
          </w:p>
        </w:tc>
        <w:tc>
          <w:tcPr>
            <w:tcW w:w="920" w:type="dxa"/>
            <w:vAlign w:val="bottom"/>
            <w:gridSpan w:val="7"/>
          </w:tcPr>
          <w:p>
            <w:pPr>
              <w:jc w:val="center"/>
              <w:ind w:left="57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gridSpan w:val="9"/>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PART II</w:t>
              </w:r>
            </w:hyperlink>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gridSpan w:val="7"/>
          </w:tcPr>
          <w:p>
            <w:pPr>
              <w:jc w:val="center"/>
              <w:ind w:left="57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45</w:t>
              </w:r>
            </w:hyperlink>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Borders>
              <w:bottom w:val="single" w:sz="8" w:color="0000FF"/>
            </w:tcBorders>
            <w:gridSpan w:val="5"/>
          </w:tcPr>
          <w:p>
            <w:pPr>
              <w:spacing w:after="0"/>
              <w:rPr>
                <w:rFonts w:ascii="Arial" w:cs="Arial" w:eastAsia="Arial" w:hAnsi="Arial"/>
                <w:sz w:val="18"/>
                <w:szCs w:val="18"/>
                <w:color w:val="0000FF"/>
                <w:w w:val="87"/>
              </w:rPr>
            </w:pPr>
            <w:hyperlink w:anchor="page46">
              <w:r>
                <w:rPr>
                  <w:rFonts w:ascii="Arial" w:cs="Arial" w:eastAsia="Arial" w:hAnsi="Arial"/>
                  <w:sz w:val="18"/>
                  <w:szCs w:val="18"/>
                  <w:color w:val="0000FF"/>
                  <w:w w:val="87"/>
                </w:rPr>
                <w:t>Item 5.</w:t>
              </w:r>
            </w:hyperlink>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80" w:type="dxa"/>
            <w:vAlign w:val="bottom"/>
            <w:gridSpan w:val="22"/>
          </w:tcPr>
          <w:p>
            <w:pPr>
              <w:spacing w:after="0"/>
              <w:rPr>
                <w:rFonts w:ascii="Arial" w:cs="Arial" w:eastAsia="Arial" w:hAnsi="Arial"/>
                <w:sz w:val="18"/>
                <w:szCs w:val="18"/>
                <w:color w:val="0000FF"/>
                <w:w w:val="97"/>
              </w:rPr>
            </w:pPr>
            <w:hyperlink w:anchor="page46">
              <w:r>
                <w:rPr>
                  <w:rFonts w:ascii="Arial" w:cs="Arial" w:eastAsia="Arial" w:hAnsi="Arial"/>
                  <w:sz w:val="18"/>
                  <w:szCs w:val="18"/>
                  <w:color w:val="0000FF"/>
                  <w:w w:val="97"/>
                </w:rPr>
                <w:t>Market for Registrant’s Common Equity, Related Stockholder Matters and Issuer Purchases of Equity Securities</w:t>
              </w:r>
            </w:hyperlink>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45</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10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5"/>
          </w:tcPr>
          <w:p>
            <w:pPr>
              <w:spacing w:after="0"/>
              <w:rPr>
                <w:rFonts w:ascii="Arial" w:cs="Arial" w:eastAsia="Arial" w:hAnsi="Arial"/>
                <w:sz w:val="18"/>
                <w:szCs w:val="18"/>
                <w:color w:val="0000FF"/>
                <w:w w:val="87"/>
              </w:rPr>
            </w:pPr>
            <w:hyperlink w:anchor="page47">
              <w:r>
                <w:rPr>
                  <w:rFonts w:ascii="Arial" w:cs="Arial" w:eastAsia="Arial" w:hAnsi="Arial"/>
                  <w:sz w:val="18"/>
                  <w:szCs w:val="18"/>
                  <w:color w:val="0000FF"/>
                  <w:w w:val="87"/>
                </w:rPr>
                <w:t>Item 6.</w:t>
              </w:r>
            </w:hyperlink>
          </w:p>
        </w:tc>
        <w:tc>
          <w:tcPr>
            <w:tcW w:w="540" w:type="dxa"/>
            <w:vAlign w:val="bottom"/>
            <w:gridSpan w:val="3"/>
          </w:tcPr>
          <w:p>
            <w:pPr>
              <w:spacing w:after="0"/>
              <w:rPr>
                <w:sz w:val="18"/>
                <w:szCs w:val="18"/>
                <w:color w:val="auto"/>
              </w:rPr>
            </w:pPr>
          </w:p>
        </w:tc>
        <w:tc>
          <w:tcPr>
            <w:tcW w:w="8680" w:type="dxa"/>
            <w:vAlign w:val="bottom"/>
            <w:gridSpan w:val="22"/>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Reserved</w:t>
              </w:r>
            </w:hyperlink>
          </w:p>
        </w:tc>
        <w:tc>
          <w:tcPr>
            <w:tcW w:w="920" w:type="dxa"/>
            <w:vAlign w:val="bottom"/>
            <w:gridSpan w:val="7"/>
          </w:tcPr>
          <w:p>
            <w:pPr>
              <w:jc w:val="center"/>
              <w:ind w:left="57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47</w:t>
              </w:r>
            </w:hyperlink>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Borders>
              <w:bottom w:val="single" w:sz="8" w:color="0000FF"/>
            </w:tcBorders>
            <w:gridSpan w:val="5"/>
          </w:tcPr>
          <w:p>
            <w:pPr>
              <w:spacing w:after="0"/>
              <w:rPr>
                <w:rFonts w:ascii="Arial" w:cs="Arial" w:eastAsia="Arial" w:hAnsi="Arial"/>
                <w:sz w:val="18"/>
                <w:szCs w:val="18"/>
                <w:color w:val="0000FF"/>
                <w:w w:val="87"/>
              </w:rPr>
            </w:pPr>
            <w:hyperlink w:anchor="page48">
              <w:r>
                <w:rPr>
                  <w:rFonts w:ascii="Arial" w:cs="Arial" w:eastAsia="Arial" w:hAnsi="Arial"/>
                  <w:sz w:val="18"/>
                  <w:szCs w:val="18"/>
                  <w:color w:val="0000FF"/>
                  <w:w w:val="87"/>
                </w:rPr>
                <w:t>Item 7.</w:t>
              </w:r>
            </w:hyperlink>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80" w:type="dxa"/>
            <w:vAlign w:val="bottom"/>
            <w:gridSpan w:val="22"/>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Management’s Discussion and Analysis of Financial Condition and Results of Operations</w:t>
              </w:r>
            </w:hyperlink>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47</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10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Borders>
              <w:bottom w:val="single" w:sz="8" w:color="0000FF"/>
            </w:tcBorders>
            <w:gridSpan w:val="7"/>
          </w:tcPr>
          <w:p>
            <w:pPr>
              <w:spacing w:after="0"/>
              <w:rPr>
                <w:rFonts w:ascii="Arial" w:cs="Arial" w:eastAsia="Arial" w:hAnsi="Arial"/>
                <w:sz w:val="18"/>
                <w:szCs w:val="18"/>
                <w:color w:val="0000FF"/>
                <w:w w:val="86"/>
              </w:rPr>
            </w:pPr>
            <w:hyperlink w:anchor="page70">
              <w:r>
                <w:rPr>
                  <w:rFonts w:ascii="Arial" w:cs="Arial" w:eastAsia="Arial" w:hAnsi="Arial"/>
                  <w:sz w:val="18"/>
                  <w:szCs w:val="18"/>
                  <w:color w:val="0000FF"/>
                  <w:w w:val="86"/>
                </w:rPr>
                <w:t>Item 7A.</w:t>
              </w:r>
            </w:hyperlink>
          </w:p>
        </w:tc>
        <w:tc>
          <w:tcPr>
            <w:tcW w:w="440" w:type="dxa"/>
            <w:vAlign w:val="bottom"/>
          </w:tcPr>
          <w:p>
            <w:pPr>
              <w:spacing w:after="0"/>
              <w:rPr>
                <w:sz w:val="18"/>
                <w:szCs w:val="18"/>
                <w:color w:val="auto"/>
              </w:rPr>
            </w:pPr>
          </w:p>
        </w:tc>
        <w:tc>
          <w:tcPr>
            <w:tcW w:w="8680" w:type="dxa"/>
            <w:vAlign w:val="bottom"/>
            <w:gridSpan w:val="22"/>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Quantitative and Qualitative Disclosures About Market Risk</w:t>
              </w:r>
            </w:hyperlink>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69</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Borders>
              <w:bottom w:val="single" w:sz="8" w:color="0000FF"/>
            </w:tcBorders>
            <w:gridSpan w:val="5"/>
          </w:tcPr>
          <w:p>
            <w:pPr>
              <w:spacing w:after="0"/>
              <w:rPr>
                <w:rFonts w:ascii="Arial" w:cs="Arial" w:eastAsia="Arial" w:hAnsi="Arial"/>
                <w:sz w:val="18"/>
                <w:szCs w:val="18"/>
                <w:color w:val="0000FF"/>
                <w:w w:val="87"/>
              </w:rPr>
            </w:pPr>
            <w:hyperlink w:anchor="page71">
              <w:r>
                <w:rPr>
                  <w:rFonts w:ascii="Arial" w:cs="Arial" w:eastAsia="Arial" w:hAnsi="Arial"/>
                  <w:sz w:val="18"/>
                  <w:szCs w:val="18"/>
                  <w:color w:val="0000FF"/>
                  <w:w w:val="87"/>
                </w:rPr>
                <w:t>Item 8.</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80" w:type="dxa"/>
            <w:vAlign w:val="bottom"/>
            <w:gridSpan w:val="22"/>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Financial Statements and Supplementary Data</w:t>
              </w:r>
            </w:hyperlink>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71</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Borders>
              <w:bottom w:val="single" w:sz="8" w:color="0000FF"/>
            </w:tcBorders>
            <w:gridSpan w:val="5"/>
          </w:tcPr>
          <w:p>
            <w:pPr>
              <w:spacing w:after="0"/>
              <w:rPr>
                <w:rFonts w:ascii="Arial" w:cs="Arial" w:eastAsia="Arial" w:hAnsi="Arial"/>
                <w:sz w:val="18"/>
                <w:szCs w:val="18"/>
                <w:color w:val="0000FF"/>
                <w:w w:val="87"/>
              </w:rPr>
            </w:pPr>
            <w:hyperlink w:anchor="page114">
              <w:r>
                <w:rPr>
                  <w:rFonts w:ascii="Arial" w:cs="Arial" w:eastAsia="Arial" w:hAnsi="Arial"/>
                  <w:sz w:val="18"/>
                  <w:szCs w:val="18"/>
                  <w:color w:val="0000FF"/>
                  <w:w w:val="87"/>
                </w:rPr>
                <w:t>Item 9.</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80" w:type="dxa"/>
            <w:vAlign w:val="bottom"/>
            <w:gridSpan w:val="22"/>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Changes in and Disagreements with Accountants on Accounting and Financial Disclosure</w:t>
              </w:r>
            </w:hyperlink>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0000FF"/>
            </w:tcBorders>
            <w:gridSpan w:val="5"/>
          </w:tcPr>
          <w:p>
            <w:pPr>
              <w:jc w:val="center"/>
              <w:spacing w:after="0"/>
              <w:rPr>
                <w:rFonts w:ascii="Arial" w:cs="Arial" w:eastAsia="Arial" w:hAnsi="Arial"/>
                <w:sz w:val="18"/>
                <w:szCs w:val="18"/>
                <w:color w:val="0000FF"/>
                <w:w w:val="79"/>
              </w:rPr>
            </w:pPr>
            <w:hyperlink w:anchor="page114">
              <w:r>
                <w:rPr>
                  <w:rFonts w:ascii="Arial" w:cs="Arial" w:eastAsia="Arial" w:hAnsi="Arial"/>
                  <w:sz w:val="18"/>
                  <w:szCs w:val="18"/>
                  <w:color w:val="0000FF"/>
                  <w:w w:val="79"/>
                </w:rPr>
                <w:t>114</w:t>
              </w:r>
            </w:hyperlink>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940" w:type="dxa"/>
            <w:vAlign w:val="bottom"/>
            <w:tcBorders>
              <w:bottom w:val="single" w:sz="8" w:color="0000FF"/>
            </w:tcBorders>
            <w:gridSpan w:val="3"/>
          </w:tcPr>
          <w:p>
            <w:pPr>
              <w:spacing w:after="0" w:line="20" w:lineRule="exact"/>
              <w:rPr>
                <w:sz w:val="1"/>
                <w:szCs w:val="1"/>
                <w:color w:val="auto"/>
              </w:rPr>
            </w:pPr>
          </w:p>
        </w:tc>
        <w:tc>
          <w:tcPr>
            <w:tcW w:w="800" w:type="dxa"/>
            <w:vAlign w:val="bottom"/>
            <w:tcBorders>
              <w:bottom w:val="single" w:sz="8" w:color="0000FF"/>
            </w:tcBorders>
            <w:gridSpan w:val="2"/>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1080" w:type="dxa"/>
            <w:vAlign w:val="bottom"/>
            <w:tcBorders>
              <w:bottom w:val="single" w:sz="8" w:color="0000FF"/>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7"/>
          </w:tcPr>
          <w:p>
            <w:pPr>
              <w:spacing w:after="0"/>
              <w:rPr>
                <w:rFonts w:ascii="Arial" w:cs="Arial" w:eastAsia="Arial" w:hAnsi="Arial"/>
                <w:sz w:val="18"/>
                <w:szCs w:val="18"/>
                <w:color w:val="0000FF"/>
                <w:w w:val="86"/>
              </w:rPr>
            </w:pPr>
            <w:hyperlink w:anchor="page115">
              <w:r>
                <w:rPr>
                  <w:rFonts w:ascii="Arial" w:cs="Arial" w:eastAsia="Arial" w:hAnsi="Arial"/>
                  <w:sz w:val="18"/>
                  <w:szCs w:val="18"/>
                  <w:color w:val="0000FF"/>
                  <w:w w:val="86"/>
                </w:rPr>
                <w:t>Item 9A.</w:t>
              </w:r>
            </w:hyperlink>
          </w:p>
        </w:tc>
        <w:tc>
          <w:tcPr>
            <w:tcW w:w="440" w:type="dxa"/>
            <w:vAlign w:val="bottom"/>
          </w:tcPr>
          <w:p>
            <w:pPr>
              <w:spacing w:after="0"/>
              <w:rPr>
                <w:sz w:val="18"/>
                <w:szCs w:val="18"/>
                <w:color w:val="auto"/>
              </w:rPr>
            </w:pPr>
          </w:p>
        </w:tc>
        <w:tc>
          <w:tcPr>
            <w:tcW w:w="8680" w:type="dxa"/>
            <w:vAlign w:val="bottom"/>
            <w:gridSpan w:val="22"/>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Controls and Procedures</w:t>
              </w:r>
            </w:hyperlink>
          </w:p>
        </w:tc>
        <w:tc>
          <w:tcPr>
            <w:tcW w:w="940" w:type="dxa"/>
            <w:vAlign w:val="bottom"/>
            <w:gridSpan w:val="8"/>
          </w:tcPr>
          <w:p>
            <w:pPr>
              <w:jc w:val="center"/>
              <w:ind w:left="550"/>
              <w:spacing w:after="0"/>
              <w:rPr>
                <w:rFonts w:ascii="Arial" w:cs="Arial" w:eastAsia="Arial" w:hAnsi="Arial"/>
                <w:sz w:val="18"/>
                <w:szCs w:val="18"/>
                <w:color w:val="0000FF"/>
                <w:w w:val="86"/>
              </w:rPr>
            </w:pPr>
            <w:hyperlink w:anchor="page115">
              <w:r>
                <w:rPr>
                  <w:rFonts w:ascii="Arial" w:cs="Arial" w:eastAsia="Arial" w:hAnsi="Arial"/>
                  <w:sz w:val="18"/>
                  <w:szCs w:val="18"/>
                  <w:color w:val="0000FF"/>
                  <w:w w:val="86"/>
                </w:rPr>
                <w:t>114</w:t>
              </w:r>
            </w:hyperlink>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FF"/>
                <w:w w:val="86"/>
              </w:rPr>
            </w:pPr>
            <w:hyperlink w:anchor="page116">
              <w:r>
                <w:rPr>
                  <w:rFonts w:ascii="Arial" w:cs="Arial" w:eastAsia="Arial" w:hAnsi="Arial"/>
                  <w:sz w:val="18"/>
                  <w:szCs w:val="18"/>
                  <w:color w:val="0000FF"/>
                  <w:w w:val="86"/>
                </w:rPr>
                <w:t>Item 9B.</w:t>
              </w:r>
            </w:hyperlink>
          </w:p>
        </w:tc>
        <w:tc>
          <w:tcPr>
            <w:tcW w:w="440" w:type="dxa"/>
            <w:vAlign w:val="bottom"/>
          </w:tcPr>
          <w:p>
            <w:pPr>
              <w:spacing w:after="0"/>
              <w:rPr>
                <w:sz w:val="21"/>
                <w:szCs w:val="21"/>
                <w:color w:val="auto"/>
              </w:rPr>
            </w:pPr>
          </w:p>
        </w:tc>
        <w:tc>
          <w:tcPr>
            <w:tcW w:w="1320" w:type="dxa"/>
            <w:vAlign w:val="bottom"/>
            <w:gridSpan w:val="5"/>
          </w:tcPr>
          <w:p>
            <w:pPr>
              <w:spacing w:after="0"/>
              <w:rPr>
                <w:rFonts w:ascii="Arial" w:cs="Arial" w:eastAsia="Arial" w:hAnsi="Arial"/>
                <w:sz w:val="18"/>
                <w:szCs w:val="18"/>
                <w:color w:val="0000FF"/>
                <w:w w:val="91"/>
              </w:rPr>
            </w:pPr>
            <w:hyperlink w:anchor="page116">
              <w:r>
                <w:rPr>
                  <w:rFonts w:ascii="Arial" w:cs="Arial" w:eastAsia="Arial" w:hAnsi="Arial"/>
                  <w:sz w:val="18"/>
                  <w:szCs w:val="18"/>
                  <w:color w:val="0000FF"/>
                  <w:w w:val="91"/>
                </w:rPr>
                <w:t>Other Information</w:t>
              </w:r>
            </w:hyperlink>
          </w:p>
        </w:tc>
        <w:tc>
          <w:tcPr>
            <w:tcW w:w="440" w:type="dxa"/>
            <w:vAlign w:val="bottom"/>
            <w:gridSpan w:val="2"/>
          </w:tcPr>
          <w:p>
            <w:pPr>
              <w:spacing w:after="0"/>
              <w:rPr>
                <w:sz w:val="21"/>
                <w:szCs w:val="21"/>
                <w:color w:val="auto"/>
              </w:rPr>
            </w:pPr>
          </w:p>
        </w:tc>
        <w:tc>
          <w:tcPr>
            <w:tcW w:w="6920" w:type="dxa"/>
            <w:vAlign w:val="bottom"/>
            <w:gridSpan w:val="15"/>
          </w:tcPr>
          <w:p>
            <w:pPr>
              <w:spacing w:after="0"/>
              <w:rPr>
                <w:sz w:val="21"/>
                <w:szCs w:val="21"/>
                <w:color w:val="auto"/>
              </w:rPr>
            </w:pPr>
          </w:p>
        </w:tc>
        <w:tc>
          <w:tcPr>
            <w:tcW w:w="940" w:type="dxa"/>
            <w:vAlign w:val="bottom"/>
            <w:gridSpan w:val="8"/>
          </w:tcPr>
          <w:p>
            <w:pPr>
              <w:jc w:val="center"/>
              <w:ind w:left="550"/>
              <w:spacing w:after="0"/>
              <w:rPr>
                <w:rFonts w:ascii="Arial" w:cs="Arial" w:eastAsia="Arial" w:hAnsi="Arial"/>
                <w:sz w:val="18"/>
                <w:szCs w:val="18"/>
                <w:color w:val="0000FF"/>
                <w:w w:val="86"/>
              </w:rPr>
            </w:pPr>
            <w:hyperlink w:anchor="page116">
              <w:r>
                <w:rPr>
                  <w:rFonts w:ascii="Arial" w:cs="Arial" w:eastAsia="Arial" w:hAnsi="Arial"/>
                  <w:sz w:val="18"/>
                  <w:szCs w:val="18"/>
                  <w:color w:val="0000FF"/>
                  <w:w w:val="86"/>
                </w:rPr>
                <w:t>116</w:t>
              </w:r>
            </w:hyperlink>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gridSpan w:val="7"/>
          </w:tcPr>
          <w:p>
            <w:pPr>
              <w:spacing w:after="0"/>
              <w:rPr>
                <w:rFonts w:ascii="Arial" w:cs="Arial" w:eastAsia="Arial" w:hAnsi="Arial"/>
                <w:sz w:val="18"/>
                <w:szCs w:val="18"/>
                <w:color w:val="0000FF"/>
                <w:w w:val="85"/>
              </w:rPr>
            </w:pPr>
            <w:hyperlink w:anchor="page117">
              <w:r>
                <w:rPr>
                  <w:rFonts w:ascii="Arial" w:cs="Arial" w:eastAsia="Arial" w:hAnsi="Arial"/>
                  <w:sz w:val="18"/>
                  <w:szCs w:val="18"/>
                  <w:color w:val="0000FF"/>
                  <w:w w:val="85"/>
                </w:rPr>
                <w:t>Item 9C.</w:t>
              </w:r>
            </w:hyperlink>
          </w:p>
        </w:tc>
        <w:tc>
          <w:tcPr>
            <w:tcW w:w="440" w:type="dxa"/>
            <w:vAlign w:val="bottom"/>
          </w:tcPr>
          <w:p>
            <w:pPr>
              <w:spacing w:after="0"/>
              <w:rPr>
                <w:sz w:val="20"/>
                <w:szCs w:val="20"/>
                <w:color w:val="auto"/>
              </w:rPr>
            </w:pPr>
          </w:p>
        </w:tc>
        <w:tc>
          <w:tcPr>
            <w:tcW w:w="4900" w:type="dxa"/>
            <w:vAlign w:val="bottom"/>
            <w:gridSpan w:val="16"/>
          </w:tcPr>
          <w:p>
            <w:pPr>
              <w:spacing w:after="0"/>
              <w:rPr>
                <w:rFonts w:ascii="Arial" w:cs="Arial" w:eastAsia="Arial" w:hAnsi="Arial"/>
                <w:sz w:val="18"/>
                <w:szCs w:val="18"/>
                <w:color w:val="0000FF"/>
                <w:w w:val="90"/>
              </w:rPr>
            </w:pPr>
            <w:hyperlink w:anchor="page117">
              <w:r>
                <w:rPr>
                  <w:rFonts w:ascii="Arial" w:cs="Arial" w:eastAsia="Arial" w:hAnsi="Arial"/>
                  <w:sz w:val="18"/>
                  <w:szCs w:val="18"/>
                  <w:color w:val="0000FF"/>
                  <w:w w:val="90"/>
                </w:rPr>
                <w:t>Disclosure Regarding Foreign Jurisdictions that Prevent Inspections</w:t>
              </w:r>
            </w:hyperlink>
          </w:p>
        </w:tc>
        <w:tc>
          <w:tcPr>
            <w:tcW w:w="3780" w:type="dxa"/>
            <w:vAlign w:val="bottom"/>
            <w:gridSpan w:val="6"/>
          </w:tcPr>
          <w:p>
            <w:pPr>
              <w:spacing w:after="0"/>
              <w:rPr>
                <w:sz w:val="20"/>
                <w:szCs w:val="20"/>
                <w:color w:val="auto"/>
              </w:rPr>
            </w:pPr>
          </w:p>
        </w:tc>
        <w:tc>
          <w:tcPr>
            <w:tcW w:w="940" w:type="dxa"/>
            <w:vAlign w:val="bottom"/>
            <w:gridSpan w:val="8"/>
          </w:tcPr>
          <w:p>
            <w:pPr>
              <w:jc w:val="center"/>
              <w:ind w:left="550"/>
              <w:spacing w:after="0"/>
              <w:rPr>
                <w:rFonts w:ascii="Arial" w:cs="Arial" w:eastAsia="Arial" w:hAnsi="Arial"/>
                <w:sz w:val="18"/>
                <w:szCs w:val="18"/>
                <w:color w:val="0000FF"/>
                <w:w w:val="86"/>
              </w:rPr>
            </w:pPr>
            <w:hyperlink w:anchor="page117">
              <w:r>
                <w:rPr>
                  <w:rFonts w:ascii="Arial" w:cs="Arial" w:eastAsia="Arial" w:hAnsi="Arial"/>
                  <w:sz w:val="18"/>
                  <w:szCs w:val="18"/>
                  <w:color w:val="0000FF"/>
                  <w:w w:val="86"/>
                </w:rPr>
                <w:t>116</w:t>
              </w:r>
            </w:hyperlink>
          </w:p>
        </w:tc>
        <w:tc>
          <w:tcPr>
            <w:tcW w:w="1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gridSpan w:val="9"/>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PART III</w:t>
              </w:r>
            </w:hyperlink>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8"/>
          </w:tcPr>
          <w:p>
            <w:pPr>
              <w:jc w:val="center"/>
              <w:ind w:left="550"/>
              <w:spacing w:after="0"/>
              <w:rPr>
                <w:rFonts w:ascii="Arial" w:cs="Arial" w:eastAsia="Arial" w:hAnsi="Arial"/>
                <w:sz w:val="18"/>
                <w:szCs w:val="18"/>
                <w:color w:val="0000FF"/>
                <w:w w:val="86"/>
              </w:rPr>
            </w:pPr>
            <w:hyperlink w:anchor="page117">
              <w:r>
                <w:rPr>
                  <w:rFonts w:ascii="Arial" w:cs="Arial" w:eastAsia="Arial" w:hAnsi="Arial"/>
                  <w:sz w:val="18"/>
                  <w:szCs w:val="18"/>
                  <w:color w:val="0000FF"/>
                  <w:w w:val="86"/>
                </w:rPr>
                <w:t>116</w:t>
              </w:r>
            </w:hyperlink>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8"/>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Item 10.</w:t>
              </w:r>
            </w:hyperlink>
          </w:p>
        </w:tc>
        <w:tc>
          <w:tcPr>
            <w:tcW w:w="8680" w:type="dxa"/>
            <w:vAlign w:val="bottom"/>
            <w:gridSpan w:val="22"/>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Directors, Executive Officers and Corporate Governance</w:t>
              </w:r>
            </w:hyperlink>
          </w:p>
        </w:tc>
        <w:tc>
          <w:tcPr>
            <w:tcW w:w="940" w:type="dxa"/>
            <w:vAlign w:val="bottom"/>
            <w:gridSpan w:val="8"/>
          </w:tcPr>
          <w:p>
            <w:pPr>
              <w:jc w:val="center"/>
              <w:ind w:left="550"/>
              <w:spacing w:after="0"/>
              <w:rPr>
                <w:rFonts w:ascii="Arial" w:cs="Arial" w:eastAsia="Arial" w:hAnsi="Arial"/>
                <w:sz w:val="18"/>
                <w:szCs w:val="18"/>
                <w:color w:val="0000FF"/>
                <w:w w:val="86"/>
              </w:rPr>
            </w:pPr>
            <w:hyperlink w:anchor="page117">
              <w:r>
                <w:rPr>
                  <w:rFonts w:ascii="Arial" w:cs="Arial" w:eastAsia="Arial" w:hAnsi="Arial"/>
                  <w:sz w:val="18"/>
                  <w:szCs w:val="18"/>
                  <w:color w:val="0000FF"/>
                  <w:w w:val="86"/>
                </w:rPr>
                <w:t>116</w:t>
              </w:r>
            </w:hyperlink>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gridSpan w:val="6"/>
          </w:tcPr>
          <w:p>
            <w:pPr>
              <w:spacing w:after="0"/>
              <w:rPr>
                <w:rFonts w:ascii="Arial" w:cs="Arial" w:eastAsia="Arial" w:hAnsi="Arial"/>
                <w:sz w:val="18"/>
                <w:szCs w:val="18"/>
                <w:color w:val="0000FF"/>
                <w:w w:val="89"/>
              </w:rPr>
            </w:pPr>
            <w:hyperlink w:anchor="page118">
              <w:r>
                <w:rPr>
                  <w:rFonts w:ascii="Arial" w:cs="Arial" w:eastAsia="Arial" w:hAnsi="Arial"/>
                  <w:sz w:val="18"/>
                  <w:szCs w:val="18"/>
                  <w:color w:val="0000FF"/>
                  <w:w w:val="89"/>
                </w:rPr>
                <w:t>Item 11.</w:t>
              </w:r>
            </w:hyperlink>
          </w:p>
        </w:tc>
        <w:tc>
          <w:tcPr>
            <w:tcW w:w="460" w:type="dxa"/>
            <w:vAlign w:val="bottom"/>
            <w:gridSpan w:val="2"/>
          </w:tcPr>
          <w:p>
            <w:pPr>
              <w:spacing w:after="0"/>
              <w:rPr>
                <w:sz w:val="21"/>
                <w:szCs w:val="21"/>
                <w:color w:val="auto"/>
              </w:rPr>
            </w:pPr>
          </w:p>
        </w:tc>
        <w:tc>
          <w:tcPr>
            <w:tcW w:w="4100" w:type="dxa"/>
            <w:vAlign w:val="bottom"/>
            <w:gridSpan w:val="14"/>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Executive Compensation</w:t>
              </w:r>
            </w:hyperlink>
          </w:p>
        </w:tc>
        <w:tc>
          <w:tcPr>
            <w:tcW w:w="4580" w:type="dxa"/>
            <w:vAlign w:val="bottom"/>
            <w:gridSpan w:val="8"/>
          </w:tcPr>
          <w:p>
            <w:pPr>
              <w:spacing w:after="0"/>
              <w:rPr>
                <w:sz w:val="21"/>
                <w:szCs w:val="21"/>
                <w:color w:val="auto"/>
              </w:rPr>
            </w:pPr>
          </w:p>
        </w:tc>
        <w:tc>
          <w:tcPr>
            <w:tcW w:w="940" w:type="dxa"/>
            <w:vAlign w:val="bottom"/>
            <w:gridSpan w:val="8"/>
          </w:tcPr>
          <w:p>
            <w:pPr>
              <w:jc w:val="center"/>
              <w:ind w:left="550"/>
              <w:spacing w:after="0"/>
              <w:rPr>
                <w:rFonts w:ascii="Arial" w:cs="Arial" w:eastAsia="Arial" w:hAnsi="Arial"/>
                <w:sz w:val="18"/>
                <w:szCs w:val="18"/>
                <w:color w:val="0000FF"/>
                <w:w w:val="86"/>
              </w:rPr>
            </w:pPr>
            <w:hyperlink w:anchor="page118">
              <w:r>
                <w:rPr>
                  <w:rFonts w:ascii="Arial" w:cs="Arial" w:eastAsia="Arial" w:hAnsi="Arial"/>
                  <w:sz w:val="18"/>
                  <w:szCs w:val="18"/>
                  <w:color w:val="0000FF"/>
                  <w:w w:val="86"/>
                </w:rPr>
                <w:t>117</w:t>
              </w:r>
            </w:hyperlink>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FF"/>
                <w:w w:val="89"/>
              </w:rPr>
            </w:pPr>
            <w:hyperlink w:anchor="page118">
              <w:r>
                <w:rPr>
                  <w:rFonts w:ascii="Arial" w:cs="Arial" w:eastAsia="Arial" w:hAnsi="Arial"/>
                  <w:sz w:val="18"/>
                  <w:szCs w:val="18"/>
                  <w:color w:val="0000FF"/>
                  <w:w w:val="89"/>
                </w:rPr>
                <w:t>Item 12.</w:t>
              </w:r>
            </w:hyperlink>
          </w:p>
        </w:tc>
        <w:tc>
          <w:tcPr>
            <w:tcW w:w="440" w:type="dxa"/>
            <w:vAlign w:val="bottom"/>
          </w:tcPr>
          <w:p>
            <w:pPr>
              <w:spacing w:after="0"/>
              <w:rPr>
                <w:sz w:val="21"/>
                <w:szCs w:val="21"/>
                <w:color w:val="auto"/>
              </w:rPr>
            </w:pPr>
          </w:p>
        </w:tc>
        <w:tc>
          <w:tcPr>
            <w:tcW w:w="8680" w:type="dxa"/>
            <w:vAlign w:val="bottom"/>
            <w:gridSpan w:val="22"/>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Security Ownership of Certain Beneficial Owners and Management and Related Stockholder Matters</w:t>
              </w:r>
            </w:hyperlink>
          </w:p>
        </w:tc>
        <w:tc>
          <w:tcPr>
            <w:tcW w:w="940" w:type="dxa"/>
            <w:vAlign w:val="bottom"/>
            <w:gridSpan w:val="8"/>
          </w:tcPr>
          <w:p>
            <w:pPr>
              <w:jc w:val="center"/>
              <w:ind w:left="550"/>
              <w:spacing w:after="0"/>
              <w:rPr>
                <w:rFonts w:ascii="Arial" w:cs="Arial" w:eastAsia="Arial" w:hAnsi="Arial"/>
                <w:sz w:val="18"/>
                <w:szCs w:val="18"/>
                <w:color w:val="0000FF"/>
                <w:w w:val="86"/>
              </w:rPr>
            </w:pPr>
            <w:hyperlink w:anchor="page118">
              <w:r>
                <w:rPr>
                  <w:rFonts w:ascii="Arial" w:cs="Arial" w:eastAsia="Arial" w:hAnsi="Arial"/>
                  <w:sz w:val="18"/>
                  <w:szCs w:val="18"/>
                  <w:color w:val="0000FF"/>
                  <w:w w:val="86"/>
                </w:rPr>
                <w:t>117</w:t>
              </w:r>
            </w:hyperlink>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6"/>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FF"/>
                <w:w w:val="89"/>
              </w:rPr>
            </w:pPr>
            <w:hyperlink w:anchor="page118">
              <w:r>
                <w:rPr>
                  <w:rFonts w:ascii="Arial" w:cs="Arial" w:eastAsia="Arial" w:hAnsi="Arial"/>
                  <w:sz w:val="18"/>
                  <w:szCs w:val="18"/>
                  <w:color w:val="0000FF"/>
                  <w:w w:val="89"/>
                </w:rPr>
                <w:t>Item 13.</w:t>
              </w:r>
            </w:hyperlink>
          </w:p>
        </w:tc>
        <w:tc>
          <w:tcPr>
            <w:tcW w:w="440" w:type="dxa"/>
            <w:vAlign w:val="bottom"/>
          </w:tcPr>
          <w:p>
            <w:pPr>
              <w:spacing w:after="0"/>
              <w:rPr>
                <w:sz w:val="21"/>
                <w:szCs w:val="21"/>
                <w:color w:val="auto"/>
              </w:rPr>
            </w:pPr>
          </w:p>
        </w:tc>
        <w:tc>
          <w:tcPr>
            <w:tcW w:w="7280" w:type="dxa"/>
            <w:vAlign w:val="bottom"/>
            <w:gridSpan w:val="20"/>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Certain Relationships and Related Transactions and Director Independence</w:t>
              </w:r>
            </w:hyperlink>
          </w:p>
        </w:tc>
        <w:tc>
          <w:tcPr>
            <w:tcW w:w="1400" w:type="dxa"/>
            <w:vAlign w:val="bottom"/>
            <w:gridSpan w:val="2"/>
          </w:tcPr>
          <w:p>
            <w:pPr>
              <w:spacing w:after="0"/>
              <w:rPr>
                <w:sz w:val="21"/>
                <w:szCs w:val="21"/>
                <w:color w:val="auto"/>
              </w:rPr>
            </w:pPr>
          </w:p>
        </w:tc>
        <w:tc>
          <w:tcPr>
            <w:tcW w:w="940" w:type="dxa"/>
            <w:vAlign w:val="bottom"/>
            <w:gridSpan w:val="8"/>
          </w:tcPr>
          <w:p>
            <w:pPr>
              <w:jc w:val="center"/>
              <w:ind w:left="550"/>
              <w:spacing w:after="0"/>
              <w:rPr>
                <w:rFonts w:ascii="Arial" w:cs="Arial" w:eastAsia="Arial" w:hAnsi="Arial"/>
                <w:sz w:val="18"/>
                <w:szCs w:val="18"/>
                <w:color w:val="0000FF"/>
                <w:w w:val="86"/>
              </w:rPr>
            </w:pPr>
            <w:hyperlink w:anchor="page118">
              <w:r>
                <w:rPr>
                  <w:rFonts w:ascii="Arial" w:cs="Arial" w:eastAsia="Arial" w:hAnsi="Arial"/>
                  <w:sz w:val="18"/>
                  <w:szCs w:val="18"/>
                  <w:color w:val="0000FF"/>
                  <w:w w:val="86"/>
                </w:rPr>
                <w:t>117</w:t>
              </w:r>
            </w:hyperlink>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6"/>
            <w:shd w:val="clear" w:color="auto" w:fill="0000FF"/>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FF"/>
                <w:w w:val="89"/>
              </w:rPr>
            </w:pPr>
            <w:hyperlink w:anchor="page118">
              <w:r>
                <w:rPr>
                  <w:rFonts w:ascii="Arial" w:cs="Arial" w:eastAsia="Arial" w:hAnsi="Arial"/>
                  <w:sz w:val="18"/>
                  <w:szCs w:val="18"/>
                  <w:color w:val="0000FF"/>
                  <w:w w:val="89"/>
                </w:rPr>
                <w:t>Item 14.</w:t>
              </w:r>
            </w:hyperlink>
          </w:p>
        </w:tc>
        <w:tc>
          <w:tcPr>
            <w:tcW w:w="440" w:type="dxa"/>
            <w:vAlign w:val="bottom"/>
          </w:tcPr>
          <w:p>
            <w:pPr>
              <w:spacing w:after="0"/>
              <w:rPr>
                <w:sz w:val="21"/>
                <w:szCs w:val="21"/>
                <w:color w:val="auto"/>
              </w:rPr>
            </w:pPr>
          </w:p>
        </w:tc>
        <w:tc>
          <w:tcPr>
            <w:tcW w:w="5400" w:type="dxa"/>
            <w:vAlign w:val="bottom"/>
            <w:gridSpan w:val="17"/>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Principal Accountant Fees and Services</w:t>
              </w:r>
            </w:hyperlink>
          </w:p>
        </w:tc>
        <w:tc>
          <w:tcPr>
            <w:tcW w:w="3280" w:type="dxa"/>
            <w:vAlign w:val="bottom"/>
            <w:gridSpan w:val="5"/>
          </w:tcPr>
          <w:p>
            <w:pPr>
              <w:spacing w:after="0"/>
              <w:rPr>
                <w:sz w:val="21"/>
                <w:szCs w:val="21"/>
                <w:color w:val="auto"/>
              </w:rPr>
            </w:pPr>
          </w:p>
        </w:tc>
        <w:tc>
          <w:tcPr>
            <w:tcW w:w="940" w:type="dxa"/>
            <w:vAlign w:val="bottom"/>
            <w:gridSpan w:val="8"/>
          </w:tcPr>
          <w:p>
            <w:pPr>
              <w:jc w:val="center"/>
              <w:ind w:left="550"/>
              <w:spacing w:after="0"/>
              <w:rPr>
                <w:rFonts w:ascii="Arial" w:cs="Arial" w:eastAsia="Arial" w:hAnsi="Arial"/>
                <w:sz w:val="18"/>
                <w:szCs w:val="18"/>
                <w:color w:val="0000FF"/>
                <w:w w:val="86"/>
              </w:rPr>
            </w:pPr>
            <w:hyperlink w:anchor="page118">
              <w:r>
                <w:rPr>
                  <w:rFonts w:ascii="Arial" w:cs="Arial" w:eastAsia="Arial" w:hAnsi="Arial"/>
                  <w:sz w:val="18"/>
                  <w:szCs w:val="18"/>
                  <w:color w:val="0000FF"/>
                  <w:w w:val="86"/>
                </w:rPr>
                <w:t>117</w:t>
              </w:r>
            </w:hyperlink>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5"/>
          </w:tcPr>
          <w:p>
            <w:pPr>
              <w:spacing w:after="0"/>
              <w:rPr>
                <w:rFonts w:ascii="Arial" w:cs="Arial" w:eastAsia="Arial" w:hAnsi="Arial"/>
                <w:sz w:val="18"/>
                <w:szCs w:val="18"/>
                <w:color w:val="0000FF"/>
                <w:w w:val="94"/>
              </w:rPr>
            </w:pPr>
            <w:hyperlink w:anchor="page118">
              <w:r>
                <w:rPr>
                  <w:rFonts w:ascii="Arial" w:cs="Arial" w:eastAsia="Arial" w:hAnsi="Arial"/>
                  <w:sz w:val="18"/>
                  <w:szCs w:val="18"/>
                  <w:color w:val="0000FF"/>
                  <w:w w:val="94"/>
                </w:rPr>
                <w:t>PART IV</w:t>
              </w:r>
            </w:hyperlink>
          </w:p>
        </w:tc>
        <w:tc>
          <w:tcPr>
            <w:tcW w:w="760" w:type="dxa"/>
            <w:vAlign w:val="bottom"/>
            <w:gridSpan w:val="4"/>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gridSpan w:val="8"/>
          </w:tcPr>
          <w:p>
            <w:pPr>
              <w:jc w:val="center"/>
              <w:ind w:left="550"/>
              <w:spacing w:after="0"/>
              <w:rPr>
                <w:rFonts w:ascii="Arial" w:cs="Arial" w:eastAsia="Arial" w:hAnsi="Arial"/>
                <w:sz w:val="18"/>
                <w:szCs w:val="18"/>
                <w:color w:val="0000FF"/>
                <w:w w:val="86"/>
              </w:rPr>
            </w:pPr>
            <w:hyperlink w:anchor="page118">
              <w:r>
                <w:rPr>
                  <w:rFonts w:ascii="Arial" w:cs="Arial" w:eastAsia="Arial" w:hAnsi="Arial"/>
                  <w:sz w:val="18"/>
                  <w:szCs w:val="18"/>
                  <w:color w:val="0000FF"/>
                  <w:w w:val="86"/>
                </w:rPr>
                <w:t>118</w:t>
              </w:r>
            </w:hyperlink>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52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FF"/>
                <w:w w:val="89"/>
              </w:rPr>
            </w:pPr>
            <w:hyperlink w:anchor="page119">
              <w:r>
                <w:rPr>
                  <w:rFonts w:ascii="Arial" w:cs="Arial" w:eastAsia="Arial" w:hAnsi="Arial"/>
                  <w:sz w:val="18"/>
                  <w:szCs w:val="18"/>
                  <w:color w:val="0000FF"/>
                  <w:w w:val="89"/>
                </w:rPr>
                <w:t>Item 15.</w:t>
              </w:r>
            </w:hyperlink>
          </w:p>
        </w:tc>
        <w:tc>
          <w:tcPr>
            <w:tcW w:w="440" w:type="dxa"/>
            <w:vAlign w:val="bottom"/>
          </w:tcPr>
          <w:p>
            <w:pPr>
              <w:spacing w:after="0"/>
              <w:rPr>
                <w:sz w:val="21"/>
                <w:szCs w:val="21"/>
                <w:color w:val="auto"/>
              </w:rPr>
            </w:pPr>
          </w:p>
        </w:tc>
        <w:tc>
          <w:tcPr>
            <w:tcW w:w="3160" w:type="dxa"/>
            <w:vAlign w:val="bottom"/>
            <w:gridSpan w:val="11"/>
          </w:tcPr>
          <w:p>
            <w:pPr>
              <w:spacing w:after="0"/>
              <w:rPr>
                <w:rFonts w:ascii="Arial" w:cs="Arial" w:eastAsia="Arial" w:hAnsi="Arial"/>
                <w:sz w:val="18"/>
                <w:szCs w:val="18"/>
                <w:color w:val="0000FF"/>
                <w:w w:val="89"/>
              </w:rPr>
            </w:pPr>
            <w:hyperlink w:anchor="page119">
              <w:r>
                <w:rPr>
                  <w:rFonts w:ascii="Arial" w:cs="Arial" w:eastAsia="Arial" w:hAnsi="Arial"/>
                  <w:sz w:val="18"/>
                  <w:szCs w:val="18"/>
                  <w:color w:val="0000FF"/>
                  <w:w w:val="89"/>
                </w:rPr>
                <w:t>Exhibits and Financial Statement Schedules</w:t>
              </w:r>
            </w:hyperlink>
          </w:p>
        </w:tc>
        <w:tc>
          <w:tcPr>
            <w:tcW w:w="5520" w:type="dxa"/>
            <w:vAlign w:val="bottom"/>
            <w:gridSpan w:val="11"/>
          </w:tcPr>
          <w:p>
            <w:pPr>
              <w:spacing w:after="0"/>
              <w:rPr>
                <w:sz w:val="21"/>
                <w:szCs w:val="21"/>
                <w:color w:val="auto"/>
              </w:rPr>
            </w:pPr>
          </w:p>
        </w:tc>
        <w:tc>
          <w:tcPr>
            <w:tcW w:w="940" w:type="dxa"/>
            <w:vAlign w:val="bottom"/>
            <w:gridSpan w:val="8"/>
          </w:tcPr>
          <w:p>
            <w:pPr>
              <w:jc w:val="center"/>
              <w:ind w:left="550"/>
              <w:spacing w:after="0"/>
              <w:rPr>
                <w:rFonts w:ascii="Arial" w:cs="Arial" w:eastAsia="Arial" w:hAnsi="Arial"/>
                <w:sz w:val="18"/>
                <w:szCs w:val="18"/>
                <w:color w:val="0000FF"/>
                <w:w w:val="86"/>
              </w:rPr>
            </w:pPr>
            <w:hyperlink w:anchor="page119">
              <w:r>
                <w:rPr>
                  <w:rFonts w:ascii="Arial" w:cs="Arial" w:eastAsia="Arial" w:hAnsi="Arial"/>
                  <w:sz w:val="18"/>
                  <w:szCs w:val="18"/>
                  <w:color w:val="0000FF"/>
                  <w:w w:val="86"/>
                </w:rPr>
                <w:t>118</w:t>
              </w:r>
            </w:hyperlink>
          </w:p>
        </w:tc>
        <w:tc>
          <w:tcPr>
            <w:tcW w:w="1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7"/>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52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FF"/>
                <w:w w:val="89"/>
              </w:rPr>
            </w:pPr>
            <w:hyperlink w:anchor="page122">
              <w:r>
                <w:rPr>
                  <w:rFonts w:ascii="Arial" w:cs="Arial" w:eastAsia="Arial" w:hAnsi="Arial"/>
                  <w:sz w:val="18"/>
                  <w:szCs w:val="18"/>
                  <w:color w:val="0000FF"/>
                  <w:w w:val="89"/>
                </w:rPr>
                <w:t>Item 16.</w:t>
              </w:r>
            </w:hyperlink>
          </w:p>
        </w:tc>
        <w:tc>
          <w:tcPr>
            <w:tcW w:w="440" w:type="dxa"/>
            <w:vAlign w:val="bottom"/>
          </w:tcPr>
          <w:p>
            <w:pPr>
              <w:spacing w:after="0"/>
              <w:rPr>
                <w:sz w:val="21"/>
                <w:szCs w:val="21"/>
                <w:color w:val="auto"/>
              </w:rPr>
            </w:pPr>
          </w:p>
        </w:tc>
        <w:tc>
          <w:tcPr>
            <w:tcW w:w="3160" w:type="dxa"/>
            <w:vAlign w:val="bottom"/>
            <w:gridSpan w:val="11"/>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Form 10-K Summary</w:t>
              </w:r>
            </w:hyperlink>
          </w:p>
        </w:tc>
        <w:tc>
          <w:tcPr>
            <w:tcW w:w="5520" w:type="dxa"/>
            <w:vAlign w:val="bottom"/>
            <w:gridSpan w:val="11"/>
          </w:tcPr>
          <w:p>
            <w:pPr>
              <w:spacing w:after="0"/>
              <w:rPr>
                <w:sz w:val="21"/>
                <w:szCs w:val="21"/>
                <w:color w:val="auto"/>
              </w:rPr>
            </w:pPr>
          </w:p>
        </w:tc>
        <w:tc>
          <w:tcPr>
            <w:tcW w:w="1100" w:type="dxa"/>
            <w:vAlign w:val="bottom"/>
            <w:gridSpan w:val="9"/>
          </w:tcPr>
          <w:p>
            <w:pPr>
              <w:jc w:val="center"/>
              <w:ind w:left="410"/>
              <w:spacing w:after="0"/>
              <w:rPr>
                <w:rFonts w:ascii="Arial" w:cs="Arial" w:eastAsia="Arial" w:hAnsi="Arial"/>
                <w:sz w:val="18"/>
                <w:szCs w:val="18"/>
                <w:color w:val="0000FF"/>
                <w:w w:val="93"/>
              </w:rPr>
            </w:pPr>
            <w:hyperlink w:anchor="page122">
              <w:r>
                <w:rPr>
                  <w:rFonts w:ascii="Arial" w:cs="Arial" w:eastAsia="Arial" w:hAnsi="Arial"/>
                  <w:sz w:val="18"/>
                  <w:szCs w:val="18"/>
                  <w:color w:val="0000FF"/>
                  <w:w w:val="93"/>
                </w:rPr>
                <w:t>121</w:t>
              </w:r>
            </w:hyperlink>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Borders>
              <w:top w:val="single" w:sz="8" w:color="0000FF"/>
            </w:tcBorders>
            <w:gridSpan w:val="6"/>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Signatures</w:t>
              </w:r>
            </w:hyperlink>
          </w:p>
        </w:tc>
        <w:tc>
          <w:tcPr>
            <w:tcW w:w="7140" w:type="dxa"/>
            <w:vAlign w:val="bottom"/>
            <w:gridSpan w:val="16"/>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Borders>
              <w:top w:val="single" w:sz="8" w:color="0000FF"/>
            </w:tcBorders>
            <w:gridSpan w:val="7"/>
          </w:tcPr>
          <w:p>
            <w:pPr>
              <w:jc w:val="center"/>
              <w:spacing w:after="0"/>
              <w:rPr>
                <w:rFonts w:ascii="Arial" w:cs="Arial" w:eastAsia="Arial" w:hAnsi="Arial"/>
                <w:sz w:val="18"/>
                <w:szCs w:val="18"/>
                <w:color w:val="0000FF"/>
                <w:w w:val="93"/>
              </w:rPr>
            </w:pPr>
            <w:hyperlink w:anchor="page122">
              <w:r>
                <w:rPr>
                  <w:rFonts w:ascii="Arial" w:cs="Arial" w:eastAsia="Arial" w:hAnsi="Arial"/>
                  <w:sz w:val="18"/>
                  <w:szCs w:val="18"/>
                  <w:color w:val="0000FF"/>
                  <w:w w:val="93"/>
                </w:rPr>
                <w:t>122</w:t>
              </w:r>
            </w:hyperlink>
          </w:p>
        </w:tc>
        <w:tc>
          <w:tcPr>
            <w:tcW w:w="160" w:type="dxa"/>
            <w:vAlign w:val="bottom"/>
          </w:tcPr>
          <w:p>
            <w:pPr>
              <w:spacing w:after="0"/>
              <w:rPr>
                <w:sz w:val="21"/>
                <w:szCs w:val="21"/>
                <w:color w:val="auto"/>
              </w:rPr>
            </w:pPr>
          </w:p>
        </w:tc>
      </w:tr>
      <w:tr>
        <w:trPr>
          <w:trHeight w:val="1391"/>
        </w:trPr>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This Annual Report on Form 10-K (this “Form 10-K”) contains “forward-looking statements” within the meaning of Section 27A of the Securities Act of 1933, as amended, and Section 21E of the Securities Exchange Act of 1934, as amended (the “Exchange Act”), which are subject to the “safe harbor” created by those sections. All statements, other than statements of historical facts included in this Form 10-K,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in this Form 10-K. These risks and uncertainties include, but are not limited to, those described below in the “Risk Factors Summary,” in Part I. Item 1A. “Risk Factors” and elsewhere in this Form 10-K and those described from time to time in our future reports to be filed with the Securities and Exchange Commission (the “SEC”).</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10-K, apply only as of the date of this Form 10-K or as of the date they were made and, except as required by applicable law, we undertake no obligation to publicly update or revise any forward-looking statement, whether as a result of new information, future developments or otherwise.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7"/>
          <w:szCs w:val="17"/>
          <w:i w:val="1"/>
          <w:iCs w:val="1"/>
          <w:color w:val="auto"/>
        </w:rPr>
        <w:t>The following is only a summary of the principal risks that may materially adversely affect our business, financial condition, results of operations or liquidity. The following should be read in conjunction with the more complete discussion of the risk factors we face, which are set forth in the section</w:t>
      </w:r>
    </w:p>
    <w:p>
      <w:pPr>
        <w:spacing w:after="0"/>
        <w:rPr>
          <w:sz w:val="20"/>
          <w:szCs w:val="20"/>
          <w:color w:val="auto"/>
        </w:rPr>
      </w:pPr>
      <w:r>
        <w:rPr>
          <w:rFonts w:ascii="Arial" w:cs="Arial" w:eastAsia="Arial" w:hAnsi="Arial"/>
          <w:sz w:val="18"/>
          <w:szCs w:val="18"/>
          <w:i w:val="1"/>
          <w:iCs w:val="1"/>
          <w:color w:val="auto"/>
        </w:rPr>
        <w:t>entitled “Risk Factors” in this Form 10-K.</w:t>
      </w:r>
    </w:p>
    <w:p>
      <w:pPr>
        <w:spacing w:after="0" w:line="24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67" w:lineRule="exact"/>
        <w:rPr>
          <w:sz w:val="20"/>
          <w:szCs w:val="20"/>
          <w:color w:val="auto"/>
        </w:rPr>
      </w:pPr>
    </w:p>
    <w:p>
      <w:pPr>
        <w:ind w:left="900" w:hanging="568"/>
        <w:spacing w:after="0"/>
        <w:tabs>
          <w:tab w:leader="none" w:pos="900" w:val="left"/>
        </w:tabs>
        <w:numPr>
          <w:ilvl w:val="0"/>
          <w:numId w:val="3"/>
        </w:numPr>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The COVID-19 pandemic has had, and may in the future continue to have, a material adverse impact on our business.</w:t>
        </w:r>
      </w:hyperlink>
    </w:p>
    <w:p>
      <w:pPr>
        <w:spacing w:after="0" w:line="63" w:lineRule="exact"/>
        <w:rPr>
          <w:rFonts w:ascii="Arial" w:cs="Arial" w:eastAsia="Arial" w:hAnsi="Arial"/>
          <w:sz w:val="18"/>
          <w:szCs w:val="18"/>
          <w:u w:val="single" w:color="auto"/>
          <w:color w:val="0000FF"/>
        </w:rPr>
      </w:pPr>
    </w:p>
    <w:p>
      <w:pPr>
        <w:jc w:val="both"/>
        <w:ind w:left="660" w:hanging="328"/>
        <w:spacing w:after="0" w:line="263" w:lineRule="auto"/>
        <w:tabs>
          <w:tab w:leader="none" w:pos="912" w:val="left"/>
        </w:tabs>
        <w:numPr>
          <w:ilvl w:val="0"/>
          <w:numId w:val="3"/>
        </w:numPr>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An overall decline in the health of the economy and other factors impacting consumer spending, including inflation, recessionary conditions,</w:t>
        </w:r>
      </w:hyperlink>
      <w:r>
        <w:rPr>
          <w:rFonts w:ascii="Arial" w:cs="Arial" w:eastAsia="Arial" w:hAnsi="Arial"/>
          <w:sz w:val="18"/>
          <w:szCs w:val="18"/>
          <w:u w:val="single" w:color="auto"/>
          <w:color w:val="0000FF"/>
        </w:rPr>
        <w:t xml:space="preserve"> </w:t>
      </w:r>
      <w:hyperlink w:anchor="page22">
        <w:r>
          <w:rPr>
            <w:rFonts w:ascii="Arial" w:cs="Arial" w:eastAsia="Arial" w:hAnsi="Arial"/>
            <w:sz w:val="18"/>
            <w:szCs w:val="18"/>
            <w:u w:val="single" w:color="auto"/>
            <w:color w:val="0000FF"/>
          </w:rPr>
          <w:t>the timing and issuance of tax refunds, governmental instability and natural disasters, may affect consumer purchases, which could reduce demand</w:t>
        </w:r>
      </w:hyperlink>
      <w:r>
        <w:rPr>
          <w:rFonts w:ascii="Arial" w:cs="Arial" w:eastAsia="Arial" w:hAnsi="Arial"/>
          <w:sz w:val="18"/>
          <w:szCs w:val="18"/>
          <w:u w:val="single" w:color="auto"/>
          <w:color w:val="0000FF"/>
        </w:rPr>
        <w:t xml:space="preserve"> </w:t>
      </w:r>
      <w:hyperlink w:anchor="page22">
        <w:r>
          <w:rPr>
            <w:rFonts w:ascii="Arial" w:cs="Arial" w:eastAsia="Arial" w:hAnsi="Arial"/>
            <w:sz w:val="18"/>
            <w:szCs w:val="18"/>
            <w:u w:val="single" w:color="auto"/>
            <w:color w:val="0000FF"/>
          </w:rPr>
          <w:t>for our products and materially harm our sales, profitability and financial condition.</w:t>
        </w:r>
      </w:hyperlink>
    </w:p>
    <w:p>
      <w:pPr>
        <w:spacing w:after="0" w:line="21" w:lineRule="exact"/>
        <w:rPr>
          <w:rFonts w:ascii="Arial" w:cs="Arial" w:eastAsia="Arial" w:hAnsi="Arial"/>
          <w:sz w:val="18"/>
          <w:szCs w:val="18"/>
          <w:u w:val="single" w:color="auto"/>
          <w:color w:val="0000FF"/>
        </w:rPr>
      </w:pPr>
    </w:p>
    <w:p>
      <w:pPr>
        <w:ind w:left="660" w:hanging="328"/>
        <w:spacing w:after="0" w:line="277" w:lineRule="auto"/>
        <w:tabs>
          <w:tab w:leader="none" w:pos="912" w:val="left"/>
        </w:tabs>
        <w:numPr>
          <w:ilvl w:val="0"/>
          <w:numId w:val="3"/>
        </w:numPr>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If we fail to open and operate new stores in a timely and cost-effective manner or fail to successfully enter new markets, our financial</w:t>
        </w:r>
      </w:hyperlink>
      <w:r>
        <w:rPr>
          <w:rFonts w:ascii="Arial" w:cs="Arial" w:eastAsia="Arial" w:hAnsi="Arial"/>
          <w:sz w:val="18"/>
          <w:szCs w:val="18"/>
          <w:u w:val="single" w:color="auto"/>
          <w:color w:val="0000FF"/>
        </w:rPr>
        <w:t xml:space="preserve"> </w:t>
      </w:r>
      <w:hyperlink w:anchor="page23">
        <w:r>
          <w:rPr>
            <w:rFonts w:ascii="Arial" w:cs="Arial" w:eastAsia="Arial" w:hAnsi="Arial"/>
            <w:sz w:val="18"/>
            <w:szCs w:val="18"/>
            <w:u w:val="single" w:color="auto"/>
            <w:color w:val="0000FF"/>
          </w:rPr>
          <w:t>performance could be materially and adversely affected.</w:t>
        </w:r>
      </w:hyperlink>
    </w:p>
    <w:p>
      <w:pPr>
        <w:spacing w:after="0" w:line="8" w:lineRule="exact"/>
        <w:rPr>
          <w:rFonts w:ascii="Arial" w:cs="Arial" w:eastAsia="Arial" w:hAnsi="Arial"/>
          <w:sz w:val="18"/>
          <w:szCs w:val="18"/>
          <w:u w:val="single" w:color="auto"/>
          <w:color w:val="0000FF"/>
        </w:rPr>
      </w:pPr>
    </w:p>
    <w:p>
      <w:pPr>
        <w:ind w:left="660" w:hanging="328"/>
        <w:spacing w:after="0" w:line="277" w:lineRule="auto"/>
        <w:tabs>
          <w:tab w:leader="none" w:pos="912" w:val="left"/>
        </w:tabs>
        <w:numPr>
          <w:ilvl w:val="0"/>
          <w:numId w:val="3"/>
        </w:numPr>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Failure to recruit and retain vision care professionals for our stores could adversely affect our business, financial condition and results of</w:t>
        </w:r>
      </w:hyperlink>
      <w:r>
        <w:rPr>
          <w:rFonts w:ascii="Arial" w:cs="Arial" w:eastAsia="Arial" w:hAnsi="Arial"/>
          <w:sz w:val="18"/>
          <w:szCs w:val="18"/>
          <w:u w:val="single" w:color="auto"/>
          <w:color w:val="0000FF"/>
        </w:rPr>
        <w:t xml:space="preserve"> </w:t>
      </w:r>
      <w:hyperlink w:anchor="page24">
        <w:r>
          <w:rPr>
            <w:rFonts w:ascii="Arial" w:cs="Arial" w:eastAsia="Arial" w:hAnsi="Arial"/>
            <w:sz w:val="18"/>
            <w:szCs w:val="18"/>
            <w:u w:val="single" w:color="auto"/>
            <w:color w:val="0000FF"/>
          </w:rPr>
          <w:t>operations.</w:t>
        </w:r>
      </w:hyperlink>
    </w:p>
    <w:p>
      <w:pPr>
        <w:spacing w:after="0" w:line="8" w:lineRule="exact"/>
        <w:rPr>
          <w:rFonts w:ascii="Arial" w:cs="Arial" w:eastAsia="Arial" w:hAnsi="Arial"/>
          <w:sz w:val="18"/>
          <w:szCs w:val="18"/>
          <w:u w:val="single" w:color="auto"/>
          <w:color w:val="0000FF"/>
        </w:rPr>
      </w:pPr>
    </w:p>
    <w:p>
      <w:pPr>
        <w:ind w:left="660" w:right="20" w:hanging="328"/>
        <w:spacing w:after="0" w:line="277" w:lineRule="auto"/>
        <w:tabs>
          <w:tab w:leader="none" w:pos="912" w:val="left"/>
        </w:tabs>
        <w:numPr>
          <w:ilvl w:val="0"/>
          <w:numId w:val="3"/>
        </w:numPr>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Future operational success depends on our ability to develop, maintain and extend relationships with managed vision care companies, vision</w:t>
        </w:r>
      </w:hyperlink>
      <w:r>
        <w:rPr>
          <w:rFonts w:ascii="Arial" w:cs="Arial" w:eastAsia="Arial" w:hAnsi="Arial"/>
          <w:sz w:val="18"/>
          <w:szCs w:val="18"/>
          <w:u w:val="single" w:color="auto"/>
          <w:color w:val="0000FF"/>
        </w:rPr>
        <w:t xml:space="preserve"> </w:t>
      </w:r>
      <w:hyperlink w:anchor="page24">
        <w:r>
          <w:rPr>
            <w:rFonts w:ascii="Arial" w:cs="Arial" w:eastAsia="Arial" w:hAnsi="Arial"/>
            <w:sz w:val="18"/>
            <w:szCs w:val="18"/>
            <w:u w:val="single" w:color="auto"/>
            <w:color w:val="0000FF"/>
          </w:rPr>
          <w:t>insurance providers and other third-party payors.</w:t>
        </w:r>
      </w:hyperlink>
    </w:p>
    <w:p>
      <w:pPr>
        <w:spacing w:after="0" w:line="8" w:lineRule="exact"/>
        <w:rPr>
          <w:rFonts w:ascii="Arial" w:cs="Arial" w:eastAsia="Arial" w:hAnsi="Arial"/>
          <w:sz w:val="18"/>
          <w:szCs w:val="18"/>
          <w:u w:val="single" w:color="auto"/>
          <w:color w:val="0000FF"/>
        </w:rPr>
      </w:pPr>
    </w:p>
    <w:p>
      <w:pPr>
        <w:ind w:left="660" w:hanging="328"/>
        <w:spacing w:after="0" w:line="316" w:lineRule="auto"/>
        <w:tabs>
          <w:tab w:leader="none" w:pos="912" w:val="left"/>
        </w:tabs>
        <w:numPr>
          <w:ilvl w:val="0"/>
          <w:numId w:val="3"/>
        </w:numPr>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If the performance of our Host and Legacy brands declines or we are unable to maintain or extend our operating relationships with our Host</w:t>
        </w:r>
      </w:hyperlink>
      <w:r>
        <w:rPr>
          <w:rFonts w:ascii="Arial" w:cs="Arial" w:eastAsia="Arial" w:hAnsi="Arial"/>
          <w:sz w:val="16"/>
          <w:szCs w:val="16"/>
          <w:u w:val="single" w:color="auto"/>
          <w:color w:val="0000FF"/>
        </w:rPr>
        <w:t xml:space="preserve"> </w:t>
      </w:r>
      <w:hyperlink w:anchor="page25">
        <w:r>
          <w:rPr>
            <w:rFonts w:ascii="Arial" w:cs="Arial" w:eastAsia="Arial" w:hAnsi="Arial"/>
            <w:sz w:val="16"/>
            <w:szCs w:val="16"/>
            <w:u w:val="single" w:color="auto"/>
            <w:color w:val="0000FF"/>
          </w:rPr>
          <w:t>and Legacy partners, our business, profitability and cash flows may be adversely affected and we may be required to incur impairment charges.</w:t>
        </w:r>
      </w:hyperlink>
    </w:p>
    <w:p>
      <w:pPr>
        <w:spacing w:after="0" w:line="1" w:lineRule="exact"/>
        <w:rPr>
          <w:rFonts w:ascii="Arial" w:cs="Arial" w:eastAsia="Arial" w:hAnsi="Arial"/>
          <w:sz w:val="16"/>
          <w:szCs w:val="16"/>
          <w:u w:val="single" w:color="auto"/>
          <w:color w:val="0000FF"/>
        </w:rPr>
      </w:pPr>
    </w:p>
    <w:p>
      <w:pPr>
        <w:ind w:left="660" w:hanging="328"/>
        <w:spacing w:after="0" w:line="277" w:lineRule="auto"/>
        <w:tabs>
          <w:tab w:leader="none" w:pos="912" w:val="left"/>
        </w:tabs>
        <w:numPr>
          <w:ilvl w:val="0"/>
          <w:numId w:val="3"/>
        </w:numPr>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We are subject to extensive state, local and federal vision care and healthcare laws and regulations and failure to adhere to such laws and</w:t>
        </w:r>
      </w:hyperlink>
      <w:r>
        <w:rPr>
          <w:rFonts w:ascii="Arial" w:cs="Arial" w:eastAsia="Arial" w:hAnsi="Arial"/>
          <w:sz w:val="18"/>
          <w:szCs w:val="18"/>
          <w:u w:val="single" w:color="auto"/>
          <w:color w:val="0000FF"/>
        </w:rPr>
        <w:t xml:space="preserve"> </w:t>
      </w:r>
      <w:hyperlink w:anchor="page25">
        <w:r>
          <w:rPr>
            <w:rFonts w:ascii="Arial" w:cs="Arial" w:eastAsia="Arial" w:hAnsi="Arial"/>
            <w:sz w:val="18"/>
            <w:szCs w:val="18"/>
            <w:u w:val="single" w:color="auto"/>
            <w:color w:val="0000FF"/>
          </w:rPr>
          <w:t>regulations would adversely affect our business.</w:t>
        </w:r>
      </w:hyperlink>
    </w:p>
    <w:p>
      <w:pPr>
        <w:spacing w:after="0" w:line="8"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3"/>
        </w:numPr>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We are subject to managed vision care laws and regulations.</w:t>
        </w:r>
      </w:hyperlink>
    </w:p>
    <w:p>
      <w:pPr>
        <w:spacing w:after="0" w:line="63" w:lineRule="exact"/>
        <w:rPr>
          <w:rFonts w:ascii="Arial" w:cs="Arial" w:eastAsia="Arial" w:hAnsi="Arial"/>
          <w:sz w:val="18"/>
          <w:szCs w:val="18"/>
          <w:u w:val="single" w:color="auto"/>
          <w:color w:val="0000FF"/>
        </w:rPr>
      </w:pPr>
    </w:p>
    <w:p>
      <w:pPr>
        <w:jc w:val="both"/>
        <w:ind w:left="660" w:hanging="328"/>
        <w:spacing w:after="0" w:line="263" w:lineRule="auto"/>
        <w:tabs>
          <w:tab w:leader="none" w:pos="912" w:val="left"/>
        </w:tabs>
        <w:numPr>
          <w:ilvl w:val="0"/>
          <w:numId w:val="3"/>
        </w:numPr>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We require significant capital to fund our expanding business. If we are unable to maintain sufficient levels of cash flow from our operations,</w:t>
        </w:r>
      </w:hyperlink>
      <w:r>
        <w:rPr>
          <w:rFonts w:ascii="Arial" w:cs="Arial" w:eastAsia="Arial" w:hAnsi="Arial"/>
          <w:sz w:val="18"/>
          <w:szCs w:val="18"/>
          <w:u w:val="single" w:color="auto"/>
          <w:color w:val="0000FF"/>
        </w:rPr>
        <w:t xml:space="preserve"> </w:t>
      </w:r>
      <w:hyperlink w:anchor="page27">
        <w:r>
          <w:rPr>
            <w:rFonts w:ascii="Arial" w:cs="Arial" w:eastAsia="Arial" w:hAnsi="Arial"/>
            <w:sz w:val="18"/>
            <w:szCs w:val="18"/>
            <w:u w:val="single" w:color="auto"/>
            <w:color w:val="0000FF"/>
          </w:rPr>
          <w:t>we may not be able to execute or sustain our growth strategy or we may require additional financing, which may not be available to us on</w:t>
        </w:r>
      </w:hyperlink>
      <w:r>
        <w:rPr>
          <w:rFonts w:ascii="Arial" w:cs="Arial" w:eastAsia="Arial" w:hAnsi="Arial"/>
          <w:sz w:val="18"/>
          <w:szCs w:val="18"/>
          <w:u w:val="single" w:color="auto"/>
          <w:color w:val="0000FF"/>
        </w:rPr>
        <w:t xml:space="preserve"> </w:t>
      </w:r>
      <w:hyperlink w:anchor="page27">
        <w:r>
          <w:rPr>
            <w:rFonts w:ascii="Arial" w:cs="Arial" w:eastAsia="Arial" w:hAnsi="Arial"/>
            <w:sz w:val="18"/>
            <w:szCs w:val="18"/>
            <w:u w:val="single" w:color="auto"/>
            <w:color w:val="0000FF"/>
          </w:rPr>
          <w:t>satisfactory terms or at all.</w:t>
        </w:r>
      </w:hyperlink>
    </w:p>
    <w:p>
      <w:pPr>
        <w:spacing w:after="0" w:line="21" w:lineRule="exact"/>
        <w:rPr>
          <w:rFonts w:ascii="Arial" w:cs="Arial" w:eastAsia="Arial" w:hAnsi="Arial"/>
          <w:sz w:val="18"/>
          <w:szCs w:val="18"/>
          <w:u w:val="single" w:color="auto"/>
          <w:color w:val="0000FF"/>
        </w:rPr>
      </w:pPr>
    </w:p>
    <w:p>
      <w:pPr>
        <w:jc w:val="both"/>
        <w:ind w:left="660" w:hanging="328"/>
        <w:spacing w:after="0" w:line="263" w:lineRule="auto"/>
        <w:tabs>
          <w:tab w:leader="none" w:pos="912" w:val="left"/>
        </w:tabs>
        <w:numPr>
          <w:ilvl w:val="0"/>
          <w:numId w:val="3"/>
        </w:numPr>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We depend on our distribution centers and optical laboratories. The loss of, or disruption in the operations of, one or more of these facilities</w:t>
        </w:r>
      </w:hyperlink>
      <w:r>
        <w:rPr>
          <w:rFonts w:ascii="Arial" w:cs="Arial" w:eastAsia="Arial" w:hAnsi="Arial"/>
          <w:sz w:val="18"/>
          <w:szCs w:val="18"/>
          <w:u w:val="single" w:color="auto"/>
          <w:color w:val="0000FF"/>
        </w:rPr>
        <w:t xml:space="preserve"> </w:t>
      </w:r>
      <w:hyperlink w:anchor="page28">
        <w:r>
          <w:rPr>
            <w:rFonts w:ascii="Arial" w:cs="Arial" w:eastAsia="Arial" w:hAnsi="Arial"/>
            <w:sz w:val="18"/>
            <w:szCs w:val="18"/>
            <w:u w:val="single" w:color="auto"/>
            <w:color w:val="0000FF"/>
          </w:rPr>
          <w:t>may adversely affect our ability to process and fulfill customer orders and deliver our products in a timely manner, or at all, and may result in</w:t>
        </w:r>
      </w:hyperlink>
      <w:r>
        <w:rPr>
          <w:rFonts w:ascii="Arial" w:cs="Arial" w:eastAsia="Arial" w:hAnsi="Arial"/>
          <w:sz w:val="18"/>
          <w:szCs w:val="18"/>
          <w:u w:val="single" w:color="auto"/>
          <w:color w:val="0000FF"/>
        </w:rPr>
        <w:t xml:space="preserve"> </w:t>
      </w:r>
      <w:hyperlink w:anchor="page28">
        <w:r>
          <w:rPr>
            <w:rFonts w:ascii="Arial" w:cs="Arial" w:eastAsia="Arial" w:hAnsi="Arial"/>
            <w:sz w:val="18"/>
            <w:szCs w:val="18"/>
            <w:u w:val="single" w:color="auto"/>
            <w:color w:val="0000FF"/>
          </w:rPr>
          <w:t>quality issues, which would adversely affect our reputation, our business and our profitability.</w:t>
        </w:r>
      </w:hyperlink>
    </w:p>
    <w:p>
      <w:pPr>
        <w:spacing w:after="0" w:line="21"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3"/>
        </w:numPr>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We face risks associated with vendors from whom our products are sourced and are dependent on a limited number of suppliers.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3"/>
        </w:numPr>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The optical retail industry is highly competitive, and if we do not compete successfully, our business may be adversely impacted.</w:t>
        </w:r>
      </w:hyperlink>
    </w:p>
    <w:p>
      <w:pPr>
        <w:spacing w:after="0" w:line="63" w:lineRule="exact"/>
        <w:rPr>
          <w:rFonts w:ascii="Arial" w:cs="Arial" w:eastAsia="Arial" w:hAnsi="Arial"/>
          <w:sz w:val="18"/>
          <w:szCs w:val="18"/>
          <w:u w:val="single" w:color="auto"/>
          <w:color w:val="0000FF"/>
        </w:rPr>
      </w:pPr>
    </w:p>
    <w:p>
      <w:pPr>
        <w:jc w:val="both"/>
        <w:ind w:left="660" w:hanging="328"/>
        <w:spacing w:after="0" w:line="263" w:lineRule="auto"/>
        <w:tabs>
          <w:tab w:leader="none" w:pos="912" w:val="left"/>
        </w:tabs>
        <w:numPr>
          <w:ilvl w:val="0"/>
          <w:numId w:val="3"/>
        </w:numPr>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We rely heavily on our information technology systems, as well as those of our vendors, for our business to effectively operate and to</w:t>
        </w:r>
      </w:hyperlink>
      <w:r>
        <w:rPr>
          <w:rFonts w:ascii="Arial" w:cs="Arial" w:eastAsia="Arial" w:hAnsi="Arial"/>
          <w:sz w:val="18"/>
          <w:szCs w:val="18"/>
          <w:u w:val="single" w:color="auto"/>
          <w:color w:val="0000FF"/>
        </w:rPr>
        <w:t xml:space="preserve"> </w:t>
      </w:r>
      <w:hyperlink w:anchor="page31">
        <w:r>
          <w:rPr>
            <w:rFonts w:ascii="Arial" w:cs="Arial" w:eastAsia="Arial" w:hAnsi="Arial"/>
            <w:sz w:val="18"/>
            <w:szCs w:val="18"/>
            <w:u w:val="single" w:color="auto"/>
            <w:color w:val="0000FF"/>
          </w:rPr>
          <w:t>safeguard confidential information; any significant failure, inadequacy, interruption or security breach could adversely affect our business,</w:t>
        </w:r>
      </w:hyperlink>
      <w:r>
        <w:rPr>
          <w:rFonts w:ascii="Arial" w:cs="Arial" w:eastAsia="Arial" w:hAnsi="Arial"/>
          <w:sz w:val="18"/>
          <w:szCs w:val="18"/>
          <w:u w:val="single" w:color="auto"/>
          <w:color w:val="0000FF"/>
        </w:rPr>
        <w:t xml:space="preserve"> </w:t>
      </w:r>
      <w:hyperlink w:anchor="page31">
        <w:r>
          <w:rPr>
            <w:rFonts w:ascii="Arial" w:cs="Arial" w:eastAsia="Arial" w:hAnsi="Arial"/>
            <w:sz w:val="18"/>
            <w:szCs w:val="18"/>
            <w:u w:val="single" w:color="auto"/>
            <w:color w:val="0000FF"/>
          </w:rPr>
          <w:t>financial condition and operations.</w:t>
        </w:r>
      </w:hyperlink>
    </w:p>
    <w:p>
      <w:pPr>
        <w:spacing w:after="0" w:line="21" w:lineRule="exact"/>
        <w:rPr>
          <w:rFonts w:ascii="Arial" w:cs="Arial" w:eastAsia="Arial" w:hAnsi="Arial"/>
          <w:sz w:val="18"/>
          <w:szCs w:val="18"/>
          <w:u w:val="single" w:color="auto"/>
          <w:color w:val="0000FF"/>
        </w:rPr>
      </w:pPr>
    </w:p>
    <w:p>
      <w:pPr>
        <w:jc w:val="both"/>
        <w:ind w:left="660" w:hanging="328"/>
        <w:spacing w:after="0" w:line="263" w:lineRule="auto"/>
        <w:tabs>
          <w:tab w:leader="none" w:pos="912" w:val="left"/>
        </w:tabs>
        <w:numPr>
          <w:ilvl w:val="0"/>
          <w:numId w:val="3"/>
        </w:numPr>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We are a low-cost provider and our business model relies on the low cost of inputs. Factors such as wage rate increases, inflation, cost</w:t>
        </w:r>
      </w:hyperlink>
      <w:r>
        <w:rPr>
          <w:rFonts w:ascii="Arial" w:cs="Arial" w:eastAsia="Arial" w:hAnsi="Arial"/>
          <w:sz w:val="18"/>
          <w:szCs w:val="18"/>
          <w:u w:val="single" w:color="auto"/>
          <w:color w:val="0000FF"/>
        </w:rPr>
        <w:t xml:space="preserve"> </w:t>
      </w:r>
      <w:hyperlink w:anchor="page32">
        <w:r>
          <w:rPr>
            <w:rFonts w:ascii="Arial" w:cs="Arial" w:eastAsia="Arial" w:hAnsi="Arial"/>
            <w:sz w:val="18"/>
            <w:szCs w:val="18"/>
            <w:u w:val="single" w:color="auto"/>
            <w:color w:val="0000FF"/>
          </w:rPr>
          <w:t>increases, increases in raw material prices and energy prices could have a material adverse effect on our business, financial condition and results</w:t>
        </w:r>
      </w:hyperlink>
      <w:r>
        <w:rPr>
          <w:rFonts w:ascii="Arial" w:cs="Arial" w:eastAsia="Arial" w:hAnsi="Arial"/>
          <w:sz w:val="18"/>
          <w:szCs w:val="18"/>
          <w:u w:val="single" w:color="auto"/>
          <w:color w:val="0000FF"/>
        </w:rPr>
        <w:t xml:space="preserve"> </w:t>
      </w:r>
      <w:hyperlink w:anchor="page32">
        <w:r>
          <w:rPr>
            <w:rFonts w:ascii="Arial" w:cs="Arial" w:eastAsia="Arial" w:hAnsi="Arial"/>
            <w:sz w:val="18"/>
            <w:szCs w:val="18"/>
            <w:u w:val="single" w:color="auto"/>
            <w:color w:val="0000FF"/>
          </w:rPr>
          <w:t>of operations.</w:t>
        </w:r>
      </w:hyperlink>
    </w:p>
    <w:p>
      <w:pPr>
        <w:spacing w:after="0" w:line="21"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3"/>
        </w:numPr>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Our growth strategy could strain our existing resources and cause the performance of our existing stores to suffer.</w:t>
        </w:r>
      </w:hyperlink>
    </w:p>
    <w:p>
      <w:pPr>
        <w:spacing w:after="0" w:line="63" w:lineRule="exact"/>
        <w:rPr>
          <w:rFonts w:ascii="Arial" w:cs="Arial" w:eastAsia="Arial" w:hAnsi="Arial"/>
          <w:sz w:val="18"/>
          <w:szCs w:val="18"/>
          <w:u w:val="single" w:color="auto"/>
          <w:color w:val="0000FF"/>
        </w:rPr>
      </w:pPr>
    </w:p>
    <w:p>
      <w:pPr>
        <w:jc w:val="both"/>
        <w:ind w:left="660" w:hanging="328"/>
        <w:spacing w:after="0" w:line="263" w:lineRule="auto"/>
        <w:tabs>
          <w:tab w:leader="none" w:pos="912" w:val="left"/>
        </w:tabs>
        <w:numPr>
          <w:ilvl w:val="0"/>
          <w:numId w:val="3"/>
        </w:numPr>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Our success depends upon our marketing, advertising and promotional efforts. If we are unable to implement them successfully or efficiently,</w:t>
        </w:r>
      </w:hyperlink>
      <w:r>
        <w:rPr>
          <w:rFonts w:ascii="Arial" w:cs="Arial" w:eastAsia="Arial" w:hAnsi="Arial"/>
          <w:sz w:val="18"/>
          <w:szCs w:val="18"/>
          <w:u w:val="single" w:color="auto"/>
          <w:color w:val="0000FF"/>
        </w:rPr>
        <w:t xml:space="preserve"> </w:t>
      </w:r>
      <w:hyperlink w:anchor="page33">
        <w:r>
          <w:rPr>
            <w:rFonts w:ascii="Arial" w:cs="Arial" w:eastAsia="Arial" w:hAnsi="Arial"/>
            <w:sz w:val="18"/>
            <w:szCs w:val="18"/>
            <w:u w:val="single" w:color="auto"/>
            <w:color w:val="0000FF"/>
          </w:rPr>
          <w:t>or if our competitors are more effective than we are, it could have a material adverse effect on our business, financial condition and results of</w:t>
        </w:r>
      </w:hyperlink>
      <w:r>
        <w:rPr>
          <w:rFonts w:ascii="Arial" w:cs="Arial" w:eastAsia="Arial" w:hAnsi="Arial"/>
          <w:sz w:val="18"/>
          <w:szCs w:val="18"/>
          <w:u w:val="single" w:color="auto"/>
          <w:color w:val="0000FF"/>
        </w:rPr>
        <w:t xml:space="preserve"> </w:t>
      </w:r>
      <w:hyperlink w:anchor="page33">
        <w:r>
          <w:rPr>
            <w:rFonts w:ascii="Arial" w:cs="Arial" w:eastAsia="Arial" w:hAnsi="Arial"/>
            <w:sz w:val="18"/>
            <w:szCs w:val="18"/>
            <w:u w:val="single" w:color="auto"/>
            <w:color w:val="0000FF"/>
          </w:rPr>
          <w:t>operations.</w:t>
        </w:r>
      </w:hyperlink>
    </w:p>
    <w:p>
      <w:pPr>
        <w:spacing w:after="0" w:line="21"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3"/>
        </w:numPr>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We are subject to risks associated with leasing substantial amounts of space, including future increases in occupancy costs.</w:t>
        </w:r>
      </w:hyperlink>
    </w:p>
    <w:p>
      <w:pPr>
        <w:spacing w:after="0" w:line="63" w:lineRule="exact"/>
        <w:rPr>
          <w:rFonts w:ascii="Arial" w:cs="Arial" w:eastAsia="Arial" w:hAnsi="Arial"/>
          <w:sz w:val="18"/>
          <w:szCs w:val="18"/>
          <w:u w:val="single" w:color="auto"/>
          <w:color w:val="0000FF"/>
        </w:rPr>
      </w:pPr>
    </w:p>
    <w:p>
      <w:pPr>
        <w:jc w:val="both"/>
        <w:ind w:left="660" w:hanging="328"/>
        <w:spacing w:after="0" w:line="263" w:lineRule="auto"/>
        <w:tabs>
          <w:tab w:leader="none" w:pos="912" w:val="left"/>
        </w:tabs>
        <w:numPr>
          <w:ilvl w:val="0"/>
          <w:numId w:val="3"/>
        </w:numPr>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Certain technological advances, greater availability of, or increased consumer preferences for, vision correction alternatives to prescription</w:t>
        </w:r>
      </w:hyperlink>
      <w:r>
        <w:rPr>
          <w:rFonts w:ascii="Arial" w:cs="Arial" w:eastAsia="Arial" w:hAnsi="Arial"/>
          <w:sz w:val="18"/>
          <w:szCs w:val="18"/>
          <w:u w:val="single" w:color="auto"/>
          <w:color w:val="0000FF"/>
        </w:rPr>
        <w:t xml:space="preserve"> </w:t>
      </w:r>
      <w:hyperlink w:anchor="page34">
        <w:r>
          <w:rPr>
            <w:rFonts w:ascii="Arial" w:cs="Arial" w:eastAsia="Arial" w:hAnsi="Arial"/>
            <w:sz w:val="18"/>
            <w:szCs w:val="18"/>
            <w:u w:val="single" w:color="auto"/>
            <w:color w:val="0000FF"/>
          </w:rPr>
          <w:t>eyeglasses or contact lenses, and future drug development for the correction of vision-related problems may reduce the demand for our products</w:t>
        </w:r>
      </w:hyperlink>
      <w:r>
        <w:rPr>
          <w:rFonts w:ascii="Arial" w:cs="Arial" w:eastAsia="Arial" w:hAnsi="Arial"/>
          <w:sz w:val="18"/>
          <w:szCs w:val="18"/>
          <w:u w:val="single" w:color="auto"/>
          <w:color w:val="0000FF"/>
        </w:rPr>
        <w:t xml:space="preserve"> </w:t>
      </w:r>
      <w:hyperlink w:anchor="page34">
        <w:r>
          <w:rPr>
            <w:rFonts w:ascii="Arial" w:cs="Arial" w:eastAsia="Arial" w:hAnsi="Arial"/>
            <w:sz w:val="18"/>
            <w:szCs w:val="18"/>
            <w:u w:val="single" w:color="auto"/>
            <w:color w:val="0000FF"/>
          </w:rPr>
          <w:t>and adversely impact our business and profitability.</w:t>
        </w:r>
      </w:hyperlink>
    </w:p>
    <w:p>
      <w:pPr>
        <w:spacing w:after="0" w:line="200" w:lineRule="exact"/>
        <w:rPr>
          <w:rFonts w:ascii="Arial" w:cs="Arial" w:eastAsia="Arial" w:hAnsi="Arial"/>
          <w:sz w:val="18"/>
          <w:szCs w:val="18"/>
          <w:u w:val="single" w:color="auto"/>
          <w:color w:val="0000FF"/>
        </w:rPr>
      </w:pPr>
    </w:p>
    <w:p>
      <w:pPr>
        <w:spacing w:after="0" w:line="254"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line="277" w:lineRule="auto"/>
        <w:tabs>
          <w:tab w:leader="none" w:pos="912" w:val="left"/>
        </w:tabs>
        <w:numPr>
          <w:ilvl w:val="0"/>
          <w:numId w:val="4"/>
        </w:numPr>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If we fail to retain our existing senior management team or attract qualified new personnel, such failure could have a material adverse effect on</w:t>
        </w:r>
      </w:hyperlink>
      <w:r>
        <w:rPr>
          <w:rFonts w:ascii="Arial" w:cs="Arial" w:eastAsia="Arial" w:hAnsi="Arial"/>
          <w:sz w:val="18"/>
          <w:szCs w:val="18"/>
          <w:u w:val="single" w:color="auto"/>
          <w:color w:val="0000FF"/>
        </w:rPr>
        <w:t xml:space="preserve"> </w:t>
      </w:r>
      <w:hyperlink w:anchor="page34">
        <w:r>
          <w:rPr>
            <w:rFonts w:ascii="Arial" w:cs="Arial" w:eastAsia="Arial" w:hAnsi="Arial"/>
            <w:sz w:val="18"/>
            <w:szCs w:val="18"/>
            <w:u w:val="single" w:color="auto"/>
            <w:color w:val="0000FF"/>
          </w:rPr>
          <w:t>our business, financial condition and results of operations.</w:t>
        </w:r>
      </w:hyperlink>
    </w:p>
    <w:p>
      <w:pPr>
        <w:spacing w:after="0" w:line="8" w:lineRule="exact"/>
        <w:rPr>
          <w:rFonts w:ascii="Arial" w:cs="Arial" w:eastAsia="Arial" w:hAnsi="Arial"/>
          <w:sz w:val="18"/>
          <w:szCs w:val="18"/>
          <w:u w:val="single" w:color="auto"/>
          <w:color w:val="0000FF"/>
        </w:rPr>
      </w:pPr>
    </w:p>
    <w:p>
      <w:pPr>
        <w:ind w:left="660" w:hanging="328"/>
        <w:spacing w:after="0" w:line="277" w:lineRule="auto"/>
        <w:tabs>
          <w:tab w:leader="none" w:pos="912" w:val="left"/>
        </w:tabs>
        <w:numPr>
          <w:ilvl w:val="0"/>
          <w:numId w:val="4"/>
        </w:numPr>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Our profitability and cash flows may be negatively affected if we are not successful in managing our inventory balances and inventory</w:t>
        </w:r>
      </w:hyperlink>
      <w:r>
        <w:rPr>
          <w:rFonts w:ascii="Arial" w:cs="Arial" w:eastAsia="Arial" w:hAnsi="Arial"/>
          <w:sz w:val="18"/>
          <w:szCs w:val="18"/>
          <w:u w:val="single" w:color="auto"/>
          <w:color w:val="0000FF"/>
        </w:rPr>
        <w:t xml:space="preserve"> </w:t>
      </w:r>
      <w:hyperlink w:anchor="page35">
        <w:r>
          <w:rPr>
            <w:rFonts w:ascii="Arial" w:cs="Arial" w:eastAsia="Arial" w:hAnsi="Arial"/>
            <w:sz w:val="18"/>
            <w:szCs w:val="18"/>
            <w:u w:val="single" w:color="auto"/>
            <w:color w:val="0000FF"/>
          </w:rPr>
          <w:t>shrinkage.</w:t>
        </w:r>
      </w:hyperlink>
    </w:p>
    <w:p>
      <w:pPr>
        <w:spacing w:after="0" w:line="8"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4"/>
        </w:numPr>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Our operating results and inventory levels fluctuate on a seasonal basis.</w:t>
        </w:r>
      </w:hyperlink>
    </w:p>
    <w:p>
      <w:pPr>
        <w:spacing w:after="0" w:line="63" w:lineRule="exact"/>
        <w:rPr>
          <w:rFonts w:ascii="Arial" w:cs="Arial" w:eastAsia="Arial" w:hAnsi="Arial"/>
          <w:sz w:val="18"/>
          <w:szCs w:val="18"/>
          <w:u w:val="single" w:color="auto"/>
          <w:color w:val="0000FF"/>
        </w:rPr>
      </w:pPr>
    </w:p>
    <w:p>
      <w:pPr>
        <w:ind w:left="660" w:hanging="328"/>
        <w:spacing w:after="0" w:line="277" w:lineRule="auto"/>
        <w:tabs>
          <w:tab w:leader="none" w:pos="912" w:val="left"/>
        </w:tabs>
        <w:numPr>
          <w:ilvl w:val="0"/>
          <w:numId w:val="4"/>
        </w:numPr>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We rely on third-party coverage and reimbursement, including government programs, for an increasing portion of our revenues, the future</w:t>
        </w:r>
      </w:hyperlink>
      <w:r>
        <w:rPr>
          <w:rFonts w:ascii="Arial" w:cs="Arial" w:eastAsia="Arial" w:hAnsi="Arial"/>
          <w:sz w:val="18"/>
          <w:szCs w:val="18"/>
          <w:u w:val="single" w:color="auto"/>
          <w:color w:val="0000FF"/>
        </w:rPr>
        <w:t xml:space="preserve"> </w:t>
      </w:r>
      <w:hyperlink w:anchor="page35">
        <w:r>
          <w:rPr>
            <w:rFonts w:ascii="Arial" w:cs="Arial" w:eastAsia="Arial" w:hAnsi="Arial"/>
            <w:sz w:val="18"/>
            <w:szCs w:val="18"/>
            <w:u w:val="single" w:color="auto"/>
            <w:color w:val="0000FF"/>
          </w:rPr>
          <w:t>reduction of which could adversely affect our results of operations.</w:t>
        </w:r>
      </w:hyperlink>
    </w:p>
    <w:p>
      <w:pPr>
        <w:spacing w:after="0" w:line="8" w:lineRule="exact"/>
        <w:rPr>
          <w:rFonts w:ascii="Arial" w:cs="Arial" w:eastAsia="Arial" w:hAnsi="Arial"/>
          <w:sz w:val="18"/>
          <w:szCs w:val="18"/>
          <w:u w:val="single" w:color="auto"/>
          <w:color w:val="0000FF"/>
        </w:rPr>
      </w:pPr>
    </w:p>
    <w:p>
      <w:pPr>
        <w:ind w:left="660" w:hanging="328"/>
        <w:spacing w:after="0" w:line="277" w:lineRule="auto"/>
        <w:tabs>
          <w:tab w:leader="none" w:pos="912" w:val="left"/>
        </w:tabs>
        <w:numPr>
          <w:ilvl w:val="0"/>
          <w:numId w:val="4"/>
        </w:numPr>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Our e-commerce and omni-channel business faces distinct risks, and our failure to successfully manage it could have a negative impact on our</w:t>
        </w:r>
      </w:hyperlink>
      <w:r>
        <w:rPr>
          <w:rFonts w:ascii="Arial" w:cs="Arial" w:eastAsia="Arial" w:hAnsi="Arial"/>
          <w:sz w:val="18"/>
          <w:szCs w:val="18"/>
          <w:u w:val="single" w:color="auto"/>
          <w:color w:val="0000FF"/>
        </w:rPr>
        <w:t xml:space="preserve"> </w:t>
      </w:r>
      <w:hyperlink w:anchor="page36">
        <w:r>
          <w:rPr>
            <w:rFonts w:ascii="Arial" w:cs="Arial" w:eastAsia="Arial" w:hAnsi="Arial"/>
            <w:sz w:val="18"/>
            <w:szCs w:val="18"/>
            <w:u w:val="single" w:color="auto"/>
            <w:color w:val="0000FF"/>
          </w:rPr>
          <w:t>profitability.</w:t>
        </w:r>
      </w:hyperlink>
    </w:p>
    <w:p>
      <w:pPr>
        <w:spacing w:after="0" w:line="8"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4"/>
        </w:numPr>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We could be adversely affected by product liability, product recall or personal injury issues.</w:t>
        </w:r>
      </w:hyperlink>
    </w:p>
    <w:p>
      <w:pPr>
        <w:spacing w:after="0" w:line="63" w:lineRule="exact"/>
        <w:rPr>
          <w:rFonts w:ascii="Arial" w:cs="Arial" w:eastAsia="Arial" w:hAnsi="Arial"/>
          <w:sz w:val="18"/>
          <w:szCs w:val="18"/>
          <w:u w:val="single" w:color="auto"/>
          <w:color w:val="0000FF"/>
        </w:rPr>
      </w:pPr>
    </w:p>
    <w:p>
      <w:pPr>
        <w:ind w:left="660" w:hanging="328"/>
        <w:spacing w:after="0" w:line="277" w:lineRule="auto"/>
        <w:tabs>
          <w:tab w:leader="none" w:pos="912" w:val="left"/>
        </w:tabs>
        <w:numPr>
          <w:ilvl w:val="0"/>
          <w:numId w:val="4"/>
        </w:numPr>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Failure to comply with laws, regulations and enforcement activities or changes in statutory, regulatory, accounting and other legal requirements</w:t>
        </w:r>
      </w:hyperlink>
      <w:r>
        <w:rPr>
          <w:rFonts w:ascii="Arial" w:cs="Arial" w:eastAsia="Arial" w:hAnsi="Arial"/>
          <w:sz w:val="18"/>
          <w:szCs w:val="18"/>
          <w:u w:val="single" w:color="auto"/>
          <w:color w:val="0000FF"/>
        </w:rPr>
        <w:t xml:space="preserve"> </w:t>
      </w:r>
      <w:hyperlink w:anchor="page37">
        <w:r>
          <w:rPr>
            <w:rFonts w:ascii="Arial" w:cs="Arial" w:eastAsia="Arial" w:hAnsi="Arial"/>
            <w:sz w:val="18"/>
            <w:szCs w:val="18"/>
            <w:u w:val="single" w:color="auto"/>
            <w:color w:val="0000FF"/>
          </w:rPr>
          <w:t>could potentially impact our operating and financial results.</w:t>
        </w:r>
      </w:hyperlink>
    </w:p>
    <w:p>
      <w:pPr>
        <w:spacing w:after="0" w:line="8" w:lineRule="exact"/>
        <w:rPr>
          <w:rFonts w:ascii="Arial" w:cs="Arial" w:eastAsia="Arial" w:hAnsi="Arial"/>
          <w:sz w:val="18"/>
          <w:szCs w:val="18"/>
          <w:u w:val="single" w:color="auto"/>
          <w:color w:val="0000FF"/>
        </w:rPr>
      </w:pPr>
    </w:p>
    <w:p>
      <w:pPr>
        <w:ind w:left="660" w:right="20" w:hanging="328"/>
        <w:spacing w:after="0" w:line="277" w:lineRule="auto"/>
        <w:tabs>
          <w:tab w:leader="none" w:pos="912" w:val="left"/>
        </w:tabs>
        <w:numPr>
          <w:ilvl w:val="0"/>
          <w:numId w:val="4"/>
        </w:numPr>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Adverse litigation judgments or settlements resulting from legal proceedings relating to our business operations could materially adversely</w:t>
        </w:r>
      </w:hyperlink>
      <w:r>
        <w:rPr>
          <w:rFonts w:ascii="Arial" w:cs="Arial" w:eastAsia="Arial" w:hAnsi="Arial"/>
          <w:sz w:val="18"/>
          <w:szCs w:val="18"/>
          <w:u w:val="single" w:color="auto"/>
          <w:color w:val="0000FF"/>
        </w:rPr>
        <w:t xml:space="preserve"> </w:t>
      </w:r>
      <w:hyperlink w:anchor="page38">
        <w:r>
          <w:rPr>
            <w:rFonts w:ascii="Arial" w:cs="Arial" w:eastAsia="Arial" w:hAnsi="Arial"/>
            <w:sz w:val="18"/>
            <w:szCs w:val="18"/>
            <w:u w:val="single" w:color="auto"/>
            <w:color w:val="0000FF"/>
          </w:rPr>
          <w:t>affect our business, financial condition and results of operations.</w:t>
        </w:r>
      </w:hyperlink>
    </w:p>
    <w:p>
      <w:pPr>
        <w:spacing w:after="0" w:line="8" w:lineRule="exact"/>
        <w:rPr>
          <w:rFonts w:ascii="Arial" w:cs="Arial" w:eastAsia="Arial" w:hAnsi="Arial"/>
          <w:sz w:val="18"/>
          <w:szCs w:val="18"/>
          <w:u w:val="single" w:color="auto"/>
          <w:color w:val="0000FF"/>
        </w:rPr>
      </w:pPr>
    </w:p>
    <w:p>
      <w:pPr>
        <w:ind w:left="660" w:right="160" w:hanging="328"/>
        <w:spacing w:after="0" w:line="277" w:lineRule="auto"/>
        <w:tabs>
          <w:tab w:leader="none" w:pos="912" w:val="left"/>
        </w:tabs>
        <w:numPr>
          <w:ilvl w:val="0"/>
          <w:numId w:val="4"/>
        </w:numPr>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We may incur losses arising from our investments in technological innovators in the optical retail industry, which would negatively affect our</w:t>
        </w:r>
      </w:hyperlink>
      <w:r>
        <w:rPr>
          <w:rFonts w:ascii="Arial" w:cs="Arial" w:eastAsia="Arial" w:hAnsi="Arial"/>
          <w:sz w:val="18"/>
          <w:szCs w:val="18"/>
          <w:u w:val="single" w:color="auto"/>
          <w:color w:val="0000FF"/>
        </w:rPr>
        <w:t xml:space="preserve"> </w:t>
      </w:r>
      <w:hyperlink w:anchor="page38">
        <w:r>
          <w:rPr>
            <w:rFonts w:ascii="Arial" w:cs="Arial" w:eastAsia="Arial" w:hAnsi="Arial"/>
            <w:sz w:val="18"/>
            <w:szCs w:val="18"/>
            <w:u w:val="single" w:color="auto"/>
            <w:color w:val="0000FF"/>
          </w:rPr>
          <w:t>financial results.</w:t>
        </w:r>
      </w:hyperlink>
    </w:p>
    <w:p>
      <w:pPr>
        <w:spacing w:after="0" w:line="8"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4"/>
        </w:numPr>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We may not be able to adequately protect our intellectual property, which could harm the value of our brand and adversely affect our business.</w:t>
        </w:r>
      </w:hyperlink>
    </w:p>
    <w:p>
      <w:pPr>
        <w:spacing w:after="0" w:line="140" w:lineRule="exact"/>
        <w:rPr>
          <w:rFonts w:ascii="Arial" w:cs="Arial" w:eastAsia="Arial" w:hAnsi="Arial"/>
          <w:sz w:val="16"/>
          <w:szCs w:val="16"/>
          <w:u w:val="single" w:color="auto"/>
          <w:color w:val="0000FF"/>
        </w:rPr>
      </w:pPr>
    </w:p>
    <w:p>
      <w:pPr>
        <w:ind w:left="660" w:right="20" w:hanging="328"/>
        <w:spacing w:after="0" w:line="277" w:lineRule="auto"/>
        <w:tabs>
          <w:tab w:leader="none" w:pos="912" w:val="left"/>
        </w:tabs>
        <w:numPr>
          <w:ilvl w:val="0"/>
          <w:numId w:val="4"/>
        </w:numPr>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Environmental, social and governance (ESG) issues, including those related to climate change, could have a material adverse effect on our</w:t>
        </w:r>
      </w:hyperlink>
      <w:r>
        <w:rPr>
          <w:rFonts w:ascii="Arial" w:cs="Arial" w:eastAsia="Arial" w:hAnsi="Arial"/>
          <w:sz w:val="18"/>
          <w:szCs w:val="18"/>
          <w:u w:val="single" w:color="auto"/>
          <w:color w:val="0000FF"/>
        </w:rPr>
        <w:t xml:space="preserve"> </w:t>
      </w:r>
      <w:hyperlink w:anchor="page38">
        <w:r>
          <w:rPr>
            <w:rFonts w:ascii="Arial" w:cs="Arial" w:eastAsia="Arial" w:hAnsi="Arial"/>
            <w:sz w:val="18"/>
            <w:szCs w:val="18"/>
            <w:u w:val="single" w:color="auto"/>
            <w:color w:val="0000FF"/>
          </w:rPr>
          <w:t>business, financial condition and results of operations.</w:t>
        </w:r>
      </w:hyperlink>
    </w:p>
    <w:p>
      <w:pPr>
        <w:spacing w:after="0" w:line="62" w:lineRule="exact"/>
        <w:rPr>
          <w:rFonts w:ascii="Arial" w:cs="Arial" w:eastAsia="Arial" w:hAnsi="Arial"/>
          <w:sz w:val="18"/>
          <w:szCs w:val="18"/>
          <w:u w:val="single" w:color="auto"/>
          <w:color w:val="0000FF"/>
        </w:rPr>
      </w:pPr>
    </w:p>
    <w:p>
      <w:pPr>
        <w:ind w:left="860" w:hanging="528"/>
        <w:spacing w:after="0"/>
        <w:tabs>
          <w:tab w:leader="none" w:pos="860" w:val="left"/>
        </w:tabs>
        <w:numPr>
          <w:ilvl w:val="0"/>
          <w:numId w:val="4"/>
        </w:numPr>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Changing climate and weather patterns leading to severe weather and disasters may cause significant business interruptions and expenditures.</w:t>
        </w:r>
      </w:hyperlink>
    </w:p>
    <w:p>
      <w:pPr>
        <w:spacing w:after="0" w:line="136" w:lineRule="exact"/>
        <w:rPr>
          <w:rFonts w:ascii="Arial" w:cs="Arial" w:eastAsia="Arial" w:hAnsi="Arial"/>
          <w:sz w:val="18"/>
          <w:szCs w:val="18"/>
          <w:u w:val="single" w:color="auto"/>
          <w:color w:val="0000FF"/>
        </w:rPr>
      </w:pPr>
    </w:p>
    <w:p>
      <w:pPr>
        <w:ind w:left="80"/>
        <w:spacing w:after="0"/>
        <w:rPr>
          <w:sz w:val="20"/>
          <w:szCs w:val="20"/>
          <w:color w:val="auto"/>
        </w:rPr>
      </w:pPr>
      <w:r>
        <w:rPr>
          <w:rFonts w:ascii="Arial" w:cs="Arial" w:eastAsia="Arial" w:hAnsi="Arial"/>
          <w:sz w:val="18"/>
          <w:szCs w:val="18"/>
          <w:b w:val="1"/>
          <w:bCs w:val="1"/>
          <w:color w:val="auto"/>
        </w:rPr>
        <w:t>Risks Related to Our Indebtedness and Ownership of Common Stock</w:t>
      </w:r>
    </w:p>
    <w:p>
      <w:pPr>
        <w:spacing w:after="0" w:line="67" w:lineRule="exact"/>
        <w:rPr>
          <w:rFonts w:ascii="Arial" w:cs="Arial" w:eastAsia="Arial" w:hAnsi="Arial"/>
          <w:sz w:val="18"/>
          <w:szCs w:val="18"/>
          <w:u w:val="single" w:color="auto"/>
          <w:color w:val="0000FF"/>
        </w:rPr>
      </w:pPr>
    </w:p>
    <w:p>
      <w:pPr>
        <w:ind w:left="660" w:hanging="328"/>
        <w:spacing w:after="0" w:line="277" w:lineRule="auto"/>
        <w:tabs>
          <w:tab w:leader="none" w:pos="912" w:val="left"/>
        </w:tabs>
        <w:numPr>
          <w:ilvl w:val="0"/>
          <w:numId w:val="5"/>
        </w:numPr>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We have a significant amount of indebtedness which could adversely affect our business and financial position, including limiting our business</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flexibility and preventing us from meeting our debt obligations.</w:t>
        </w:r>
      </w:hyperlink>
    </w:p>
    <w:p>
      <w:pPr>
        <w:spacing w:after="0" w:line="8" w:lineRule="exact"/>
        <w:rPr>
          <w:rFonts w:ascii="Arial" w:cs="Arial" w:eastAsia="Arial" w:hAnsi="Arial"/>
          <w:sz w:val="18"/>
          <w:szCs w:val="18"/>
          <w:u w:val="single" w:color="auto"/>
          <w:color w:val="0000FF"/>
        </w:rPr>
      </w:pPr>
    </w:p>
    <w:p>
      <w:pPr>
        <w:ind w:left="660" w:hanging="328"/>
        <w:spacing w:after="0" w:line="277" w:lineRule="auto"/>
        <w:tabs>
          <w:tab w:leader="none" w:pos="912" w:val="left"/>
        </w:tabs>
        <w:numPr>
          <w:ilvl w:val="0"/>
          <w:numId w:val="5"/>
        </w:numPr>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A change in interest rates or discontinuation, reform or replacement of LIBOR and other benchmark rates, or uncertainty related to the</w:t>
        </w:r>
      </w:hyperlink>
      <w:r>
        <w:rPr>
          <w:rFonts w:ascii="Arial" w:cs="Arial" w:eastAsia="Arial" w:hAnsi="Arial"/>
          <w:sz w:val="18"/>
          <w:szCs w:val="18"/>
          <w:u w:val="single" w:color="auto"/>
          <w:color w:val="0000FF"/>
        </w:rPr>
        <w:t xml:space="preserve"> </w:t>
      </w:r>
      <w:hyperlink w:anchor="page40">
        <w:r>
          <w:rPr>
            <w:rFonts w:ascii="Arial" w:cs="Arial" w:eastAsia="Arial" w:hAnsi="Arial"/>
            <w:sz w:val="18"/>
            <w:szCs w:val="18"/>
            <w:u w:val="single" w:color="auto"/>
            <w:color w:val="0000FF"/>
          </w:rPr>
          <w:t>potential for any of the foregoing, may adversely affect our business.</w:t>
        </w:r>
      </w:hyperlink>
    </w:p>
    <w:p>
      <w:pPr>
        <w:spacing w:after="0" w:line="8"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5"/>
        </w:numPr>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Our credit agreement contains restrictions that limit our flexibility in operating our business.</w:t>
        </w:r>
      </w:hyperlink>
    </w:p>
    <w:p>
      <w:pPr>
        <w:spacing w:after="0" w:line="63" w:lineRule="exact"/>
        <w:rPr>
          <w:rFonts w:ascii="Arial" w:cs="Arial" w:eastAsia="Arial" w:hAnsi="Arial"/>
          <w:sz w:val="18"/>
          <w:szCs w:val="18"/>
          <w:u w:val="single" w:color="auto"/>
          <w:color w:val="0000FF"/>
        </w:rPr>
      </w:pPr>
    </w:p>
    <w:p>
      <w:pPr>
        <w:ind w:left="660" w:right="20" w:hanging="328"/>
        <w:spacing w:after="0" w:line="277" w:lineRule="auto"/>
        <w:tabs>
          <w:tab w:leader="none" w:pos="912" w:val="left"/>
        </w:tabs>
        <w:numPr>
          <w:ilvl w:val="0"/>
          <w:numId w:val="5"/>
        </w:numPr>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Conversion of the 2025 Notes could dilute the ownership interest of existing stockholders or may otherwise depress the price of our common</w:t>
        </w:r>
      </w:hyperlink>
      <w:r>
        <w:rPr>
          <w:rFonts w:ascii="Arial" w:cs="Arial" w:eastAsia="Arial" w:hAnsi="Arial"/>
          <w:sz w:val="18"/>
          <w:szCs w:val="18"/>
          <w:u w:val="single" w:color="auto"/>
          <w:color w:val="0000FF"/>
        </w:rPr>
        <w:t xml:space="preserve"> </w:t>
      </w:r>
      <w:hyperlink w:anchor="page41">
        <w:r>
          <w:rPr>
            <w:rFonts w:ascii="Arial" w:cs="Arial" w:eastAsia="Arial" w:hAnsi="Arial"/>
            <w:sz w:val="18"/>
            <w:szCs w:val="18"/>
            <w:u w:val="single" w:color="auto"/>
            <w:color w:val="0000FF"/>
          </w:rPr>
          <w:t>stock.</w:t>
        </w:r>
      </w:hyperlink>
    </w:p>
    <w:p>
      <w:pPr>
        <w:spacing w:after="0" w:line="62"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5"/>
        </w:numPr>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Our stock price may be volatile or may decline regardless of our operating performance.</w:t>
        </w:r>
      </w:hyperlink>
    </w:p>
    <w:p>
      <w:pPr>
        <w:spacing w:after="0" w:line="63" w:lineRule="exact"/>
        <w:rPr>
          <w:rFonts w:ascii="Arial" w:cs="Arial" w:eastAsia="Arial" w:hAnsi="Arial"/>
          <w:sz w:val="18"/>
          <w:szCs w:val="18"/>
          <w:u w:val="single" w:color="auto"/>
          <w:color w:val="0000FF"/>
        </w:rPr>
      </w:pPr>
    </w:p>
    <w:p>
      <w:pPr>
        <w:ind w:left="660" w:hanging="328"/>
        <w:spacing w:after="0" w:line="277" w:lineRule="auto"/>
        <w:tabs>
          <w:tab w:leader="none" w:pos="912" w:val="left"/>
        </w:tabs>
        <w:numPr>
          <w:ilvl w:val="0"/>
          <w:numId w:val="5"/>
        </w:numPr>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Because we have no current plans to pay cash dividends on our common stock, you may not receive any return on investment unless you sell</w:t>
        </w:r>
      </w:hyperlink>
      <w:r>
        <w:rPr>
          <w:rFonts w:ascii="Arial" w:cs="Arial" w:eastAsia="Arial" w:hAnsi="Arial"/>
          <w:sz w:val="18"/>
          <w:szCs w:val="18"/>
          <w:u w:val="single" w:color="auto"/>
          <w:color w:val="0000FF"/>
        </w:rPr>
        <w:t xml:space="preserve"> </w:t>
      </w:r>
      <w:hyperlink w:anchor="page41">
        <w:r>
          <w:rPr>
            <w:rFonts w:ascii="Arial" w:cs="Arial" w:eastAsia="Arial" w:hAnsi="Arial"/>
            <w:sz w:val="18"/>
            <w:szCs w:val="18"/>
            <w:u w:val="single" w:color="auto"/>
            <w:color w:val="0000FF"/>
          </w:rPr>
          <w:t>your common stock for a price greater than that which you paid for it.</w:t>
        </w:r>
      </w:hyperlink>
    </w:p>
    <w:p>
      <w:pPr>
        <w:spacing w:after="0" w:line="62" w:lineRule="exact"/>
        <w:rPr>
          <w:rFonts w:ascii="Arial" w:cs="Arial" w:eastAsia="Arial" w:hAnsi="Arial"/>
          <w:sz w:val="18"/>
          <w:szCs w:val="18"/>
          <w:u w:val="single" w:color="auto"/>
          <w:color w:val="0000FF"/>
        </w:rPr>
      </w:pPr>
    </w:p>
    <w:p>
      <w:pPr>
        <w:ind w:left="660" w:hanging="328"/>
        <w:spacing w:after="0" w:line="277" w:lineRule="auto"/>
        <w:tabs>
          <w:tab w:leader="none" w:pos="912" w:val="left"/>
        </w:tabs>
        <w:numPr>
          <w:ilvl w:val="0"/>
          <w:numId w:val="5"/>
        </w:numPr>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We are a holding company with no operations of our own and, as such, we depend on our subsidiaries for cash to fund all of our operations and</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expenses, including future dividend payments, if any.</w:t>
        </w:r>
      </w:hyperlink>
    </w:p>
    <w:p>
      <w:pPr>
        <w:spacing w:after="0" w:line="62" w:lineRule="exact"/>
        <w:rPr>
          <w:rFonts w:ascii="Arial" w:cs="Arial" w:eastAsia="Arial" w:hAnsi="Arial"/>
          <w:sz w:val="18"/>
          <w:szCs w:val="18"/>
          <w:u w:val="single" w:color="auto"/>
          <w:color w:val="0000FF"/>
        </w:rPr>
      </w:pPr>
    </w:p>
    <w:p>
      <w:pPr>
        <w:ind w:left="660" w:hanging="328"/>
        <w:spacing w:after="0" w:line="277" w:lineRule="auto"/>
        <w:tabs>
          <w:tab w:leader="none" w:pos="912" w:val="left"/>
        </w:tabs>
        <w:numPr>
          <w:ilvl w:val="0"/>
          <w:numId w:val="5"/>
        </w:numPr>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If securities or industry analysts do not publish research or reports about our business or if they downgrade our stock or our sector, our stock</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price and trading volume could decline.</w:t>
        </w:r>
      </w:hyperlink>
    </w:p>
    <w:p>
      <w:pPr>
        <w:spacing w:after="0" w:line="62" w:lineRule="exact"/>
        <w:rPr>
          <w:rFonts w:ascii="Arial" w:cs="Arial" w:eastAsia="Arial" w:hAnsi="Arial"/>
          <w:sz w:val="18"/>
          <w:szCs w:val="18"/>
          <w:u w:val="single" w:color="auto"/>
          <w:color w:val="0000FF"/>
        </w:rPr>
      </w:pPr>
    </w:p>
    <w:p>
      <w:pPr>
        <w:ind w:left="660" w:hanging="328"/>
        <w:spacing w:after="0" w:line="277" w:lineRule="auto"/>
        <w:tabs>
          <w:tab w:leader="none" w:pos="912" w:val="left"/>
        </w:tabs>
        <w:numPr>
          <w:ilvl w:val="0"/>
          <w:numId w:val="5"/>
        </w:numPr>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Maintaining the requirements of being a public company may strain our resources, divert management’s attention and affect our ability to</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attract and retain qualified board members.</w:t>
        </w:r>
      </w:hyperlink>
    </w:p>
    <w:p>
      <w:pPr>
        <w:spacing w:after="0" w:line="62" w:lineRule="exact"/>
        <w:rPr>
          <w:rFonts w:ascii="Arial" w:cs="Arial" w:eastAsia="Arial" w:hAnsi="Arial"/>
          <w:sz w:val="18"/>
          <w:szCs w:val="18"/>
          <w:u w:val="single" w:color="auto"/>
          <w:color w:val="0000FF"/>
        </w:rPr>
      </w:pPr>
    </w:p>
    <w:p>
      <w:pPr>
        <w:ind w:left="660" w:hanging="328"/>
        <w:spacing w:after="0" w:line="277" w:lineRule="auto"/>
        <w:tabs>
          <w:tab w:leader="none" w:pos="912" w:val="left"/>
        </w:tabs>
        <w:numPr>
          <w:ilvl w:val="0"/>
          <w:numId w:val="5"/>
        </w:numPr>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Ineffective internal controls could have a material adverse effect on our business and stock price, and could result in our financial statements</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becoming unreliable.</w:t>
        </w:r>
      </w:hyperlink>
    </w:p>
    <w:p>
      <w:pPr>
        <w:spacing w:after="0" w:line="62"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5"/>
        </w:numPr>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Anti-takeover provisions in our organizational documents could delay or prevent a change of control.</w:t>
        </w:r>
      </w:hyperlink>
    </w:p>
    <w:p>
      <w:pPr>
        <w:spacing w:after="0" w:line="117"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5"/>
        </w:numPr>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Our Board of Directors is authorized to issue and designate shares of our preferred stock in additional series without stockholder approval.</w:t>
        </w:r>
      </w:hyperlink>
    </w:p>
    <w:p>
      <w:pPr>
        <w:spacing w:after="0" w:line="140" w:lineRule="exact"/>
        <w:rPr>
          <w:rFonts w:ascii="Arial" w:cs="Arial" w:eastAsia="Arial" w:hAnsi="Arial"/>
          <w:sz w:val="16"/>
          <w:szCs w:val="16"/>
          <w:u w:val="single" w:color="auto"/>
          <w:color w:val="0000FF"/>
        </w:rPr>
      </w:pPr>
    </w:p>
    <w:p>
      <w:pPr>
        <w:jc w:val="both"/>
        <w:ind w:left="660" w:hanging="328"/>
        <w:spacing w:after="0" w:line="263" w:lineRule="auto"/>
        <w:tabs>
          <w:tab w:leader="none" w:pos="912" w:val="left"/>
        </w:tabs>
        <w:numPr>
          <w:ilvl w:val="0"/>
          <w:numId w:val="5"/>
        </w:numPr>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Our amended and restated certificate of incorporation provides, subject to limited exceptions, that the Court of Chancery of the State of</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Delaware will be the sole and exclusive forum for certain stockholder litigation matters, which could limit our stockholders’ ability to obtain a</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favorable judicial forum for disputes with us or our directors, officers, associates or stockholders.</w:t>
        </w:r>
      </w:hyperlink>
    </w:p>
    <w:p>
      <w:pPr>
        <w:spacing w:after="0" w:line="200" w:lineRule="exact"/>
        <w:rPr>
          <w:rFonts w:ascii="Arial" w:cs="Arial" w:eastAsia="Arial" w:hAnsi="Arial"/>
          <w:sz w:val="18"/>
          <w:szCs w:val="18"/>
          <w:u w:val="single" w:color="auto"/>
          <w:color w:val="0000FF"/>
        </w:rPr>
      </w:pPr>
    </w:p>
    <w:p>
      <w:pPr>
        <w:spacing w:after="0" w:line="308"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National Vision Holdings, Inc., a Delaware corporation, and its consolidated subsidiaries are referred to here as “we,” “our,” “us,” “the Company,” or “National Vision.” National Vision Holdings, Inc. conducts substantially all of its activities through its indirect, wholly-owned subsidiary, National Vision, Inc. (“NVI”), and NVI’s subsidiaries.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u w:val="single" w:color="auto"/>
          <w:color w:val="0563C1"/>
        </w:rPr>
        <w:t>www.nationalvision.com</w:t>
      </w:r>
      <w:r>
        <w:rPr>
          <w:rFonts w:ascii="Arial" w:cs="Arial" w:eastAsia="Arial" w:hAnsi="Arial"/>
          <w:sz w:val="18"/>
          <w:szCs w:val="18"/>
          <w:color w:val="auto"/>
        </w:rPr>
        <w:t>. Investors can obtain copies of our SEC filings from this site free of charge, as well as from the SEC website at www.sec.gov. The information posted to our website is not incorporated into this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regardless of their budget. Our mission is to make quality eye care and eyewear affordable and accessible to all Americans. We achieve this by providing eye exams, eyeglasses and contact lenses to value seeking and lower income consumers. We deliver exceptional value and convenience to our customers, with an opening price point that strives to be among the lowest in the industry, enabled by our low-cost operating platform. We reach our customers through a diverse portfolio of 1,278 retail stores across five brands and 18 consumer websites as of January 1, 2022, our 2021 fiscal year end.</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common stock trades on the NASDAQ Global Select Market (“NASDAQ”) under the symbol “EYE.” Our principal executive offices are located at 2435 Commerce Avenue, Bldg. 2200, Duluth, Georgia 30096.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History</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its predecessors, NVI commenced operations in 1990. In 2005, private equity funds managed by Berkshire Partners LLC (“Berkshire”) acquired both NVI and Consolidated Vision Group, Inc., which operated America’s Best Contacts and Eyeglasses (“America’s Best”) stores, and merged these entities, with NVI surviving. In 2009, NVI acquired the Eyeglass World store chain. In 2011, after a multi-year partnership, NVI acquired Arlington Contact Lens Service, Inc. (“AC Lens”) to bolster its e-commerce platform.</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2014, NVI was acquired (the “KKR Acquisition”) by affiliates of KKR &amp; Co. Inc. (“KKR”). National Vision Holdings, Inc. was incorporated in Delaware on February 14, 2014 under the name “Nautilus Parent, Inc.” and NVI became our wholly-owned subsidiary in connection with the KKR Acquisition. In 2017, we changed our name to “National Vision Holdings, Inc.”</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October 2017, we completed the initial public offering of our common stock (the “IPO”). National Vision was controlled by affiliates of KKR and private equity funds managed by Berkshire until July 30, 2018 and by August 2019, these private equity funds had sold their remaining holds of our common stock.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history of profitable growth is founded on a commitment to a relatively simple business model: providing exceptional value and convenience to customers, enabled by our low-cost operating platform. Our disciplined approach to new store openings, combined with our attractive store economics, has led to strong returns on investment. The following chart depicts our new store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57150</wp:posOffset>
            </wp:positionV>
            <wp:extent cx="5349240" cy="2366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Note: Represents stores in operations across all five company retail brands at the end of each fiscal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fundamentals of our model are described below:</w:t>
      </w:r>
    </w:p>
    <w:p>
      <w:pPr>
        <w:spacing w:after="0" w:line="117" w:lineRule="exact"/>
        <w:rPr>
          <w:sz w:val="20"/>
          <w:szCs w:val="20"/>
          <w:color w:val="auto"/>
        </w:rPr>
      </w:pPr>
    </w:p>
    <w:p>
      <w:pPr>
        <w:jc w:val="both"/>
        <w:ind w:left="660" w:hanging="328"/>
        <w:spacing w:after="0" w:line="254" w:lineRule="auto"/>
        <w:tabs>
          <w:tab w:leader="none" w:pos="65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Differentiated and Defensible Value Proposition</w:t>
      </w:r>
      <w:r>
        <w:rPr>
          <w:rFonts w:ascii="Arial" w:cs="Arial" w:eastAsia="Arial" w:hAnsi="Arial"/>
          <w:sz w:val="18"/>
          <w:szCs w:val="18"/>
          <w:color w:val="auto"/>
        </w:rPr>
        <w:t>. We believe our success is driven by our low prices, convenient locations, broad assortment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 at Eyeglass World, are among the lowest price offerings of any national chain. Our ability to utilize national advertising for America’s Best allows us to communicate this value proposition to a meaningfully greater number of current and potential customers. We believe that our value proposition will continue to drive comparable store sales growth as we attract new customers and increase loyalty with existing customers.</w:t>
      </w:r>
    </w:p>
    <w:p>
      <w:pPr>
        <w:spacing w:after="0" w:line="86" w:lineRule="exact"/>
        <w:rPr>
          <w:rFonts w:ascii="Arial" w:cs="Arial" w:eastAsia="Arial" w:hAnsi="Arial"/>
          <w:sz w:val="18"/>
          <w:szCs w:val="18"/>
          <w:b w:val="1"/>
          <w:bCs w:val="1"/>
          <w:i w:val="1"/>
          <w:iCs w:val="1"/>
          <w:color w:val="auto"/>
        </w:rPr>
      </w:pPr>
    </w:p>
    <w:p>
      <w:pPr>
        <w:jc w:val="both"/>
        <w:ind w:left="660" w:hanging="328"/>
        <w:spacing w:after="0" w:line="25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Recurring Revenue Characteristics</w:t>
      </w:r>
      <w:r>
        <w:rPr>
          <w:rFonts w:ascii="Arial" w:cs="Arial" w:eastAsia="Arial" w:hAnsi="Arial"/>
          <w:sz w:val="18"/>
          <w:szCs w:val="18"/>
          <w:color w:val="auto"/>
        </w:rPr>
        <w:t>. Eye care purchases are predominantly a medical necessity and are therefore considered non-discretionary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64% of total customers in 2021 and new customers representing the remaining 36% of total customers in 2021.</w:t>
      </w:r>
    </w:p>
    <w:p>
      <w:pPr>
        <w:spacing w:after="0" w:line="79" w:lineRule="exact"/>
        <w:rPr>
          <w:rFonts w:ascii="Arial" w:cs="Arial" w:eastAsia="Arial" w:hAnsi="Arial"/>
          <w:sz w:val="18"/>
          <w:szCs w:val="18"/>
          <w:color w:val="auto"/>
        </w:rPr>
      </w:pPr>
    </w:p>
    <w:p>
      <w:pPr>
        <w:jc w:val="both"/>
        <w:ind w:left="660" w:hanging="328"/>
        <w:spacing w:after="0" w:line="288" w:lineRule="auto"/>
        <w:tabs>
          <w:tab w:leader="none" w:pos="655"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Attractive Store Economics</w:t>
      </w:r>
      <w:r>
        <w:rPr>
          <w:rFonts w:ascii="Arial" w:cs="Arial" w:eastAsia="Arial" w:hAnsi="Arial"/>
          <w:sz w:val="16"/>
          <w:szCs w:val="16"/>
          <w:color w:val="auto"/>
        </w:rPr>
        <w:t>. Since 2006, we have opened 850 stores in the aggregate, including 820 stores under our America’s Best and Eyeglass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 retail brands. Our store economics are based on low capital investment, steady ramping of sales in new locations, low operating costs and consistent sales volume and earnings growth in mature stores, which result in attractive returns on capital. By consistently replicating the key characteristics of our store model, we execute a formula-based approach to opening new stores and managing existing stores, which has delivered predictable store performance across vintages, diverse geographies and new and existing markets. Our new store model targets a store size between 3,500 to 4,500 square feet and an average new store cash investment of approximately $0.4 million to $0.5 million, in furniture, fixtures, leaseholds and equipment for new stores, net of tenant incentives. Our new store model targets sales in the fifth year of operation in the range of $1.4 million to $1.6 million, with at least 60% of year five sales targeted in the first full year of operation. Our new store model targets vary for America’s Best and Eyeglass World stores to reflect differences by brand, markets and geography. The majority of our owned stores have achieved profitability during the second year of operation and have paid back invested capital in three to five years.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288"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Our Store Base. </w:t>
      </w:r>
      <w:r>
        <w:rPr>
          <w:rFonts w:ascii="Arial" w:cs="Arial" w:eastAsia="Arial" w:hAnsi="Arial"/>
          <w:sz w:val="16"/>
          <w:szCs w:val="16"/>
          <w:color w:val="auto"/>
        </w:rPr>
        <w:t>We believe that we continue to have significant expansion opportunities in the United States. We have adopted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disciplined expansion strategy designed to leverage the strengths of our compelling and distinct value proposition and recognized America’s Best and Eyeglass World brand names to develop new stores successfully in an array of markets that are primed for growth, including new, existing, small and large markets. We have an established partnership with a third party real estate data analytics firm to evaluate potential new America’s Best and Eyeglass World stores and most recently updated our analysis during 2020. The analysis suggests that we can grow America’s Best to at least 1,300 stores and Eyeglass World to at least 850 stores, inclusive of those already open. We believe that these two brands can accordingly grow from 965 stores as of January 1, 2022 to a total of at least 2,150 stores, with similar economics to the existing store base. From time to time we work with the data analytics firm to update the analysis of our expansion opportunities. We believe that our consistent track record of successfully opening stores across vintages, geographies and markets demonstrates our ability to further increase our store count and, as a result, we believe that our current level of new store growth of at least 75 stores per annum is sustainable for the foreseeable future.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two reportable segments: our Owned &amp; Host segment and our Legacy segment. Our Owned &amp; Host segment includes our two owned brands, America’s Best and Eyeglass World, and our Vista Optical locations in select Fred Meyer stores. Within this segment, we also provide low-cost vision care products and services to American military service members by operating Vista Optical locations on select military bases across the country. Our Legacy segment consists of our long-term strategic relationship with Walmart to operate Vision Centers in select Walmart stores. In addition, our wholly-owned subsidiary, FirstSight Vision Services, Inc. (“FirstSight”), which is licensed as a single-service health plan under California law, issues individual vision plans in connection with our America’s Best operations in California and arranges for the provision of optometric services at optometric offices next to certain Walmart stores throughout California. We support our owned brands and our Vista Optical military operations through our omni-channel offerings and we also have an established standalone e-commerce business. Our e-commerce platform, which is managed by our wholly-owned subsidiary AC Lens, serves our proprietary e-commerce websites and the e-commerce websites of third parties, including Walmart, Sam’s Club and Giant Eagle. AC Lens handles site management, customer relationship management and order fulfillment and also sells a wide variety of contact lenses, eyeglasses and eye care accessories.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an overview of our portfolio of brands: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Our Brands and Omni-channel &amp; E-commerce Platform</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0" w:type="dxa"/>
            <w:vAlign w:val="bottom"/>
            <w:tcBorders>
              <w:top w:val="single" w:sz="8" w:color="ACACAC"/>
            </w:tcBorders>
            <w:shd w:val="clear" w:color="auto" w:fill="ACACAC"/>
          </w:tcPr>
          <w:p>
            <w:pPr>
              <w:spacing w:after="0"/>
              <w:rPr>
                <w:sz w:val="22"/>
                <w:szCs w:val="22"/>
                <w:color w:val="auto"/>
              </w:rPr>
            </w:pPr>
          </w:p>
        </w:tc>
        <w:tc>
          <w:tcPr>
            <w:tcW w:w="1640" w:type="dxa"/>
            <w:vAlign w:val="bottom"/>
            <w:tcBorders>
              <w:top w:val="single" w:sz="8" w:color="ACACAC"/>
            </w:tcBorders>
            <w:shd w:val="clear" w:color="auto" w:fill="CCEEFF"/>
          </w:tcPr>
          <w:p>
            <w:pPr>
              <w:spacing w:after="0"/>
              <w:rPr>
                <w:sz w:val="22"/>
                <w:szCs w:val="22"/>
                <w:color w:val="auto"/>
              </w:rPr>
            </w:pPr>
          </w:p>
        </w:tc>
        <w:tc>
          <w:tcPr>
            <w:tcW w:w="5280" w:type="dxa"/>
            <w:vAlign w:val="bottom"/>
            <w:tcBorders>
              <w:top w:val="single" w:sz="8" w:color="ACACAC"/>
            </w:tcBorders>
            <w:gridSpan w:val="2"/>
            <w:shd w:val="clear" w:color="auto" w:fill="CCEEFF"/>
          </w:tcPr>
          <w:p>
            <w:pPr>
              <w:ind w:left="2040"/>
              <w:spacing w:after="0"/>
              <w:rPr>
                <w:sz w:val="20"/>
                <w:szCs w:val="20"/>
                <w:color w:val="auto"/>
              </w:rPr>
            </w:pPr>
            <w:r>
              <w:rPr>
                <w:rFonts w:ascii="Arial" w:cs="Arial" w:eastAsia="Arial" w:hAnsi="Arial"/>
                <w:sz w:val="15"/>
                <w:szCs w:val="15"/>
                <w:b w:val="1"/>
                <w:bCs w:val="1"/>
                <w:color w:val="auto"/>
              </w:rPr>
              <w:t>Owned &amp; Host Brands</w:t>
            </w:r>
          </w:p>
        </w:tc>
        <w:tc>
          <w:tcPr>
            <w:tcW w:w="2040" w:type="dxa"/>
            <w:vAlign w:val="bottom"/>
            <w:tcBorders>
              <w:top w:val="single" w:sz="8" w:color="ACACAC"/>
            </w:tcBorders>
            <w:shd w:val="clear" w:color="auto" w:fill="CCEEFF"/>
          </w:tcPr>
          <w:p>
            <w:pPr>
              <w:spacing w:after="0"/>
              <w:rPr>
                <w:sz w:val="22"/>
                <w:szCs w:val="22"/>
                <w:color w:val="auto"/>
              </w:rPr>
            </w:pPr>
          </w:p>
        </w:tc>
        <w:tc>
          <w:tcPr>
            <w:tcW w:w="2040" w:type="dxa"/>
            <w:vAlign w:val="bottom"/>
            <w:tcBorders>
              <w:top w:val="single" w:sz="8" w:color="ACACAC"/>
            </w:tcBorders>
            <w:shd w:val="clear" w:color="auto" w:fill="D4D6D7"/>
          </w:tcPr>
          <w:p>
            <w:pPr>
              <w:jc w:val="center"/>
              <w:spacing w:after="0"/>
              <w:rPr>
                <w:sz w:val="20"/>
                <w:szCs w:val="20"/>
                <w:color w:val="auto"/>
              </w:rPr>
            </w:pPr>
            <w:r>
              <w:rPr>
                <w:rFonts w:ascii="Arial" w:cs="Arial" w:eastAsia="Arial" w:hAnsi="Arial"/>
                <w:sz w:val="15"/>
                <w:szCs w:val="15"/>
                <w:b w:val="1"/>
                <w:bCs w:val="1"/>
                <w:color w:val="auto"/>
              </w:rPr>
              <w:t>Legacy</w:t>
            </w:r>
          </w:p>
        </w:tc>
        <w:tc>
          <w:tcPr>
            <w:tcW w:w="120" w:type="dxa"/>
            <w:vAlign w:val="bottom"/>
            <w:tcBorders>
              <w:top w:val="single" w:sz="8" w:color="ACACAC"/>
            </w:tcBorders>
            <w:shd w:val="clear" w:color="auto" w:fill="ACACAC"/>
          </w:tcPr>
          <w:p>
            <w:pPr>
              <w:spacing w:after="0"/>
              <w:rPr>
                <w:sz w:val="22"/>
                <w:szCs w:val="22"/>
                <w:color w:val="auto"/>
              </w:rPr>
            </w:pPr>
          </w:p>
        </w:tc>
        <w:tc>
          <w:tcPr>
            <w:tcW w:w="0" w:type="dxa"/>
            <w:vAlign w:val="bottom"/>
          </w:tcPr>
          <w:p>
            <w:pPr>
              <w:spacing w:after="0"/>
              <w:rPr>
                <w:sz w:val="1"/>
                <w:szCs w:val="1"/>
                <w:color w:val="auto"/>
              </w:rPr>
            </w:pPr>
          </w:p>
        </w:tc>
      </w:tr>
      <w:tr>
        <w:trPr>
          <w:trHeight w:val="648"/>
        </w:trPr>
        <w:tc>
          <w:tcPr>
            <w:tcW w:w="120" w:type="dxa"/>
            <w:vAlign w:val="bottom"/>
            <w:shd w:val="clear" w:color="auto" w:fill="ACACAC"/>
          </w:tcPr>
          <w:p>
            <w:pPr>
              <w:spacing w:after="0"/>
              <w:rPr>
                <w:sz w:val="24"/>
                <w:szCs w:val="24"/>
                <w:color w:val="auto"/>
              </w:rPr>
            </w:pPr>
          </w:p>
        </w:tc>
        <w:tc>
          <w:tcPr>
            <w:tcW w:w="1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vMerge w:val="restart"/>
            <w:shd w:val="clear" w:color="auto" w:fill="ACACAC"/>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ACACAC"/>
          </w:tcPr>
          <w:p>
            <w:pPr>
              <w:spacing w:after="0"/>
              <w:rPr>
                <w:sz w:val="17"/>
                <w:szCs w:val="17"/>
                <w:color w:val="auto"/>
              </w:rPr>
            </w:pPr>
          </w:p>
        </w:tc>
        <w:tc>
          <w:tcPr>
            <w:tcW w:w="1640" w:type="dxa"/>
            <w:vAlign w:val="bottom"/>
            <w:shd w:val="clear" w:color="auto" w:fill="CCEEFF"/>
          </w:tcPr>
          <w:p>
            <w:pPr>
              <w:jc w:val="center"/>
              <w:ind w:left="475"/>
              <w:spacing w:after="0"/>
              <w:rPr>
                <w:sz w:val="20"/>
                <w:szCs w:val="20"/>
                <w:color w:val="auto"/>
              </w:rPr>
            </w:pPr>
            <w:r>
              <w:rPr>
                <w:rFonts w:ascii="Arial" w:cs="Arial" w:eastAsia="Arial" w:hAnsi="Arial"/>
                <w:sz w:val="15"/>
                <w:szCs w:val="15"/>
                <w:b w:val="1"/>
                <w:bCs w:val="1"/>
                <w:color w:val="auto"/>
              </w:rPr>
              <w:t>Lowest Price</w:t>
            </w:r>
          </w:p>
        </w:tc>
        <w:tc>
          <w:tcPr>
            <w:tcW w:w="2620" w:type="dxa"/>
            <w:vAlign w:val="bottom"/>
            <w:shd w:val="clear" w:color="auto" w:fill="CCEEFF"/>
          </w:tcPr>
          <w:p>
            <w:pPr>
              <w:jc w:val="center"/>
              <w:ind w:left="633"/>
              <w:spacing w:after="0"/>
              <w:rPr>
                <w:sz w:val="20"/>
                <w:szCs w:val="20"/>
                <w:color w:val="auto"/>
              </w:rPr>
            </w:pPr>
            <w:r>
              <w:rPr>
                <w:rFonts w:ascii="Arial" w:cs="Arial" w:eastAsia="Arial" w:hAnsi="Arial"/>
                <w:sz w:val="15"/>
                <w:szCs w:val="15"/>
                <w:b w:val="1"/>
                <w:bCs w:val="1"/>
                <w:color w:val="auto"/>
              </w:rPr>
              <w:t>Eyewear Value Superstore</w:t>
            </w:r>
          </w:p>
        </w:tc>
        <w:tc>
          <w:tcPr>
            <w:tcW w:w="266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Shop-Within-A-Shop</w:t>
            </w:r>
          </w:p>
        </w:tc>
        <w:tc>
          <w:tcPr>
            <w:tcW w:w="2040" w:type="dxa"/>
            <w:vAlign w:val="bottom"/>
            <w:shd w:val="clear" w:color="auto" w:fill="CCEEFF"/>
          </w:tcPr>
          <w:p>
            <w:pPr>
              <w:jc w:val="center"/>
              <w:ind w:right="94"/>
              <w:spacing w:after="0"/>
              <w:rPr>
                <w:sz w:val="20"/>
                <w:szCs w:val="20"/>
                <w:color w:val="auto"/>
              </w:rPr>
            </w:pPr>
            <w:r>
              <w:rPr>
                <w:rFonts w:ascii="Arial" w:cs="Arial" w:eastAsia="Arial" w:hAnsi="Arial"/>
                <w:sz w:val="15"/>
                <w:szCs w:val="15"/>
                <w:b w:val="1"/>
                <w:bCs w:val="1"/>
                <w:color w:val="auto"/>
              </w:rPr>
              <w:t>Commissary Store</w:t>
            </w:r>
          </w:p>
        </w:tc>
        <w:tc>
          <w:tcPr>
            <w:tcW w:w="2040" w:type="dxa"/>
            <w:vAlign w:val="bottom"/>
            <w:shd w:val="clear" w:color="auto" w:fill="D4D6D7"/>
          </w:tcPr>
          <w:p>
            <w:pPr>
              <w:jc w:val="center"/>
              <w:spacing w:after="0"/>
              <w:rPr>
                <w:sz w:val="20"/>
                <w:szCs w:val="20"/>
                <w:color w:val="auto"/>
              </w:rPr>
            </w:pPr>
            <w:r>
              <w:rPr>
                <w:rFonts w:ascii="Arial" w:cs="Arial" w:eastAsia="Arial" w:hAnsi="Arial"/>
                <w:sz w:val="15"/>
                <w:szCs w:val="15"/>
                <w:b w:val="1"/>
                <w:bCs w:val="1"/>
                <w:color w:val="auto"/>
              </w:rPr>
              <w:t>Shop-Within-A-Shop</w:t>
            </w:r>
          </w:p>
        </w:tc>
        <w:tc>
          <w:tcPr>
            <w:tcW w:w="12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120" w:type="dxa"/>
            <w:vAlign w:val="bottom"/>
            <w:shd w:val="clear" w:color="auto" w:fill="ACACAC"/>
          </w:tcPr>
          <w:p>
            <w:pPr>
              <w:spacing w:after="0"/>
              <w:rPr>
                <w:sz w:val="24"/>
                <w:szCs w:val="24"/>
                <w:color w:val="auto"/>
              </w:rPr>
            </w:pPr>
          </w:p>
        </w:tc>
        <w:tc>
          <w:tcPr>
            <w:tcW w:w="1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3"/>
                <w:szCs w:val="13"/>
                <w:i w:val="1"/>
                <w:iCs w:val="1"/>
                <w:color w:val="auto"/>
                <w:w w:val="95"/>
              </w:rPr>
              <w:t>“Great Deals Everywhere You Look”</w:t>
            </w:r>
          </w:p>
        </w:tc>
        <w:tc>
          <w:tcPr>
            <w:tcW w:w="2040" w:type="dxa"/>
            <w:vAlign w:val="bottom"/>
          </w:tcPr>
          <w:p>
            <w:pPr>
              <w:jc w:val="center"/>
              <w:ind w:right="94"/>
              <w:spacing w:after="0"/>
              <w:rPr>
                <w:sz w:val="20"/>
                <w:szCs w:val="20"/>
                <w:color w:val="auto"/>
              </w:rPr>
            </w:pPr>
            <w:r>
              <w:rPr>
                <w:rFonts w:ascii="Arial" w:cs="Arial" w:eastAsia="Arial" w:hAnsi="Arial"/>
                <w:sz w:val="13"/>
                <w:szCs w:val="13"/>
                <w:i w:val="1"/>
                <w:iCs w:val="1"/>
                <w:color w:val="auto"/>
                <w:w w:val="96"/>
              </w:rPr>
              <w:t>“Fantastic Military Pricing”</w:t>
            </w:r>
          </w:p>
        </w:tc>
        <w:tc>
          <w:tcPr>
            <w:tcW w:w="2040" w:type="dxa"/>
            <w:vAlign w:val="bottom"/>
          </w:tcPr>
          <w:p>
            <w:pPr>
              <w:jc w:val="center"/>
              <w:spacing w:after="0"/>
              <w:rPr>
                <w:sz w:val="20"/>
                <w:szCs w:val="20"/>
                <w:color w:val="auto"/>
              </w:rPr>
            </w:pPr>
            <w:r>
              <w:rPr>
                <w:rFonts w:ascii="Arial" w:cs="Arial" w:eastAsia="Arial" w:hAnsi="Arial"/>
                <w:sz w:val="13"/>
                <w:szCs w:val="13"/>
                <w:i w:val="1"/>
                <w:iCs w:val="1"/>
                <w:color w:val="auto"/>
                <w:w w:val="97"/>
              </w:rPr>
              <w:t>“Everyday Low Price”</w:t>
            </w:r>
          </w:p>
        </w:tc>
        <w:tc>
          <w:tcPr>
            <w:tcW w:w="120" w:type="dxa"/>
            <w:vAlign w:val="bottom"/>
            <w:shd w:val="clear" w:color="auto" w:fill="ACACAC"/>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20" w:type="dxa"/>
            <w:vAlign w:val="bottom"/>
            <w:shd w:val="clear" w:color="auto" w:fill="ACACAC"/>
          </w:tcPr>
          <w:p>
            <w:pPr>
              <w:spacing w:after="0"/>
              <w:rPr>
                <w:sz w:val="24"/>
                <w:szCs w:val="24"/>
                <w:color w:val="auto"/>
              </w:rPr>
            </w:pPr>
          </w:p>
        </w:tc>
        <w:tc>
          <w:tcPr>
            <w:tcW w:w="1640" w:type="dxa"/>
            <w:vAlign w:val="bottom"/>
          </w:tcPr>
          <w:p>
            <w:pPr>
              <w:jc w:val="center"/>
              <w:ind w:left="475"/>
              <w:spacing w:after="0"/>
              <w:rPr>
                <w:sz w:val="20"/>
                <w:szCs w:val="20"/>
                <w:color w:val="auto"/>
              </w:rPr>
            </w:pPr>
            <w:r>
              <w:rPr>
                <w:rFonts w:ascii="Arial" w:cs="Arial" w:eastAsia="Arial" w:hAnsi="Arial"/>
                <w:sz w:val="13"/>
                <w:szCs w:val="13"/>
                <w:b w:val="1"/>
                <w:bCs w:val="1"/>
                <w:color w:val="auto"/>
                <w:w w:val="97"/>
              </w:rPr>
              <w:t>Employed ODs</w:t>
            </w:r>
          </w:p>
        </w:tc>
        <w:tc>
          <w:tcPr>
            <w:tcW w:w="2620" w:type="dxa"/>
            <w:vAlign w:val="bottom"/>
          </w:tcPr>
          <w:p>
            <w:pPr>
              <w:jc w:val="center"/>
              <w:ind w:left="633"/>
              <w:spacing w:after="0"/>
              <w:rPr>
                <w:sz w:val="20"/>
                <w:szCs w:val="20"/>
                <w:color w:val="auto"/>
              </w:rPr>
            </w:pPr>
            <w:r>
              <w:rPr>
                <w:rFonts w:ascii="Arial" w:cs="Arial" w:eastAsia="Arial" w:hAnsi="Arial"/>
                <w:sz w:val="13"/>
                <w:szCs w:val="13"/>
                <w:b w:val="1"/>
                <w:bCs w:val="1"/>
                <w:color w:val="auto"/>
                <w:w w:val="97"/>
              </w:rPr>
              <w:t>Mostly Independent ODs</w:t>
            </w: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7"/>
              </w:rPr>
              <w:t>Mostly Independent ODs</w:t>
            </w:r>
          </w:p>
        </w:tc>
        <w:tc>
          <w:tcPr>
            <w:tcW w:w="2040" w:type="dxa"/>
            <w:vAlign w:val="bottom"/>
          </w:tcPr>
          <w:p>
            <w:pPr>
              <w:jc w:val="center"/>
              <w:ind w:right="94"/>
              <w:spacing w:after="0"/>
              <w:rPr>
                <w:sz w:val="20"/>
                <w:szCs w:val="20"/>
                <w:color w:val="auto"/>
              </w:rPr>
            </w:pPr>
            <w:r>
              <w:rPr>
                <w:rFonts w:ascii="Arial" w:cs="Arial" w:eastAsia="Arial" w:hAnsi="Arial"/>
                <w:sz w:val="13"/>
                <w:szCs w:val="13"/>
                <w:b w:val="1"/>
                <w:bCs w:val="1"/>
                <w:color w:val="auto"/>
                <w:w w:val="97"/>
              </w:rPr>
              <w:t>Mostly Independent ODs</w:t>
            </w:r>
          </w:p>
        </w:tc>
        <w:tc>
          <w:tcPr>
            <w:tcW w:w="2040" w:type="dxa"/>
            <w:vAlign w:val="bottom"/>
          </w:tcPr>
          <w:p>
            <w:pPr>
              <w:jc w:val="center"/>
              <w:spacing w:after="0"/>
              <w:rPr>
                <w:sz w:val="20"/>
                <w:szCs w:val="20"/>
                <w:color w:val="auto"/>
              </w:rPr>
            </w:pPr>
            <w:r>
              <w:rPr>
                <w:rFonts w:ascii="Arial" w:cs="Arial" w:eastAsia="Arial" w:hAnsi="Arial"/>
                <w:sz w:val="13"/>
                <w:szCs w:val="13"/>
                <w:b w:val="1"/>
                <w:bCs w:val="1"/>
                <w:color w:val="auto"/>
                <w:w w:val="97"/>
              </w:rPr>
              <w:t>Mostly Independent ODs</w:t>
            </w:r>
          </w:p>
        </w:tc>
        <w:tc>
          <w:tcPr>
            <w:tcW w:w="120" w:type="dxa"/>
            <w:vAlign w:val="bottom"/>
            <w:shd w:val="clear" w:color="auto" w:fill="ACACAC"/>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0" w:type="dxa"/>
            <w:vAlign w:val="bottom"/>
            <w:shd w:val="clear" w:color="auto" w:fill="ACACAC"/>
          </w:tcPr>
          <w:p>
            <w:pPr>
              <w:spacing w:after="0"/>
              <w:rPr>
                <w:sz w:val="15"/>
                <w:szCs w:val="15"/>
                <w:color w:val="auto"/>
              </w:rPr>
            </w:pPr>
          </w:p>
        </w:tc>
        <w:tc>
          <w:tcPr>
            <w:tcW w:w="1640" w:type="dxa"/>
            <w:vAlign w:val="bottom"/>
          </w:tcPr>
          <w:p>
            <w:pPr>
              <w:jc w:val="center"/>
              <w:ind w:left="495"/>
              <w:spacing w:after="0"/>
              <w:rPr>
                <w:sz w:val="20"/>
                <w:szCs w:val="20"/>
                <w:color w:val="auto"/>
              </w:rPr>
            </w:pPr>
            <w:r>
              <w:rPr>
                <w:rFonts w:ascii="Arial" w:cs="Arial" w:eastAsia="Arial" w:hAnsi="Arial"/>
                <w:sz w:val="13"/>
                <w:szCs w:val="13"/>
                <w:color w:val="auto"/>
                <w:w w:val="95"/>
              </w:rPr>
              <w:t>840 Stores</w:t>
            </w:r>
          </w:p>
        </w:tc>
        <w:tc>
          <w:tcPr>
            <w:tcW w:w="2620" w:type="dxa"/>
            <w:vAlign w:val="bottom"/>
          </w:tcPr>
          <w:p>
            <w:pPr>
              <w:jc w:val="center"/>
              <w:ind w:left="633"/>
              <w:spacing w:after="0"/>
              <w:rPr>
                <w:sz w:val="20"/>
                <w:szCs w:val="20"/>
                <w:color w:val="auto"/>
              </w:rPr>
            </w:pPr>
            <w:r>
              <w:rPr>
                <w:rFonts w:ascii="Arial" w:cs="Arial" w:eastAsia="Arial" w:hAnsi="Arial"/>
                <w:sz w:val="13"/>
                <w:szCs w:val="13"/>
                <w:color w:val="auto"/>
                <w:w w:val="95"/>
              </w:rPr>
              <w:t>125 Stores</w:t>
            </w:r>
          </w:p>
        </w:tc>
        <w:tc>
          <w:tcPr>
            <w:tcW w:w="2660" w:type="dxa"/>
            <w:vAlign w:val="bottom"/>
          </w:tcPr>
          <w:p>
            <w:pPr>
              <w:jc w:val="center"/>
              <w:spacing w:after="0"/>
              <w:rPr>
                <w:sz w:val="20"/>
                <w:szCs w:val="20"/>
                <w:color w:val="auto"/>
              </w:rPr>
            </w:pPr>
            <w:r>
              <w:rPr>
                <w:rFonts w:ascii="Arial" w:cs="Arial" w:eastAsia="Arial" w:hAnsi="Arial"/>
                <w:sz w:val="13"/>
                <w:szCs w:val="13"/>
                <w:color w:val="auto"/>
                <w:w w:val="96"/>
              </w:rPr>
              <w:t>29 Stores</w:t>
            </w:r>
          </w:p>
        </w:tc>
        <w:tc>
          <w:tcPr>
            <w:tcW w:w="2040" w:type="dxa"/>
            <w:vAlign w:val="bottom"/>
          </w:tcPr>
          <w:p>
            <w:pPr>
              <w:jc w:val="center"/>
              <w:ind w:right="94"/>
              <w:spacing w:after="0"/>
              <w:rPr>
                <w:sz w:val="20"/>
                <w:szCs w:val="20"/>
                <w:color w:val="auto"/>
              </w:rPr>
            </w:pPr>
            <w:r>
              <w:rPr>
                <w:rFonts w:ascii="Arial" w:cs="Arial" w:eastAsia="Arial" w:hAnsi="Arial"/>
                <w:sz w:val="13"/>
                <w:szCs w:val="13"/>
                <w:color w:val="auto"/>
                <w:w w:val="93"/>
              </w:rPr>
              <w:t>54 Stores</w:t>
            </w:r>
          </w:p>
        </w:tc>
        <w:tc>
          <w:tcPr>
            <w:tcW w:w="2040" w:type="dxa"/>
            <w:vAlign w:val="bottom"/>
          </w:tcPr>
          <w:p>
            <w:pPr>
              <w:jc w:val="center"/>
              <w:spacing w:after="0"/>
              <w:rPr>
                <w:sz w:val="20"/>
                <w:szCs w:val="20"/>
                <w:color w:val="auto"/>
              </w:rPr>
            </w:pPr>
            <w:r>
              <w:rPr>
                <w:rFonts w:ascii="Arial" w:cs="Arial" w:eastAsia="Arial" w:hAnsi="Arial"/>
                <w:sz w:val="13"/>
                <w:szCs w:val="13"/>
                <w:color w:val="auto"/>
                <w:w w:val="95"/>
              </w:rPr>
              <w:t>230 Stores</w:t>
            </w:r>
          </w:p>
        </w:tc>
        <w:tc>
          <w:tcPr>
            <w:tcW w:w="120" w:type="dxa"/>
            <w:vAlign w:val="bottom"/>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shd w:val="clear" w:color="auto" w:fill="ACACAC"/>
          </w:tcPr>
          <w:p>
            <w:pPr>
              <w:spacing w:after="0"/>
              <w:rPr>
                <w:sz w:val="15"/>
                <w:szCs w:val="15"/>
                <w:color w:val="auto"/>
              </w:rPr>
            </w:pPr>
          </w:p>
        </w:tc>
        <w:tc>
          <w:tcPr>
            <w:tcW w:w="1640" w:type="dxa"/>
            <w:vAlign w:val="bottom"/>
          </w:tcPr>
          <w:p>
            <w:pPr>
              <w:jc w:val="center"/>
              <w:ind w:left="495"/>
              <w:spacing w:after="0"/>
              <w:rPr>
                <w:sz w:val="20"/>
                <w:szCs w:val="20"/>
                <w:color w:val="auto"/>
              </w:rPr>
            </w:pPr>
            <w:r>
              <w:rPr>
                <w:rFonts w:ascii="Arial" w:cs="Arial" w:eastAsia="Arial" w:hAnsi="Arial"/>
                <w:sz w:val="13"/>
                <w:szCs w:val="13"/>
                <w:color w:val="auto"/>
                <w:w w:val="95"/>
              </w:rPr>
              <w:t>~3,500 sq. ft.</w:t>
            </w:r>
          </w:p>
        </w:tc>
        <w:tc>
          <w:tcPr>
            <w:tcW w:w="2620" w:type="dxa"/>
            <w:vAlign w:val="bottom"/>
          </w:tcPr>
          <w:p>
            <w:pPr>
              <w:jc w:val="center"/>
              <w:ind w:left="633"/>
              <w:spacing w:after="0"/>
              <w:rPr>
                <w:sz w:val="20"/>
                <w:szCs w:val="20"/>
                <w:color w:val="auto"/>
              </w:rPr>
            </w:pPr>
            <w:r>
              <w:rPr>
                <w:rFonts w:ascii="Arial" w:cs="Arial" w:eastAsia="Arial" w:hAnsi="Arial"/>
                <w:sz w:val="13"/>
                <w:szCs w:val="13"/>
                <w:color w:val="auto"/>
                <w:w w:val="95"/>
              </w:rPr>
              <w:t>~4,500 sq. ft.</w:t>
            </w:r>
          </w:p>
        </w:tc>
        <w:tc>
          <w:tcPr>
            <w:tcW w:w="2660" w:type="dxa"/>
            <w:vAlign w:val="bottom"/>
          </w:tcPr>
          <w:p>
            <w:pPr>
              <w:jc w:val="center"/>
              <w:spacing w:after="0"/>
              <w:rPr>
                <w:sz w:val="20"/>
                <w:szCs w:val="20"/>
                <w:color w:val="auto"/>
              </w:rPr>
            </w:pPr>
            <w:r>
              <w:rPr>
                <w:rFonts w:ascii="Arial" w:cs="Arial" w:eastAsia="Arial" w:hAnsi="Arial"/>
                <w:sz w:val="13"/>
                <w:szCs w:val="13"/>
                <w:color w:val="auto"/>
                <w:w w:val="98"/>
              </w:rPr>
              <w:t>~800 sq. ft.</w:t>
            </w:r>
          </w:p>
        </w:tc>
        <w:tc>
          <w:tcPr>
            <w:tcW w:w="2040" w:type="dxa"/>
            <w:vAlign w:val="bottom"/>
          </w:tcPr>
          <w:p>
            <w:pPr>
              <w:jc w:val="center"/>
              <w:ind w:right="94"/>
              <w:spacing w:after="0"/>
              <w:rPr>
                <w:sz w:val="20"/>
                <w:szCs w:val="20"/>
                <w:color w:val="auto"/>
              </w:rPr>
            </w:pPr>
            <w:r>
              <w:rPr>
                <w:rFonts w:ascii="Arial" w:cs="Arial" w:eastAsia="Arial" w:hAnsi="Arial"/>
                <w:sz w:val="13"/>
                <w:szCs w:val="13"/>
                <w:color w:val="auto"/>
                <w:w w:val="95"/>
              </w:rPr>
              <w:t>~1,000 sq. ft.</w:t>
            </w:r>
          </w:p>
        </w:tc>
        <w:tc>
          <w:tcPr>
            <w:tcW w:w="2040" w:type="dxa"/>
            <w:vAlign w:val="bottom"/>
          </w:tcPr>
          <w:p>
            <w:pPr>
              <w:jc w:val="center"/>
              <w:spacing w:after="0"/>
              <w:rPr>
                <w:sz w:val="20"/>
                <w:szCs w:val="20"/>
                <w:color w:val="auto"/>
              </w:rPr>
            </w:pPr>
            <w:r>
              <w:rPr>
                <w:rFonts w:ascii="Arial" w:cs="Arial" w:eastAsia="Arial" w:hAnsi="Arial"/>
                <w:sz w:val="13"/>
                <w:szCs w:val="13"/>
                <w:color w:val="auto"/>
                <w:w w:val="95"/>
              </w:rPr>
              <w:t>~1,800 sq. ft.</w:t>
            </w:r>
          </w:p>
        </w:tc>
        <w:tc>
          <w:tcPr>
            <w:tcW w:w="120" w:type="dxa"/>
            <w:vAlign w:val="bottom"/>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shd w:val="clear" w:color="auto" w:fill="ACACAC"/>
          </w:tcPr>
          <w:p>
            <w:pPr>
              <w:spacing w:after="0"/>
              <w:rPr>
                <w:sz w:val="15"/>
                <w:szCs w:val="15"/>
                <w:color w:val="auto"/>
              </w:rPr>
            </w:pPr>
          </w:p>
        </w:tc>
        <w:tc>
          <w:tcPr>
            <w:tcW w:w="1640" w:type="dxa"/>
            <w:vAlign w:val="bottom"/>
          </w:tcPr>
          <w:p>
            <w:pPr>
              <w:jc w:val="center"/>
              <w:ind w:left="475"/>
              <w:spacing w:after="0"/>
              <w:rPr>
                <w:sz w:val="20"/>
                <w:szCs w:val="20"/>
                <w:color w:val="auto"/>
              </w:rPr>
            </w:pPr>
            <w:r>
              <w:rPr>
                <w:rFonts w:ascii="Arial" w:cs="Arial" w:eastAsia="Arial" w:hAnsi="Arial"/>
                <w:sz w:val="13"/>
                <w:szCs w:val="13"/>
                <w:color w:val="auto"/>
                <w:w w:val="96"/>
              </w:rPr>
              <w:t>~1,300 SKUs</w:t>
            </w:r>
          </w:p>
        </w:tc>
        <w:tc>
          <w:tcPr>
            <w:tcW w:w="2620" w:type="dxa"/>
            <w:vAlign w:val="bottom"/>
          </w:tcPr>
          <w:p>
            <w:pPr>
              <w:jc w:val="center"/>
              <w:ind w:left="613"/>
              <w:spacing w:after="0"/>
              <w:rPr>
                <w:sz w:val="20"/>
                <w:szCs w:val="20"/>
                <w:color w:val="auto"/>
              </w:rPr>
            </w:pPr>
            <w:r>
              <w:rPr>
                <w:rFonts w:ascii="Arial" w:cs="Arial" w:eastAsia="Arial" w:hAnsi="Arial"/>
                <w:sz w:val="13"/>
                <w:szCs w:val="13"/>
                <w:color w:val="auto"/>
                <w:w w:val="96"/>
              </w:rPr>
              <w:t>~1,900 SKUs</w:t>
            </w:r>
          </w:p>
        </w:tc>
        <w:tc>
          <w:tcPr>
            <w:tcW w:w="2660" w:type="dxa"/>
            <w:vAlign w:val="bottom"/>
          </w:tcPr>
          <w:p>
            <w:pPr>
              <w:jc w:val="center"/>
              <w:spacing w:after="0"/>
              <w:rPr>
                <w:sz w:val="20"/>
                <w:szCs w:val="20"/>
                <w:color w:val="auto"/>
              </w:rPr>
            </w:pPr>
            <w:r>
              <w:rPr>
                <w:rFonts w:ascii="Arial" w:cs="Arial" w:eastAsia="Arial" w:hAnsi="Arial"/>
                <w:sz w:val="13"/>
                <w:szCs w:val="13"/>
                <w:color w:val="auto"/>
                <w:w w:val="96"/>
              </w:rPr>
              <w:t>~600 SKUs</w:t>
            </w:r>
          </w:p>
        </w:tc>
        <w:tc>
          <w:tcPr>
            <w:tcW w:w="2040" w:type="dxa"/>
            <w:vAlign w:val="bottom"/>
          </w:tcPr>
          <w:p>
            <w:pPr>
              <w:jc w:val="center"/>
              <w:ind w:right="94"/>
              <w:spacing w:after="0"/>
              <w:rPr>
                <w:sz w:val="20"/>
                <w:szCs w:val="20"/>
                <w:color w:val="auto"/>
              </w:rPr>
            </w:pPr>
            <w:r>
              <w:rPr>
                <w:rFonts w:ascii="Arial" w:cs="Arial" w:eastAsia="Arial" w:hAnsi="Arial"/>
                <w:sz w:val="13"/>
                <w:szCs w:val="13"/>
                <w:color w:val="auto"/>
                <w:w w:val="96"/>
              </w:rPr>
              <w:t>~700 SKUs</w:t>
            </w:r>
          </w:p>
        </w:tc>
        <w:tc>
          <w:tcPr>
            <w:tcW w:w="2040" w:type="dxa"/>
            <w:vAlign w:val="bottom"/>
          </w:tcPr>
          <w:p>
            <w:pPr>
              <w:jc w:val="center"/>
              <w:spacing w:after="0"/>
              <w:rPr>
                <w:sz w:val="20"/>
                <w:szCs w:val="20"/>
                <w:color w:val="auto"/>
              </w:rPr>
            </w:pPr>
            <w:r>
              <w:rPr>
                <w:rFonts w:ascii="Arial" w:cs="Arial" w:eastAsia="Arial" w:hAnsi="Arial"/>
                <w:sz w:val="13"/>
                <w:szCs w:val="13"/>
                <w:color w:val="auto"/>
                <w:w w:val="96"/>
              </w:rPr>
              <w:t>~800 SKUs</w:t>
            </w:r>
          </w:p>
        </w:tc>
        <w:tc>
          <w:tcPr>
            <w:tcW w:w="120" w:type="dxa"/>
            <w:vAlign w:val="bottom"/>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20" w:type="dxa"/>
            <w:vAlign w:val="bottom"/>
            <w:tcBorders>
              <w:bottom w:val="single" w:sz="8" w:color="ACACAC"/>
            </w:tcBorders>
            <w:shd w:val="clear" w:color="auto" w:fill="ACACAC"/>
          </w:tcPr>
          <w:p>
            <w:pPr>
              <w:spacing w:after="0"/>
              <w:rPr>
                <w:sz w:val="20"/>
                <w:szCs w:val="20"/>
                <w:color w:val="auto"/>
              </w:rPr>
            </w:pPr>
          </w:p>
        </w:tc>
        <w:tc>
          <w:tcPr>
            <w:tcW w:w="1640" w:type="dxa"/>
            <w:vAlign w:val="bottom"/>
            <w:tcBorders>
              <w:bottom w:val="single" w:sz="8" w:color="ACACAC"/>
            </w:tcBorders>
          </w:tcPr>
          <w:p>
            <w:pPr>
              <w:jc w:val="center"/>
              <w:ind w:left="495"/>
              <w:spacing w:after="0"/>
              <w:rPr>
                <w:sz w:val="20"/>
                <w:szCs w:val="20"/>
                <w:color w:val="auto"/>
              </w:rPr>
            </w:pPr>
            <w:r>
              <w:rPr>
                <w:rFonts w:ascii="Arial" w:cs="Arial" w:eastAsia="Arial" w:hAnsi="Arial"/>
                <w:sz w:val="13"/>
                <w:szCs w:val="13"/>
                <w:color w:val="auto"/>
                <w:w w:val="96"/>
              </w:rPr>
              <w:t>Centralized Lab</w:t>
            </w:r>
          </w:p>
        </w:tc>
        <w:tc>
          <w:tcPr>
            <w:tcW w:w="2620" w:type="dxa"/>
            <w:vAlign w:val="bottom"/>
            <w:tcBorders>
              <w:bottom w:val="single" w:sz="8" w:color="ACACAC"/>
            </w:tcBorders>
          </w:tcPr>
          <w:p>
            <w:pPr>
              <w:jc w:val="center"/>
              <w:ind w:left="613"/>
              <w:spacing w:after="0"/>
              <w:rPr>
                <w:sz w:val="20"/>
                <w:szCs w:val="20"/>
                <w:color w:val="auto"/>
              </w:rPr>
            </w:pPr>
            <w:r>
              <w:rPr>
                <w:rFonts w:ascii="Arial" w:cs="Arial" w:eastAsia="Arial" w:hAnsi="Arial"/>
                <w:sz w:val="13"/>
                <w:szCs w:val="13"/>
                <w:color w:val="auto"/>
                <w:w w:val="96"/>
              </w:rPr>
              <w:t>Lab in Store / Centralized Lab</w:t>
            </w:r>
          </w:p>
        </w:tc>
        <w:tc>
          <w:tcPr>
            <w:tcW w:w="2660" w:type="dxa"/>
            <w:vAlign w:val="bottom"/>
            <w:tcBorders>
              <w:bottom w:val="single" w:sz="8" w:color="ACACAC"/>
            </w:tcBorders>
          </w:tcPr>
          <w:p>
            <w:pPr>
              <w:jc w:val="center"/>
              <w:spacing w:after="0"/>
              <w:rPr>
                <w:sz w:val="20"/>
                <w:szCs w:val="20"/>
                <w:color w:val="auto"/>
              </w:rPr>
            </w:pPr>
            <w:r>
              <w:rPr>
                <w:rFonts w:ascii="Arial" w:cs="Arial" w:eastAsia="Arial" w:hAnsi="Arial"/>
                <w:sz w:val="13"/>
                <w:szCs w:val="13"/>
                <w:color w:val="auto"/>
                <w:w w:val="96"/>
              </w:rPr>
              <w:t>Centralized Lab</w:t>
            </w:r>
          </w:p>
        </w:tc>
        <w:tc>
          <w:tcPr>
            <w:tcW w:w="2040" w:type="dxa"/>
            <w:vAlign w:val="bottom"/>
            <w:tcBorders>
              <w:bottom w:val="single" w:sz="8" w:color="ACACAC"/>
            </w:tcBorders>
          </w:tcPr>
          <w:p>
            <w:pPr>
              <w:jc w:val="center"/>
              <w:ind w:right="94"/>
              <w:spacing w:after="0"/>
              <w:rPr>
                <w:sz w:val="20"/>
                <w:szCs w:val="20"/>
                <w:color w:val="auto"/>
              </w:rPr>
            </w:pPr>
            <w:r>
              <w:rPr>
                <w:rFonts w:ascii="Arial" w:cs="Arial" w:eastAsia="Arial" w:hAnsi="Arial"/>
                <w:sz w:val="13"/>
                <w:szCs w:val="13"/>
                <w:color w:val="auto"/>
                <w:w w:val="96"/>
              </w:rPr>
              <w:t>Centralized Lab</w:t>
            </w:r>
          </w:p>
        </w:tc>
        <w:tc>
          <w:tcPr>
            <w:tcW w:w="2040" w:type="dxa"/>
            <w:vAlign w:val="bottom"/>
            <w:tcBorders>
              <w:bottom w:val="single" w:sz="8" w:color="ACACAC"/>
            </w:tcBorders>
          </w:tcPr>
          <w:p>
            <w:pPr>
              <w:jc w:val="center"/>
              <w:spacing w:after="0"/>
              <w:rPr>
                <w:sz w:val="20"/>
                <w:szCs w:val="20"/>
                <w:color w:val="auto"/>
              </w:rPr>
            </w:pPr>
            <w:r>
              <w:rPr>
                <w:rFonts w:ascii="Arial" w:cs="Arial" w:eastAsia="Arial" w:hAnsi="Arial"/>
                <w:sz w:val="13"/>
                <w:szCs w:val="13"/>
                <w:color w:val="auto"/>
                <w:w w:val="96"/>
              </w:rPr>
              <w:t>Centralized Lab</w:t>
            </w:r>
          </w:p>
        </w:tc>
        <w:tc>
          <w:tcPr>
            <w:tcW w:w="120" w:type="dxa"/>
            <w:vAlign w:val="bottom"/>
            <w:tcBorders>
              <w:bottom w:val="single" w:sz="8" w:color="ACACAC"/>
            </w:tcBorders>
            <w:shd w:val="clear" w:color="auto" w:fill="ACACA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Borders>
              <w:top w:val="single" w:sz="8" w:color="ACACAC"/>
            </w:tcBorders>
            <w:shd w:val="clear" w:color="auto" w:fill="ACACAC"/>
          </w:tcPr>
          <w:p>
            <w:pPr>
              <w:spacing w:after="0"/>
              <w:rPr>
                <w:sz w:val="17"/>
                <w:szCs w:val="17"/>
                <w:color w:val="auto"/>
              </w:rPr>
            </w:pPr>
          </w:p>
        </w:tc>
        <w:tc>
          <w:tcPr>
            <w:tcW w:w="1640" w:type="dxa"/>
            <w:vAlign w:val="bottom"/>
            <w:tcBorders>
              <w:top w:val="single" w:sz="8" w:color="225799"/>
            </w:tcBorders>
          </w:tcPr>
          <w:p>
            <w:pPr>
              <w:spacing w:after="0"/>
              <w:rPr>
                <w:sz w:val="17"/>
                <w:szCs w:val="17"/>
                <w:color w:val="auto"/>
              </w:rPr>
            </w:pPr>
          </w:p>
        </w:tc>
        <w:tc>
          <w:tcPr>
            <w:tcW w:w="2620" w:type="dxa"/>
            <w:vAlign w:val="bottom"/>
            <w:tcBorders>
              <w:top w:val="single" w:sz="8" w:color="225799"/>
            </w:tcBorders>
          </w:tcPr>
          <w:p>
            <w:pPr>
              <w:spacing w:after="0"/>
              <w:rPr>
                <w:sz w:val="17"/>
                <w:szCs w:val="17"/>
                <w:color w:val="auto"/>
              </w:rPr>
            </w:pPr>
          </w:p>
        </w:tc>
        <w:tc>
          <w:tcPr>
            <w:tcW w:w="2660" w:type="dxa"/>
            <w:vAlign w:val="bottom"/>
            <w:tcBorders>
              <w:top w:val="single" w:sz="8" w:color="225799"/>
            </w:tcBorders>
          </w:tcPr>
          <w:p>
            <w:pPr>
              <w:spacing w:after="0"/>
              <w:rPr>
                <w:sz w:val="20"/>
                <w:szCs w:val="20"/>
                <w:color w:val="auto"/>
              </w:rPr>
            </w:pPr>
            <w:r>
              <w:rPr>
                <w:rFonts w:ascii="Arial" w:cs="Arial" w:eastAsia="Arial" w:hAnsi="Arial"/>
                <w:sz w:val="15"/>
                <w:szCs w:val="15"/>
                <w:b w:val="1"/>
                <w:bCs w:val="1"/>
                <w:color w:val="00497F"/>
              </w:rPr>
              <w:t>OMNI-CHANNEL &amp; E-COMMERCE</w:t>
            </w:r>
          </w:p>
        </w:tc>
        <w:tc>
          <w:tcPr>
            <w:tcW w:w="2040" w:type="dxa"/>
            <w:vAlign w:val="bottom"/>
            <w:tcBorders>
              <w:top w:val="single" w:sz="8" w:color="225799"/>
            </w:tcBorders>
          </w:tcPr>
          <w:p>
            <w:pPr>
              <w:spacing w:after="0"/>
              <w:rPr>
                <w:sz w:val="17"/>
                <w:szCs w:val="17"/>
                <w:color w:val="auto"/>
              </w:rPr>
            </w:pPr>
          </w:p>
        </w:tc>
        <w:tc>
          <w:tcPr>
            <w:tcW w:w="2040" w:type="dxa"/>
            <w:vAlign w:val="bottom"/>
            <w:tcBorders>
              <w:top w:val="single" w:sz="8" w:color="225799"/>
            </w:tcBorders>
          </w:tcPr>
          <w:p>
            <w:pPr>
              <w:spacing w:after="0"/>
              <w:rPr>
                <w:sz w:val="17"/>
                <w:szCs w:val="17"/>
                <w:color w:val="auto"/>
              </w:rPr>
            </w:pPr>
          </w:p>
        </w:tc>
        <w:tc>
          <w:tcPr>
            <w:tcW w:w="120" w:type="dxa"/>
            <w:vAlign w:val="bottom"/>
            <w:tcBorders>
              <w:top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20" w:type="dxa"/>
            <w:vAlign w:val="bottom"/>
            <w:shd w:val="clear" w:color="auto" w:fill="ACACAC"/>
          </w:tcPr>
          <w:p>
            <w:pPr>
              <w:spacing w:after="0"/>
              <w:rPr>
                <w:sz w:val="16"/>
                <w:szCs w:val="16"/>
                <w:color w:val="auto"/>
              </w:rPr>
            </w:pPr>
          </w:p>
        </w:tc>
        <w:tc>
          <w:tcPr>
            <w:tcW w:w="1640" w:type="dxa"/>
            <w:vAlign w:val="bottom"/>
          </w:tcPr>
          <w:p>
            <w:pPr>
              <w:spacing w:after="0"/>
              <w:rPr>
                <w:sz w:val="16"/>
                <w:szCs w:val="16"/>
                <w:color w:val="auto"/>
              </w:rPr>
            </w:pPr>
          </w:p>
        </w:tc>
        <w:tc>
          <w:tcPr>
            <w:tcW w:w="2620" w:type="dxa"/>
            <w:vAlign w:val="bottom"/>
          </w:tcPr>
          <w:p>
            <w:pPr>
              <w:ind w:left="60"/>
              <w:spacing w:after="0"/>
              <w:rPr>
                <w:sz w:val="20"/>
                <w:szCs w:val="20"/>
                <w:color w:val="auto"/>
              </w:rPr>
            </w:pPr>
            <w:r>
              <w:rPr>
                <w:rFonts w:ascii="Arial" w:cs="Arial" w:eastAsia="Arial" w:hAnsi="Arial"/>
                <w:sz w:val="14"/>
                <w:szCs w:val="14"/>
                <w:b w:val="1"/>
                <w:bCs w:val="1"/>
                <w:color w:val="auto"/>
              </w:rPr>
              <w:t>Sister Sites (4)</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Proprietary Sites (5)</w:t>
            </w:r>
          </w:p>
        </w:tc>
        <w:tc>
          <w:tcPr>
            <w:tcW w:w="4080" w:type="dxa"/>
            <w:vAlign w:val="bottom"/>
            <w:gridSpan w:val="2"/>
          </w:tcPr>
          <w:p>
            <w:pPr>
              <w:ind w:left="1400"/>
              <w:spacing w:after="0"/>
              <w:rPr>
                <w:sz w:val="20"/>
                <w:szCs w:val="20"/>
                <w:color w:val="auto"/>
              </w:rPr>
            </w:pPr>
            <w:r>
              <w:rPr>
                <w:rFonts w:ascii="Arial" w:cs="Arial" w:eastAsia="Arial" w:hAnsi="Arial"/>
                <w:sz w:val="14"/>
                <w:szCs w:val="14"/>
                <w:b w:val="1"/>
                <w:bCs w:val="1"/>
                <w:color w:val="auto"/>
              </w:rPr>
              <w:t>Partner Sites (9)</w:t>
            </w:r>
          </w:p>
        </w:tc>
        <w:tc>
          <w:tcPr>
            <w:tcW w:w="1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788"/>
        </w:trPr>
        <w:tc>
          <w:tcPr>
            <w:tcW w:w="120" w:type="dxa"/>
            <w:vAlign w:val="bottom"/>
            <w:tcBorders>
              <w:bottom w:val="single" w:sz="8" w:color="ACACAC"/>
            </w:tcBorders>
            <w:shd w:val="clear" w:color="auto" w:fill="ACACAC"/>
          </w:tcPr>
          <w:p>
            <w:pPr>
              <w:spacing w:after="0"/>
              <w:rPr>
                <w:sz w:val="24"/>
                <w:szCs w:val="24"/>
                <w:color w:val="auto"/>
              </w:rPr>
            </w:pPr>
          </w:p>
        </w:tc>
        <w:tc>
          <w:tcPr>
            <w:tcW w:w="1640" w:type="dxa"/>
            <w:vAlign w:val="bottom"/>
            <w:tcBorders>
              <w:bottom w:val="single" w:sz="8" w:color="ACACAC"/>
            </w:tcBorders>
          </w:tcPr>
          <w:p>
            <w:pPr>
              <w:spacing w:after="0"/>
              <w:rPr>
                <w:sz w:val="24"/>
                <w:szCs w:val="24"/>
                <w:color w:val="auto"/>
              </w:rPr>
            </w:pPr>
          </w:p>
        </w:tc>
        <w:tc>
          <w:tcPr>
            <w:tcW w:w="2620" w:type="dxa"/>
            <w:vAlign w:val="bottom"/>
            <w:tcBorders>
              <w:bottom w:val="single" w:sz="8" w:color="ACACAC"/>
            </w:tcBorders>
          </w:tcPr>
          <w:p>
            <w:pPr>
              <w:spacing w:after="0"/>
              <w:rPr>
                <w:sz w:val="24"/>
                <w:szCs w:val="24"/>
                <w:color w:val="auto"/>
              </w:rPr>
            </w:pPr>
          </w:p>
        </w:tc>
        <w:tc>
          <w:tcPr>
            <w:tcW w:w="2660" w:type="dxa"/>
            <w:vAlign w:val="bottom"/>
            <w:tcBorders>
              <w:bottom w:val="single" w:sz="8" w:color="ACACAC"/>
            </w:tcBorders>
          </w:tcPr>
          <w:p>
            <w:pPr>
              <w:spacing w:after="0"/>
              <w:rPr>
                <w:sz w:val="24"/>
                <w:szCs w:val="24"/>
                <w:color w:val="auto"/>
              </w:rPr>
            </w:pPr>
          </w:p>
        </w:tc>
        <w:tc>
          <w:tcPr>
            <w:tcW w:w="2040" w:type="dxa"/>
            <w:vAlign w:val="bottom"/>
            <w:tcBorders>
              <w:bottom w:val="single" w:sz="8" w:color="ACACAC"/>
            </w:tcBorders>
          </w:tcPr>
          <w:p>
            <w:pPr>
              <w:spacing w:after="0"/>
              <w:rPr>
                <w:sz w:val="24"/>
                <w:szCs w:val="24"/>
                <w:color w:val="auto"/>
              </w:rPr>
            </w:pPr>
          </w:p>
        </w:tc>
        <w:tc>
          <w:tcPr>
            <w:tcW w:w="2040" w:type="dxa"/>
            <w:vAlign w:val="bottom"/>
            <w:tcBorders>
              <w:bottom w:val="single" w:sz="8" w:color="ACACAC"/>
            </w:tcBorders>
          </w:tcPr>
          <w:p>
            <w:pPr>
              <w:spacing w:after="0"/>
              <w:rPr>
                <w:sz w:val="24"/>
                <w:szCs w:val="24"/>
                <w:color w:val="auto"/>
              </w:rPr>
            </w:pPr>
          </w:p>
        </w:tc>
        <w:tc>
          <w:tcPr>
            <w:tcW w:w="120" w:type="dxa"/>
            <w:vAlign w:val="bottom"/>
            <w:tcBorders>
              <w:bottom w:val="single" w:sz="8" w:color="ACACAC"/>
            </w:tcBorders>
            <w:shd w:val="clear" w:color="auto" w:fill="ACACA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-2245360</wp:posOffset>
            </wp:positionV>
            <wp:extent cx="6600825"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0825" cy="3257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-1713865</wp:posOffset>
            </wp:positionV>
            <wp:extent cx="75438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54380" cy="29146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-1713865</wp:posOffset>
            </wp:positionV>
            <wp:extent cx="33401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010" cy="29146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-427990</wp:posOffset>
            </wp:positionV>
            <wp:extent cx="6223635" cy="248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23635" cy="24892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Note: Store count as of January 1, 2022. SKU figures refer to eyeglass frame SKUs. ODs are Doctors of Optometry.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our brands leverage our highly-efficient centralized laboratory network and distribution system, which helps us minimize production and distribution costs. As one of the largest purchasers of eyeglass frames, spectacle lenses and contact lenses in the United States, we also benefit from centralized procurement efforts and purchasing economies of scale.</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Our America’s Best Brand. </w:t>
      </w:r>
      <w:r>
        <w:rPr>
          <w:rFonts w:ascii="Arial" w:cs="Arial" w:eastAsia="Arial" w:hAnsi="Arial"/>
          <w:sz w:val="18"/>
          <w:szCs w:val="18"/>
          <w:color w:val="auto"/>
        </w:rPr>
        <w:t>America’s Best strives to be the value leader in virtually every market in which it operates. Its signature offer of “two pairs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eyeglasses for $69.95, including a free eye exam”, is typically priced significantly lower than the competition and provides customers with a wide selection of frame choices at this entry point. In America’s Best stores, vision care services are provided by optometrists employed either by us or by independent professional corporations or similar entities. This model facilitates the brand’s bundled offer and its Eyecare Club programs, which offer two free eye exams per year for the duration of the membership plus a discount on contact lenses and eyeglasses. By leveraging our efficient centralized laboratory network, America’s Best stores are able to minimize processing costs and drive significant economies of scale. These stores typically stock approximately 1,300 eyeglass frame SKUs, including imports from low-cost overseas manufacturers, higher-margin private label brands and discounted well-known frame brands. America’s Best stores, which average approximately 3,500 square feet, are primarily located in high-traffic strip centers next to other value-focused retailers.</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Our Eyeglass World Brand. </w:t>
      </w:r>
      <w:r>
        <w:rPr>
          <w:rFonts w:ascii="Arial" w:cs="Arial" w:eastAsia="Arial" w:hAnsi="Arial"/>
          <w:sz w:val="17"/>
          <w:szCs w:val="17"/>
          <w:color w:val="auto"/>
        </w:rPr>
        <w:t>Eyeglass World also offers a value price point for customers, with an opening offer of “two pairs of eyeglasses for $78.”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brand is positioned as an eyeglass superstore with a broad selection of designer brands and price points, and offers a highly personalized level of service. We source eyeglass frames for our Eyeglass World stores from leading designer brands, private label manufacturers and low-cost overseas manufacturers. Eyeglass World locations offer eye exams, primarily from independent optometrists and optometrists employed by independent professional corporations or similar entities, and have on-site laboratories that enable stores to quickly fulfill customer orders and make repairs. Lens orders that are not completed in-store are completed by our centralized laboratory network. Due to the wider brand selection and on-site laboratories, Eyeglass World stores average approximately 4,500 square feet and typically stock approximately 1,900 eyeglass frame SKUs. These stores are primarily located in freestanding or in-line locations near high-foot-traffic shopping centers.</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 xml:space="preserve">Our Partner Brands. </w:t>
      </w:r>
      <w:r>
        <w:rPr>
          <w:rFonts w:ascii="Arial" w:cs="Arial" w:eastAsia="Arial" w:hAnsi="Arial"/>
          <w:sz w:val="17"/>
          <w:szCs w:val="17"/>
          <w:color w:val="auto"/>
        </w:rPr>
        <w:t>We have three partner brands consisting of 230 Vision Centers in Walmart stores across the country, 54 Vista Optical locations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military bases and 29 Vista Optical locations within Fred Meyer stores as of January 1, 2022. Pursuant to a January 2020 amendment to our management &amp; services agreement with Walmart, we added five additional Vision Centers in Walmart stores in fiscal year 2020. The current term of the management &amp; services agreement between NVI and Walmart ends on </w:t>
      </w:r>
      <w:r>
        <w:rPr>
          <w:rFonts w:ascii="Arial" w:cs="Arial" w:eastAsia="Arial" w:hAnsi="Arial"/>
          <w:sz w:val="17"/>
          <w:szCs w:val="17"/>
          <w:color w:val="212529"/>
        </w:rPr>
        <w:t>February 23, 2024.</w:t>
      </w:r>
      <w:r>
        <w:rPr>
          <w:rFonts w:ascii="Arial" w:cs="Arial" w:eastAsia="Arial" w:hAnsi="Arial"/>
          <w:sz w:val="17"/>
          <w:szCs w:val="17"/>
          <w:color w:val="auto"/>
        </w:rPr>
        <w:t xml:space="preserve"> We have strong, long-standing relationships with these partners. Our strategic relationship with Walmart is in its 32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year and our partnerships with Fred Meyer and the U.S. military have been maintained for over 20 years. Our partner brands all compete within the value segment of the U.S. optical retail industry. These brands combine a broad selection of products and attentive customer service with the convenience of one-stop shopping. These brands also utilize our centralized laboratories and provide eye exams principally by independent optometrists in nearly all locations.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Our Omni-Channel and E-Commerce Platforms. </w:t>
      </w:r>
      <w:r>
        <w:rPr>
          <w:rFonts w:ascii="Arial" w:cs="Arial" w:eastAsia="Arial" w:hAnsi="Arial"/>
          <w:sz w:val="18"/>
          <w:szCs w:val="18"/>
          <w:color w:val="auto"/>
        </w:rPr>
        <w:t>We offer our customers an engaging digital shopping experience through an established platform of four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omni-channel store websites, and 14 dedicated e-commerce consumer websites. Our omni-channel store websites augment our America’s Best, Eyeglass World, Vision Center and Vista Optical in military brands and provide a customer experience that extends across our in-store, mobile and e-commerce channels. We offer a range of services to customers, including eyeglass purchasing, online scheduling and appointment reminders, contact lens purchasing, “buy-in-store and ship-to-home” capabilities and online frame browsing, among others. Our omni-channel offerings work in concert with these brands to enhance the overall quality of the customer experience.</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dedicated e-commerce websites are managed by our subsidiary, AC Lens. AC Lens operates five proprietary branded websites including, among others, aclens.com and discountcontacts.com. In addition, AC Lens operates and provides support services for nine third-party websites owned by other companies, including Walmart, Sam’s Club and Giant Eagle. AC Lens handles site management, customer relationship management and order fulfillment and also sells a wide variety of contact lenses, eyeglasses and eye care accessories. In the aggregate, sales from our omni-channel and e-commerce platforms, which includes “buy-in-store and ship-to-home” transactions, represented approximately 10.5% and 12.0% of our 2021 and 2020 fiscal year net revenue, respectively.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r>
        <w:rPr>
          <w:rFonts w:ascii="Arial" w:cs="Arial" w:eastAsia="Arial" w:hAnsi="Arial"/>
          <w:sz w:val="23"/>
          <w:szCs w:val="23"/>
          <w:b w:val="1"/>
          <w:bCs w:val="1"/>
          <w:color w:val="auto"/>
          <w:vertAlign w:val="superscript"/>
        </w:rPr>
        <w:t>1</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U.S. optical retail industry, defined by Vision Monday to include optical retailers’ revenues from the sales of products (including managed vision care benefit revenues and omni-channel and e-commerce sales) and eye care services provided by vision care professionals, including eye exams, is a $31 billion industry that has exhibited consistent, stable growth across economic cycles. According to Vision Monday, over the period from 2007 to 2019, the industry grew from $26 billion to $37 billion in annual sales, representing a compound annual growth rate (“CAGR”) of 3.2%. Due to the impact of the COVID-19 pandemic, industry sales in 2020 declined 16.2% from 2019. Over the period from 2007 to 2020, industry sales grew at a CAGR of 1.5%. The industry experienced only a modest decline during the 2008 to 2009 recession and rebounded with robust post-recession sales growth of 2.0% CAGR from 2009 to 2020, according to Vision Monday. The steady growth of the industry and its resilience to economic cycles is due in large part to the medical, non-discretionary and recurring nature of eye care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-12700</wp:posOffset>
            </wp:positionV>
            <wp:extent cx="5349240" cy="2340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234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Source: Vision Monday</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majority of eyewear purchases are driven by need, with two primary drivers of demand: (i) diminishing eyesight with increasing age, causing new customers to buy corrective eyewear and (ii) a steady and consistent replacement cycle, as customers replace or purchase new eyewear for a variety of reasons, including changes in prescriptions, fashion trends and necessity (e.g., lost or broken eyewear).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need for eyesight correction is diagnosed through eye tests and eye exams.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anticipate that there are four key secular growth trends that will continue to contribute to the stability and growth of the U.S. optical retail industry:</w:t>
      </w:r>
    </w:p>
    <w:p>
      <w:pPr>
        <w:spacing w:after="0" w:line="129" w:lineRule="exact"/>
        <w:rPr>
          <w:sz w:val="20"/>
          <w:szCs w:val="20"/>
          <w:color w:val="auto"/>
        </w:rPr>
      </w:pPr>
    </w:p>
    <w:p>
      <w:pPr>
        <w:jc w:val="both"/>
        <w:ind w:left="660" w:hanging="328"/>
        <w:spacing w:after="0" w:line="25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Aging Population</w:t>
      </w:r>
      <w:r>
        <w:rPr>
          <w:rFonts w:ascii="Arial" w:cs="Arial" w:eastAsia="Arial" w:hAnsi="Arial"/>
          <w:sz w:val="18"/>
          <w:szCs w:val="18"/>
          <w:color w:val="auto"/>
        </w:rPr>
        <w:t>. According to The Vision Council, 76% of adults in the United States used some form of vision correction as of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According to The Vision Council, at age 45, the need for vision correction begins to increase significantly, with approximately 86% of adults in the United States between the ages of 45 and 54 and approximately 89% of adults in the United States aged 55 and older using vision correction. As the U.S. population ages and life expectancy increases, the pool of potential customers and opportunities for repeat purchases in the optical retail industry are anticipated to rise. Given that eyesight deteriorates progressively with age, aging of the U.S. population should result in incremental sales of eyewear and related accessories.</w:t>
      </w:r>
    </w:p>
    <w:p>
      <w:pPr>
        <w:spacing w:after="0" w:line="84" w:lineRule="exact"/>
        <w:rPr>
          <w:rFonts w:ascii="Arial" w:cs="Arial" w:eastAsia="Arial" w:hAnsi="Arial"/>
          <w:sz w:val="18"/>
          <w:szCs w:val="18"/>
          <w:color w:val="auto"/>
        </w:rPr>
      </w:pPr>
    </w:p>
    <w:p>
      <w:pPr>
        <w:jc w:val="both"/>
        <w:ind w:left="660" w:hanging="328"/>
        <w:spacing w:after="0" w:line="293"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Consistent Replacement Cycle</w:t>
      </w:r>
      <w:r>
        <w:rPr>
          <w:rFonts w:ascii="Arial" w:cs="Arial" w:eastAsia="Arial" w:hAnsi="Arial"/>
          <w:sz w:val="16"/>
          <w:szCs w:val="16"/>
          <w:color w:val="auto"/>
        </w:rPr>
        <w:t>. The repetitive and predictable nature of customer behavior results in a significant volume of recurring revenue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197 million people in the United States using vision correction devices received over 121 million eye exams that year, implying an average interval between exams of 19 months. The interval between exams contributes to the industry’s stability and shortening this interval represents an opportunity to increase the frequency of customer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714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0" w:lineRule="exact"/>
        <w:rPr>
          <w:sz w:val="20"/>
          <w:szCs w:val="20"/>
          <w:color w:val="auto"/>
        </w:rPr>
      </w:pPr>
    </w:p>
    <w:p>
      <w:pPr>
        <w:ind w:right="160" w:firstLine="8"/>
        <w:spacing w:after="0" w:line="218" w:lineRule="auto"/>
        <w:tabs>
          <w:tab w:leader="none" w:pos="103"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i w:val="1"/>
          <w:iCs w:val="1"/>
          <w:color w:val="auto"/>
        </w:rPr>
        <w:t>This section includes the most recently available industry information, primarily as of 2020. We expect industry data for 2021, that would include the impacts of COVID-19, to be available later in 2022.</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254"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Increased Usage of Computer and Mobile Screens</w:t>
      </w:r>
      <w:r>
        <w:rPr>
          <w:rFonts w:ascii="Arial" w:cs="Arial" w:eastAsia="Arial" w:hAnsi="Arial"/>
          <w:sz w:val="18"/>
          <w:szCs w:val="18"/>
          <w:color w:val="auto"/>
        </w:rPr>
        <w:t>. Due to the proliferation of smartphones, laptops, tablets and other electronic devices,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population has experienced a dramatic increase in the amount of time spent viewing electronic screens. According to The Vision Council, about 80% of American adults report using digital devices for more than two hours per day with approximately 70% using two or more devices simultaneously, and approximately 60% reporting experiencing symptoms of digital eye strain.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 We believe that remote working and learning arrangements that have been necessitated by the COVID-19 pandemic have led to increased use of electronic screens.</w:t>
      </w:r>
    </w:p>
    <w:p>
      <w:pPr>
        <w:spacing w:after="0" w:line="83" w:lineRule="exact"/>
        <w:rPr>
          <w:rFonts w:ascii="Arial" w:cs="Arial" w:eastAsia="Arial" w:hAnsi="Arial"/>
          <w:sz w:val="18"/>
          <w:szCs w:val="18"/>
          <w:color w:val="auto"/>
        </w:rPr>
      </w:pPr>
    </w:p>
    <w:p>
      <w:pPr>
        <w:jc w:val="both"/>
        <w:ind w:left="660" w:hanging="328"/>
        <w:spacing w:after="0" w:line="290"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Growing Focus on Health and Wellness</w:t>
      </w:r>
      <w:r>
        <w:rPr>
          <w:rFonts w:ascii="Arial" w:cs="Arial" w:eastAsia="Arial" w:hAnsi="Arial"/>
          <w:sz w:val="16"/>
          <w:szCs w:val="16"/>
          <w:color w:val="auto"/>
        </w:rPr>
        <w:t>. The optical retail industry is poised to continue to benefit from expansive trends underlying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increasing societal 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conditions. As consumers continue to develop greater awareness of health and wellness issues, there is an opportunity for retailers that are able to offer personalized, inexpensive, health-oriented products and services that can increase quality 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Within our two reportable segments, we primarily offer two products and one service: eyeglasses, contact lenses and eye exams. Nonetheless, our diverse product portfolio encompasses many brand names and thousands of SKUs. Depending on the brand, our stores display approximately 600 to 1,900 eyeglass frame SKUs, covering all age groups. Offerings include both brand name designers, like Ray-Ban, Guess and Calvin Klein, as well as private label options at attractive prices. Our brand-name frame offerings are manufactured by market leaders and we partner with several overseas factories to direct source our private label products. We also offer a broad portfolio of lenses, including single vision and bifocal lenses, with a variety of treatments to enhance vision. Through one-on-one consultative-selling, our sales associates have a number of opportunities to share information about value-added lenses, including thinner, higher-quality lenses and photochromatic options, which carry higher margins. As a result, a significant number of America’s Best customers and Eyeglass World customers who purchase eyeglasses choose upgraded lenses and/or frames instead of each brand’s base offer. We also offer contact lenses and accessories from all major contact lens manufacturers, including our own private label brands (Sofmed and Natural Eyes HydraWear, made by CooperVision) that are offered in our America’s Best and Eyeglass World stores. Collectively, our broad product offerings deliver consistent financial results and reduce our reliance on any individual product, style or trend.</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both of our reportable segments, eye exam services are provided by optometrists employed by us or by professional corporations or similar entities owned by eye care practitioners with whom we have contractual arrangements or by independent optometrists with whom we have contracted. In addition, in certain locations, eye exam services may be provided utilizing a remote medicine platform.</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Within our Owned &amp; Host segment, America’s Best offers its Eyecare Club programs primarily to its contact lens customers. As of January 1, 2022, the Eyecare Club had approximately 1.6 million active members. Benefits of the Eyecare Club include two free eye exams per year for the duration of the multi-year membership, 10% off all contact lenses and eyeglasses and other periodic benefits and discounts. Memberships can be purchased in stores or on our America’s Best website. There is a high adoption rate of Eyecare Club membership by America’s Best customers who are not part of a managed care program and who visited an America’s Best store for a contact lens examination. The disposable nature of contact lenses means that customers must replenish their contacts frequently, and in order to refill their prescriptions, contact lens users must have a current prescription. For a prescription to be current, customers generally need to have an eye exam every one or two years, depending on the state in which they reside. The multiyear nature of these memberships, which customers pay in full at the time they join, facilitates repeat traffic to America’s Best stores for exams and contact lens purchases and builds customer loyalty.</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7. “Revenue from Contracts With Customers” in our audited consolidated financial statements included in Part II. Item 8. of this Form 10-K for additional information.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customers need to see their best to perform their jobs, care for their families and contribute to their communities. Purchasing decisions are based on value, quality of service, fashion, location and eye health, among others. Based on a variety of third-party research studies, we have found that our customers typically prioritize value and convenience above other considerations. Value encompasses a combination of eye health with quality products and services, all offered at a fair price. Convenience encompasses multiple vectors: (i) retail locations near where our customers work and shop, with easy, convenient parking, (ii) store hours that fit their lifestyles, (iii) product selection that achieves aesthetic and/or fashion goals, (iv) availability of on-site eye exams and (v) acceptance of certain vision insurance benefits.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and Marketing</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developed our marketing strategy based on the in-depth knowledge we have of our customers. Our brands are positioned to stand for low prices and great value, which resonate with our target consumers and leave a lasting impression that is distinct from the competition.</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television is a key channel for connecting with our customers. A significant portion of America’s Best and Eyeglass World’s advertising investments are on traffic-driving television advertisements, which we leverage broadly across multiple stores in each television market to gain a larger share of voice, and, in turn, drive traffic and margins. We continue to benefit from America’s Best national television advertising campaigns, which we believe are cost effective and help raise our brand awareness in both existing and new markets. Additional advertising investments include digital media, search, direct mail, email and local store marketing. We are continually tracking consumer media consumption behaviors and adjusting our media plan accordingly.</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our Host and Legacy brands, we rely on our Host and Legacy partners’ marketing initiatives to drive traffic into their stores, and then we develop and execute highly targeted local marketing campaigns within stores to create awareness of our service and product offerings.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customer relationship management (“CRM”) system is used to collect customer demographic data. With this information and the third-party data that we use to supplement the customer information, we enhance our customer relationships with communications based on their vision needs and interests to help improve existing customer retention. In addition to our CRM program, digital advertising is a critical component of our media mix, as we believe both of these programs generate a high rate of return. Potential customers gain awareness of our brands through paid and organic digital efforts via content, video and social media that lead them to our websites.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Sourcing and Supplier Relationships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purchase our merchandise from a wide variety of vendors, with a limited number of vendors supplying the majority of our eyeglass lenses and contact lenses. We are a large customer for all of our suppliers and we strive to form meaningful, long-lasting and mutually beneficial relationships with our vendors. We have long-term contracts with certain of our suppliers, including Essilor and CooperVision. Under our agreement with Essilor, Essilor has the sole and exclusive right to supply certain lenses for eyeglasses to us. The current term of our agreement with Essilor runs through May 2023. Thereafter, the agreement will automatically renew on a month-to-month basis unless either party gives 30 days’ prior written notice of termination, and we also have the ability to unilaterally extend the agreement an additional calendar quarter after the proposed termination date. We are collaborative in our vendor negotiations so as to develop a partnership with our vendors and, in time, a sense of loyalty to National Vision. Each of our top 10 vendors has been with us for approximately 10 years, and several of these vendors have been with us since our inception in 1990. We focus on sourcing low-cost products, including discounted well-known frame brands, secondary frame brands, direct import frames and private label contact lenses. By investing in our sourcing operations, we have increased our direct importation of eyeglass frames, which has enabled us to offer high quality frames at low prices while also generating strong gross margins.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Optical Laboratories and Distribution Network</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use a highly-efficient mix of four domestic, company-operated processing facilities and two international, outsourced facilities. We have state-of-the-art lens processing capabilities in our four geographically-diverse, company-operated production facilities in Lawrenceville, Georgia; St. Cloud, Minnesota; Plano, Texas; and Salt Lake City, Utah. Our centralized optical laboratories handle all aspects of customizing eyeglass lenses, and have digital capabilities for grinding, coating and edging to customer prescription and eyeglass frame specifications. We have developed a high-volume, low-cost lens processing model to provide seven-day turnaround service through our domestic owned laboratories and our international partner laboratories. This network was created through significant investment by us, and is leveraged across our portfolio of brands in both segments to provide efficiency and scale. We route eyeglass orders to both our owned and outsourced laboratories through an automated decision tree that incorporates information on (i) the nature of the job;</w:t>
      </w:r>
    </w:p>
    <w:p>
      <w:pPr>
        <w:spacing w:after="0" w:line="2" w:lineRule="exact"/>
        <w:rPr>
          <w:sz w:val="20"/>
          <w:szCs w:val="20"/>
          <w:color w:val="auto"/>
        </w:rPr>
      </w:pPr>
    </w:p>
    <w:p>
      <w:pPr>
        <w:jc w:val="both"/>
        <w:ind w:firstLine="8"/>
        <w:spacing w:after="0" w:line="253" w:lineRule="auto"/>
        <w:tabs>
          <w:tab w:leader="none" w:pos="2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technical capabilities of each laboratory; (iii) the capacity of each laboratory; (iv) the inventory at each laboratory; and (v) the cost of that particular type of job at each laboratory. This architecture is integrated with the point-of-sale system and enables us to minimize our processing costs, while ensuring on-time deliveries. The processing system is designed such that the more eyeglasses we sell, the more efficient the laboratories become, creating significant cost savings over time.</w:t>
      </w:r>
    </w:p>
    <w:p>
      <w:pPr>
        <w:spacing w:after="0" w:line="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our Eyeglass World stores are equipped with on-site laboratories, which typically process less complicated customer orders with same-day service. All lens orders that are not processed or completed in-store are processed or completed by our centralized laboratory network.</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118,000 square foot distribution center in Lawrenceville, Georgia and a 52,000 square foot distribution center in Columbus, Ohio. We utilize third-party carriers to transport products from these centers to customers and store locations.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 and Philanthropic Efforts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mission is to help people by making quality eye care and eyewear more affordable and accessible. Our philanthropic culture instills a sense of purpose and engagement in our associates, from in-store team members to senior management. Our associates feel pride in the positive work they are doing, which allows us to attract and retain both store associates and vision care professionals, thus improving the customer experience in our stores. In addition, our mission has been essential to the recruitment and retention of our management team, whose extensive experience is a key component of our business success.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financial success has helped fuel our ever-growing philanthropic engine. In the U.S., through our partnership with charitable organizations, we provide free vision screenings, eye exams and eyeglasses to young Americans and other underserved communities. In addition, through multiple charitable partnerships with organizations such as VisionSpring, RestoringVision, the International Agency for the Prevention of Blindness and VOSH International, we both directly assist and indirectly help improve the vision of millions of individuals globally. We also work collaboratively with others in the industry to help a portion of the world’s population who live with uncorrected vision problems.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aim to maintain a strong and resonating culture guided by our Vision, Mission and Values. We believe everyone deserves to see their best to live their best and our goal is to help people achieve this by making quality eye care and eyewear more affordable and accessible. This purpose is supported by our associates and their values – they are empowered to do what is right, committed to creating happiness every day and energized to serve.</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an inclusive and people-first culture, we are focused on celebrating and respecting our backgrounds, empowering, rewarding and developing our associates and aiming to give back to the communities in which we serve. Our human capital initiatives are focused on attracting highly qualified individuals and providing them with continued opportunities for growth and development.</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January 1, 2022, we had 13,735 full-time and part-time associates. In addition, the professional corporations or similar entities with which we contract employed 1,256 optometrists as of January 1, 2022. We are not a party to any collective bargaining agreements. We have never experienced a strike or work stoppage, and we believe that our relations with our associates and optometrists are good.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Acquisition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National Vision, we are committed to attracting talent aligned with our Vision, Mission and Values. We have invested in key leadership roles within the talent organization to refine our approach and have incorporated new technology to improve both the candidate and hiring manager experience. In addition, we have partnered with schools and other organizations to promote the profession of optometry, including continuing our multi-year sponsorship of the Association of Schools and Colleges of Optometry campaign “Optometry Gives Me Life” targeted at high school and college students, and ensuring that graduating optometrists are educated on the variety of career options available to them. Additionally, we increased accessibility to our own internal National Vision Doctor of Optometry Tuition Reimbursement program, which provides for the reimbursement of education expenses to associates attending optometry school. To mitigate the impact the COVID-19 pandemic and temporary closure of our stores had on our traditional recruiting efforts and hiring cycles in 2020, we transitioned to online platforms for job fairs and on-campus events, selectively offered key incentives, such as a student loan repayment program, and educated applicants on the health and safety protocols implemented in our stores. We have continued with both online platform recruitment as well as in person events as part of our recruitment and hiring efforts in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proven record of opening new stores with high-quality training support. As a result of the COVID-19 pandemic, we adapted our new store training approach by introducing and enhancing virtual instructor-led training classes, allowing for a continuation of high touch training to prepare stores to open safely and effectively. We also increased ongoing training, especially in the areas of safety protocol procedures and customer interactions. We provide associates and optometrists with several opportunities and mechanisms through which they can provide feedback and allow us to continue developing programs for training and growth.</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 and Wellness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strive to ensure our people always feel supported so they can bring their best selves to work every day. We demonstrate this commitment through many of our benefits and wellness offerings. Programs like our health plan, wellness and disease management programs, including personalized programs for diabetes and hypertension, and a financial protection resource, provide the needed resources essential for helping our people care for themselves and their families.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offer free on-demand mental and behavioral health resources, to provide needed guidance when work and personal challenges affect an associate’s overall well-being.</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Shortly after our IPO, we established the National Vision Crisis Relief Fund to help support associates who are facing financial hardship as a result of a natural disaster, family emergency or other unexpected events. Donations made to the Crisis Relief Fund are matched by the Company. Since its creation, over $1.1 million have been provided to associates for assistance, with over 95% provided since the beginning of the COVID-19 pandemic.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committed to a diverse and inclusive culture and in 2020, we formed a new Diversity, Equity and Inclusion (“DEI”) department within the Company. As we move forward in our DEI journey, we are focused on advancing diversity in our recruitment, training, career mentorship and development, employment, branding and community service. In 2021, we continued our focus on reviewing best practices and initiatives and conducted listen and learn sessions with associates and optometrists to solicit feedback and identify opportunity areas. As a part of these efforts, we collaborated with non-profit and educational institutions with the goal of increasing the percentage of Black doctors in the industry, including sponsoring and participating in the “Impact HBCU” event sponsored by Black Eyecare Perspectives with the goal of increasing awareness in the field among historically black college and university (“HBCU”) students. In 2021, our Chief Executive Officer became a signatory to the CEO Action for Diversity and Inclusion pledge, committing to a series of actions related to diversity, equity and inclusion across the Company, industry and communities. We were named one of Forbes’ Best Employers for Women and one of Forbes’ Best Employers for Veterans in 2021 and received the highest ranking given by 50/50 Women on Boards for balanced gender representation among the independent members of the Company’s Board of Directors. We were also recognized as one of Forbes’ Best Employers for Diversity in 2021 for, among other things, our proactive diversity and inclusion initiatives.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has presented unique challenges for our associates, doctors, customers and patients. We prioritized the safety of our associates, optometrists, customers and patients by voluntarily closing our stores to the public for a temporary period of time in 2020 to implement enhanced safety and cleaning protocols in order to serve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customers and patients with everyone’s health and safety in mind. Health and safety remain at the forefront for us as the pandemic and variants continue to evolve and present challenges for us.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Beginning in 2020, we created multiple resources for associates, including frequent and transparent communication tools, additional leave of absence and paid leave options, and centralized support to address COVID-19 questions and concerns, including regarding the availability of vaccines. We paid one-time appreciation bonuses to customer-facing associates, granted additional company holidays in the fourth quarter of fiscal year 2020 and paid benefits for associates furloughed in response to the COVID-19 pandemic. In addition, contributions to our Crisis Relief Fund more than tripled, reflecting the empathetic nature of our community.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Managed Vision Care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managed care business relates to vision care programs and associated benefits (i) sponsored by associates or other groups, (ii) provided by insurers and managed care entities, such as health maintenance organizations to individuals, and (iii) delivered, typically on a fee-for-service or capitated basis, by health care providers, such as ophthalmologists, optometrists and opticians. Our managed care business primarily consists of participation in private managed care programs. While our managed care business has continued to grow, we are underpenetrated in the managed care market relative to the broader optical retail industry, and we believe that this continues to represent a growth opportunity.</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our point-of-sale system and our back-office electronic data interchange, or EDI, capabilities, we attempt to create a seamless transactional experience for our managed care customers. From time to time, vision care insurance payors may make changes to their EDI claim systems. Such changes may require us to update our processes and could impact our ability to submit claims or to timely receive reimbursements from our managed care partners. As such, when asked, we have assisted a number of our larger vision care insurance payors to either implement or improve their existing EDI claim systems.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optical retail industry is highly competitive. Competition is generally based upon brand name recognition, price, convenience, selection, service and product quality.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within the value segment of the U.S. optical retail industry, which emphasizes price and value. This segment is fragmented. We compete with mass merchants and warehouse club stores, specialty retail chains and independent eye care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compete with online sellers of contact lenses and eyewear. The online sale of contact lenses has steadily increased in particular since the passage of the Fairness to Contact Lens Consumers Act. See “Government Regulation” below for more detail. The online sale of eyeglasses has not developed as quickly, but a number of firms are focused on this market, including Warby Parker and Zenni Optical. We also face potential competition from companies that employ emerging technologies in the optical industry, including, for example, online vision exams.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compete to be a provider under managed care contracts, which can provide us with access to new customers and also allow us to better serve our customers who are covered by managed care by filing claims directly with the payor and collecting only the applicable co-pay amount from these customers. Competition is based on many factors, including price and the density of the provider network. Several large managed care payors are vertically integrated, with substantial retail networks. We have, in the past, and may, in the future, experience heightened challenges to be admitted as a provider to these networks or to maintain our status in them.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moderately seasonal in nature. Historically, our business has realized a higher portion of net revenue, operating income and cash flows from operations in the first half of the year, and a lower portion of net revenue, operating income and cash flows from operations in the fourth fiscal quarter. The first half seasonality is attributable primarily to the timing of our customers’ income tax refunds and annual health insurance program start/reset periods. We believe that many customers in our target market, which consists of value seeking and lower income consumers, rely on tax refunds to pay for eyewear and eye care. A delay in the issuance of tax refunds can accordingly have a timing impact on our quarterly financial results in the first half of the year. Consumers could also alter how they utilize tax refund proceeds.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respect to our fourth quarter results, compared to other retailers, our products and services are less likely to be included in consumer’s holiday spending budgets, therefore reducing spending on personal vision correction during the weeks preceding December 25th of each year. Additionally, although the period between December 25th and the end of our fiscal year is typically a high-volume period, the net revenue associated with substantially all orders of prescription eyeglasses and contact lenses during that period is deferred until January due to our policy of recognizing revenue only after the product has been accepted by the customer, further contributing to higher first half of the year results. Our quarterly results may also be affected by the timing of new store openings and store closings, the amount of sales contributed by new and existing stores, the timing of certain holidays, as well as the timing of weather-related store closures.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has caused changes to the seasonality we have historically experienced, including the resulting temporary closure of our stores for a portion of the first half of 2020 and impacts from the emergence of variants or delays in the issuance of tax refunds, and may continue to cause changes for the foreseeable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Information technology systems are critical to our day-to-day operations as well as to our long-term growth strategies. Our systems are designed to deliver a consistent, scalable, high-performing and secure experience for our customers and partners. We utilize a combination of co-location data center and cloud-based solutions for our infrastructure and the majority of our applications consist of standard, integrated software solutions. Our systems provide the data analysis and automation necessary to support our marketing, merchandising, inventory, distribution, store operations and point-of-sale, e-commerce, remote medicine, finance, accounting and human resources initiatives. We believe our current systems allow us to identify and respond to operating trends in our business.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Examples of areas in which we have invested and continue to invest in include software systems to enhance the growth of our omni-channel, customer engagement efforts, remote medicine, cybersecurity programs and our overall security posture and our point-of-sale system. We believe these investments, along with maintenance of our existing information technology capabilities, will provide the flexibility and capacity to accommodate our future growth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own a number of registered and common law trademarks and pending applications for trademark registrations in the United States, primarily through our subsidiaries. Solely for convenience, the trademarks, service marks and trade names referred to in this report are presented without the ®, SM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Form 10-K (or in documents we have incorporated by reference) are the property of their respective owners.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operations are subject to extensive federal, state and local laws and regulations. Because of the various facets of our business, the scope and extent of laws and regulations applicable to our business are always subject to the risk of change or material increase. Noncompliance with these laws and regulations can subject us to sanctions (including suspension and loss of operating licenses), fines or various forms of civil or criminal prosecution, any of which could have a material adverse effect on our reputation, business, financial position, results of operations and cash flows. See Item 1A. “Risk Factors” below for a discussion of these and other risks. A summary of certain laws and regulations is described below.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Medicine/Optometry and Similar Laws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Many states prohibit the corporate practice of medicine/optometry where an unlicensed entity practices medicine or employs a physician or optometrist to provide professional medical services. Many states interpret the corporate practice of medicine/optometry rules broadly to prohibit employment of eye care practitioners by corporations like us and to prohibit various financial arrangements, such as fee-splitting, between eye care practitioners and other entities. Many states also regulate certain business practices as well as landlord-tenant arrangements between optical companies and optometrists. For example, some states prohibit a common entrance to a retail optical location and an optometric office. These laws and regulations can vary significantly by state, requiring us to tailor our operations in each state to the particular laws of such state. Many of these laws and regulations are vague and are subject to the interpretation of regulators and enforcement authorities, which may change over time. States periodically revisit these laws and regulations and we are subject to the ongoing risk that the regulatory scheme in any state can change in ways adverse to us. Our America’s Best operations, which feature a bundled offer of eyeglasses and an eye examination, are particularly implicated by these laws.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Licensure and Regulation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operations are subject to state licensing laws. All states license the practice of ophthalmology and optometry and many states license opticians. The dispensing of prescription eyewear is also regulated in most states in which we do business. In some states, we are required to register our stores as optical dispensaries.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Fairness to Contact Lens Consumers Act (“FCLCA”) and E-commerce Laws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our sales of contact lenses, we must comply with the FCLCA, and its implementing regulations, including the Contact Lens Rule, promulgated by the Federal Trade Commission (“FTC”), which establish a national uniform standard in the United States with regard to releasing and verifying contact lens prescriptions. This law and rule require that we verify the prescriptions we receive from our customers prior to selling contact lenses online. A violation of the Contact Lens Rule constitutes an unfair or deceptive act or practice under the FTC Act. In 2020, the FTC adopted changes to the Contact Lens Rule under the FCLCA, that include, among other topics, updates to the “passive verification” requirement, updates to certain other prescription requirements and new requirements regarding automated telephone verification messages.</w:t>
      </w:r>
    </w:p>
    <w:p>
      <w:pPr>
        <w:spacing w:after="0" w:line="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e-commerce business must comply with various federal and state laws, most notably the FCLCA. Our online business must also be registered in various states as a non-resident contact lens seller.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Care Regulation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engaged in managed vision care, both as a managed care entity and as a provider to managed care payors and insurers. In California, our subsidiary, FirstSight, a specialized health maintenance organization (“HMO”), is subject to the managed care laws of the State of California and is licensed and comprehensively regulated by the California Department of Managed Health Care (the “DMHC”). These regulations contain operating, disclosure, reporting and financial viability requirements, among others. Material changes to the operations of FirstSight, including the opening of America’s Best locations outside of defined service areas, must be approved by the DMHC. This approval process can be complex and can cause delays in the projected opening of our stores. We also offer Eyecare Club programs pursuant to which, in exchange for a fixed payment, individuals can obtain eye examinations and discounts on eyeglasses, contact lenses and accessories during the program period. These programs may be subject to regulation under managed care and related state laws, including those of California, where these programs are offered as managed care products by FirstSight. In addition, our Eyecare Club programs may subject us to state statutes regulating discount medical plans. These laws, which have been adopted in a number of states, require the licensing or registration of organizations that provide discounted access to health care providers. It is possible that state regulators could determine that we are operating as a discount medical plan and as such are subject to the various registration, disclosure and solvency requirements.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Security</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directly collect, use, access, disclose, transmit and/or store protected health information (“PHI”) and personally identifiable information (“PII”) in connection with the sales of our products and services, customer service, billing and employment practices. As a health care provider and as a business associate to health care providers, we are subject to federal and comparable state laws governing privacy and security, including the Health Insurance Portability and Accountability Act of 1996 (“HIPAA”) and its implementing regulations, such as the Privacy Rule, the Security Rule and the Breach Notification Rule. The Health Information Technology for Economic and Clinical Health Act of 2009 (the “HITECH Act”) extends the Privacy Rule and the Security Rule directly to business associates. We are also subject to comparable state health privacy laws to the extent they are more protective of individual privacy than the Privacy Rule. Nearly all states have adopted their own data breach laws with comparable (and sometimes conflicting) standards and requirements. These state laws apply to breaches of specified elements of PII. In addition, states may amend or adopt new laws or regulations regarding data privacy that may be applicable to us, such as the California Consumer Privacy Act of 2018 (the “CCPA”), which went into effect January 2020, and the amendments to the CCPA made by the California Privacy Rights Act of 2020, which will go into effect in January 2023.</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Laws Related to Reimbursement by Government Programs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participation in federal reimbursement programs, such as Medicare and Medicaid, subjects us to state and federal anti-kickback, false claims, physician self-referral and similar laws. The federal Anti-Kickback Statute prohibits, among other things, persons from knowingly and willfully soliciting, offering, paying, receiving or providing remuneration, directly or indirectly, to induce, or in exchange for, the referral of an individual or purchasing, furnishing, recommending or arranging for a good or service for which payment may be made under a federal healthcare program, such as Medicare or Medicaid. The definition of “remuneration” has been broadly interpreted to include anything of value, including, for example, gifts, certain discounts, the furnishing of free supplies, equipment, office space or services, credit arrangements, payment of cash and waivers of payments. Healthcare providers that have financial relationships may structure their arrangements to meet certain voluntary safe harbors under the federal Anti-Kickback Statute so that such financial relationships and business practices are not treated as offenses under the statute. Several courts have found a violation of the statute’s intent requirement if a single purpose of an arrangement involving remuneration is to induce referrals of patients or consumers purchasing healthcare goods or services paid for, in whole or in part, by federal government programs. There are also a number of healthcare fraud statutes that impose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Anti-Kickback Statute or healthcare fraud statutes, or specific intent to violate them in order to have committed a violation. Many states have adopted similar laws that apply to any third-party payors including commercial plans.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the federal Anti-Kickback Statute provides that any claim for government reimbursement in violation of the statute also violates the False Claims Act (“FCA”). The FCA prohibits intentionally submitting, conspiring to submit, or causing to be submitted, false or otherwise improper claims, records or statements to the federal government, or intentionally failing to return overpayments, in connection with reimbursement by federal government programs. Most states have enacted false claims laws analogous to the FCA, and both federal and state false claims laws permit private individuals to file </w:t>
      </w:r>
      <w:r>
        <w:rPr>
          <w:rFonts w:ascii="Arial" w:cs="Arial" w:eastAsia="Arial" w:hAnsi="Arial"/>
          <w:sz w:val="18"/>
          <w:szCs w:val="18"/>
          <w:i w:val="1"/>
          <w:iCs w:val="1"/>
          <w:color w:val="auto"/>
        </w:rPr>
        <w:t xml:space="preserve">qui tam </w:t>
      </w:r>
      <w:r>
        <w:rPr>
          <w:rFonts w:ascii="Arial" w:cs="Arial" w:eastAsia="Arial" w:hAnsi="Arial"/>
          <w:sz w:val="18"/>
          <w:szCs w:val="18"/>
          <w:color w:val="auto"/>
        </w:rPr>
        <w:t>or “whistleblower” lawsuits on behalf of the federal or state government. The Social Security Act also imposes significant penalties for false or</w:t>
      </w:r>
      <w:r>
        <w:rPr>
          <w:rFonts w:ascii="Arial" w:cs="Arial" w:eastAsia="Arial" w:hAnsi="Arial"/>
          <w:sz w:val="18"/>
          <w:szCs w:val="18"/>
          <w:i w:val="1"/>
          <w:iCs w:val="1"/>
          <w:color w:val="auto"/>
        </w:rPr>
        <w:t xml:space="preserve"> </w:t>
      </w:r>
      <w:r>
        <w:rPr>
          <w:rFonts w:ascii="Arial" w:cs="Arial" w:eastAsia="Arial" w:hAnsi="Arial"/>
          <w:sz w:val="18"/>
          <w:szCs w:val="18"/>
          <w:color w:val="auto"/>
        </w:rPr>
        <w:t>improper Medicare and Medicaid billings.</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U.S. Physician Self-Referral Law, or the Stark Law, generally prohibits physicians (which the Stark Law defines to also include optometrists) from referring, for “designated health services” (as defined by the Centers for Medicare &amp; Medicaid Services), Medicare or Medicaid beneficiaries to any entity with which the physician or an immediate family member of the physician has a financial relationship. Designated health services do not include optometric services for physician referrals. This law further prohibits the entity receiving a prohibited referral from presenting a claim for reimbursement by Medicare or Medicaid for services furnished pursuant to the prohibited referral. The Stark Law has a number of specific mandatory exceptions for financial hardships between regulated healthcare providers that do not pose a risk of abuse to Medicare programs or patient abuse. Many states have adopted similar self-referral laws which are not limited to Medicare or Medicaid reimbursed services. In some cases, the rental of space constitutes a financial relationship under this law. The Stark Law is a strict liability law, meaning that intent is not required; the mere presence of a prohibited relationship may constitute a Stark Law violation if certain mandatory exceptions are not met.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Food and Drug Administration (“FDA”) Regulation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FDA generally has authority to, among other things, regulate the manufacture, distribution, sale and labeling of medical devices, including contact and spectacle lenses. Under the U.S. Federal Food, Drug and Cosmetic Act (the “FDC Act”), medical devices must meet a number of regulatory requirements. We engage in certain manufacturing, repackaging and relabeling activities at our optical laboratories and at certain Eyeglass World stores, which subject us to the FDA’s registration, listing and quality requirements. We are required to register our centralized laboratories with the FDA.</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 Laws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Federal and state consumer protection laws and regulations can apply to our operations and retail offers. Some of our promotions, such as our America’s Best offer of a “free” eye exam, are subject to compliance with laws and regulations governing use of this term. The FTC has authority under Section 5 of the Federal Trade Commission Act (the “FTC Act”) to investigate and prosecute practices that are “unfair trade practices,” “deceptive trade practices,” or “unfair methods of competition.” State attorneys general typically have comparable authority and many states permit private plaintiffs to bring actions on the basis of these laws. In addition, state regulators or boards of optometry may challenge our promotional practices, including America’s Best’s bundled offers, as, among other things, violating applicable state laws regarding unfair competition, false advertising to consumers, or corporate practice of optometry prohibitions.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Corrupt Practices Act (“FCPA”)</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source a significant portion of our products from outside the United States. The FCPA and other similar anti-bribery and anti-kickback laws and regulations generally prohibit companies and their intermediaries from making improper payments or offering anything of value to non-U.S. officials for the purpose of obtaining or retaining business. Our policies and our code of conduct mandate compliance with applicable law, including these laws and regulations.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Card Industry Data Security Standard (“PCI Standard”)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we accept debit and credit cards for payment, we are subject to the PCI Standard, which contains compliance guidelines with regard to our security surrounding the physical and electronic storage, processing and transmission of cardholder data. Certain states have incorporated these requirements into state law. Our credit card agreements with our banks require that we comply with this standard and pay for any fines and assessments imposed by the credit card companies in the event of a compromise of card data.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Contract Regulations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product protection plans for our eyeglasses. In certain states, service contract and similar laws regulate these plans. These laws, which vary by state, mandate that sellers of such contracts comply with various registration, disclosure and financial requirements. It is possible that regulators in certain states could determine that our extended warranty plans should be subject to these laws.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Safety Regulation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optical laboratories in the United States and our in-store laboratories in our Eyeglass World locations subject us to various federal, state and local laws, regulations and other requirements pertaining to protection of the environment, public health and associate safety, including, for example, regulations governing the management of hazardous substances, and the maintenance of safe working conditions. These laws also apply generally to all our properties. Our failure to comply with these laws can subject us to criminal and civil liabilities.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COVID-19-Related Regulations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federal and state laws and regulations have been adopted in response to the COVID-19 pandemic that, among other things, include liability protections for certain businesses. On March 27, 2020, the Coronavirus Aid, Relief, and Economic Security (“CARES”) Act was enacted in response to the COVID-19 pandemic. The CARES Act, among other things, provides tax relief to businesses, including the deferral of certain payroll taxes, relief for retaining employees, accelerating a company’s ability to recover Alternative Minimum Tax (“AMT”) refundable credits and other income tax provisions. We have elected to apply the AMT refundable credit provision and the employee retention credit provisions of the CARES Act. See Note 1. “Business and Significant Accounting Policies” for more details. Additional federal or state laws and regulations may be adopted in the future in response to the pandemic and continued impact of the pandemic.</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the requirements of the Occupational Safety and Health Administration (OSHA) and other federal and state agencies that address employee health, including from infectious diseases such as COVID-19, and safety. While we are not currently subject to any vaccine mandate, it continues to be our policy to encourage each of our employees to be fully vaccinated against COVID-19. To the extent we become subject to a vaccine mandate in the future, our implementation of the mandate could result in employee attrition, including attrition of critical skilled labor, and difficulty meeting future labor requirements.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we are meeting state and federal rules and regulations protecting the health and safety of our employees. Based on new or revised regulatory developments, we may be required to take additional actions or increase expenditures in the future to comply with higher industry and regulatory safety standards.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and Risk Management</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use a combination of insurance and self-insurance for workers’ compensation, general liability, property insurance, director and officers’ liability insurance, vehicle liability and associate health-care benefits, among others. Liabilities associated with the risks that are retained by us are estimated, in part, by considering historical claims experience, demographic factors, severity factors and other actuarial assumptions. Where we have retained risk through self-insurance or similar arrangements, we utilize third-party firms to assist management in assessing the financial impact of risk retention.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and the other information contained in this report and other filings that we make from time to time with the SEC, including our consolidated financial statements and accompanying notes. Any of the following risks could materially and adversely affect our business, financial condition, results of operations or liquidity. These risks are not the only risks we face. Our business, financial condition, results of operations or liquidity could also be adversely affected by additional factors that apply to all companies generally or by risks not currently known to us or that we currently view to be immaterial. We can provide no assurance and make no representation that our risk mitigation efforts, although we believe they are reasonable, will be successful.</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had, and may in the future continue to have, a material adverse impact on our business.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COVID-19 pandemic and the travel restrictions, quarantines, and other related public health measures and actions taken by governments and the private sector have adversely affected global economies, financial markets and the overall environment for our business, and the extent to which it may continue to impact our future results of operations and overall financial performance remains uncertain. The global macroeconomic effects of the pandemic may persist for an indefinite period of time, even after the pandemic has subsided.</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the pandemic and the recommendations of U.S. government and health authorities, our retail stores closed to the public beginning on March 19, 2020, which had a material adverse impact on our sales and profitability. We began reopening our stores to the public on April 27, 2020 and on June 8, 2020, we announced the successful completion of the reopening process. While we expect to be able to continue operations for the duration of the pandemic, our store operations are subject to change based on market conditions and the continued evolution of the pandemic.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COVID-19 pandemic and its continued evolution has impacted and may continue to impact us in the following ways:</w:t>
      </w:r>
    </w:p>
    <w:p>
      <w:pPr>
        <w:spacing w:after="0" w:line="117" w:lineRule="exact"/>
        <w:rPr>
          <w:sz w:val="20"/>
          <w:szCs w:val="20"/>
          <w:color w:val="auto"/>
        </w:rPr>
      </w:pPr>
    </w:p>
    <w:p>
      <w:pPr>
        <w:ind w:left="660" w:hanging="166"/>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disruption to our growth strategy, supply chain, delivery of merchandise, professional recruitment, ability to staff stores, typical seasonality and customer demand;</w:t>
      </w:r>
    </w:p>
    <w:p>
      <w:pPr>
        <w:spacing w:after="0" w:line="62"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newly enacted state, local and federal healthcare laws in response to COVID-19, including any vaccine mandate, and exposure to potential lawsuits, workforce attrition and difficulty in maintaining professional recruitment; and</w:t>
      </w:r>
    </w:p>
    <w:p>
      <w:pPr>
        <w:spacing w:after="0" w:line="62"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inability to maintain sufficient levels of cash flow from our operations to fund our business and growth strategy and difficulty in obtaining additional financing on terms that are favorable to us.</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scope and duration of the pandemic, including the current wave of outbreaks from the emergence and spread of variants of COVID-19 throughout the United States and globally and other future resurgences, the pace at which government restrictions are lifted or re-instated to contain the virus, the impact on our ability to maintain sufficient personnel and recruit employees, the impact on our customers and suppliers, the speed and extent to which markets fully recover from the disruptions caused by the pandemic, and the impact of these factors on our business, will depend on future developments that are highly uncertain and cannot be predicted with confidence. It is possible that changes in economic conditions and steps taken by the federal government and the Federal Reserve in response to the COVID-19 pandemic could lead to higher inflation than we had anticipated, which could in turn lead to an increase in our costs of products and services and other operating expenses. In addition, to the extent COVID-19 adversely affects our operations and global economic conditions more generally, it may also have the effect of heightening many of the other risks described herein.</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believe that the long-term fundamentals of our business are largely unchanged, and anticipate that our operating results in future fiscal years will begin to reflect a more normal operating environment, the current economic and public health climate has created a high degree of uncertainty. As such, we continue to closely monitor this global health crisis and will continue to reassess our strategy and operational structure on a regular, ongoing basis as the situation evolves. We refer you to “Management’s Discussion and Analysis of Financial Position and Results of Operations” for a more detailed discussion of the potential impact of the COVID-19 pandemic and associated economic disruptions, and the actual operational and financial impacts that we have experienced to date.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An overall decline in the health of the economy and other factors impacting consumer spending, including inflation, recessionary conditions, the timing and issuance of tax refunds, governmental instability and natural disasters, may affect consumer purchases, which could reduce demand for our products and materially harm our sales, profitability and financial condition.</w:t>
      </w:r>
    </w:p>
    <w:p>
      <w:pPr>
        <w:spacing w:after="0" w:line="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war and fears of war (including the recent Russian invasion of Ukraine), inclement weather, natural disasters, terrorism, outbreak of viruses or widespread illness and consumer perceptions of personal well-being and security. Over the past few years, global markets and economic conditions have been challenging, particularly in light of the COVID-19 pandemic and resulting temporary retail store closures that we instated in the first half of 2020. More recently, in January 2022 the consumer price index rose 7.5% on an annual basis, the highest reading since 1982. In addition, from time to time we have temporarily closed certain stores due to hurricanes, natural disasters or civil unrest. Such store closures due to factors that are outside of our control could materially adversely affect our sales and profitability.</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Reduced customer confidence and spending cutbacks may result in reduced demand for our merchandise and may force us to take inventory markdowns. Reduced demand also may require increased selling and promotional expenses. Prolonged or pervasive economic downturns could slow the pace of new store openings or cause current stores to close.</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Furthermore, our target market, which consists of value seeking and lower income consumers, is sensitive to various factors outside of our control. For example, this population relies on tax refunds to pay for eyewear and eye care. A delay in the issuance of tax refunds can accordingly have a negative impact on our financial results. Consumers could also alter how they utilize tax refund proceeds. In addition, periods of instability in the government generally, or a renewed emphasis on immigration matters, can also cause this population to either delay or refrain from making such purchases. A continuation of these and similar circumstances could have a material negative impact on our financial performance. Because of the importance of the first half of the fiscal year for us, a significant downward trend in the first half could have a substantial negative impact on our annual financial results.</w:t>
      </w:r>
    </w:p>
    <w:p>
      <w:pPr>
        <w:spacing w:after="0" w:line="2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fail to open and operate new stores in a timely and cost-effective manner or fail to successfully enter new markets, our financial performance could be materially and adversely affected.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growth strategy depends, in large part, on growing our store base and expanding our operations, both in existing and new markets, and operating our new stores successfully. We cannot assure you that our contemplated expansion will be successful. Our costs in some markets are higher due to the supply and demand for real estate sites as well as increased labor and other costs.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successfully open and operate new stores depends on many factors, including, among others, our ability to:</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recruit and retain qualified vision care professionals (who may be licensed or unlicensed, depending on state regulations) for any new store;</w:t>
      </w:r>
    </w:p>
    <w:p>
      <w:pPr>
        <w:spacing w:after="0" w:line="34" w:lineRule="exact"/>
        <w:rPr>
          <w:rFonts w:ascii="Arial" w:cs="Arial" w:eastAsia="Arial" w:hAnsi="Arial"/>
          <w:sz w:val="17"/>
          <w:szCs w:val="17"/>
          <w:color w:val="auto"/>
        </w:rPr>
      </w:pPr>
    </w:p>
    <w:p>
      <w:pPr>
        <w:ind w:left="660" w:right="2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regulatory, competitive, merchandising, marketing, distribution and other challenges encountered in connection with expansion into new markets where we have limited historical experience;</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train and retain an expanded workforce of store managers and other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adequate laboratory, distribution facility, information technology and other operational system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successfully integrate new stores into our existing management structure and operations, including information technology integration;</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negotiate acceptable lease terms at suitable retail locations;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sufficient levels of inventory at acceptable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necessary permits and licenses;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construct and open our stores on a timely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generate sufficient levels of cash or obtain financing on acceptable terms to support our expansion;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participate in managed care arrangements for new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achieve and maintain brand awareness in new and existing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and satisfy the merchandise and other preferences of our customers.</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failure to effectively address challenges such as these could adversely affect our ability to successfully open and operate new stores in a timely and cost-effective manner.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Accordingly, we cannot assure you that we will achieve our planned growth or, even if we are able to grow our store base as planned, that our new stores will perform as expected. There can be no assurance that newly-opened stores will achieve net sales or profitability levels comparable to those of our existing stores in the time periods estimated by us, or at all. If our stores fail to achieve, or are unable to sustain, acceptable total net sales and profitability levels, our business may be materially harmed and we may incur significant costs associated with closing those stores. Our failure to implement our growth strategy and to successfully open and operate new stores in the time frames and at the costs estimated by us could have a material adverse effect on our business, financial condition and results of operations.</w:t>
      </w:r>
    </w:p>
    <w:p>
      <w:pPr>
        <w:spacing w:after="0" w:line="32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Failure to recruit and retain vision care professionals for our stores could adversely affect our business, financial condition and results of operations. </w:t>
      </w:r>
      <w:r>
        <w:rPr>
          <w:rFonts w:ascii="Arial" w:cs="Arial" w:eastAsia="Arial" w:hAnsi="Arial"/>
          <w:sz w:val="17"/>
          <w:szCs w:val="17"/>
          <w:color w:val="auto"/>
        </w:rPr>
        <w:t>Our ability to hire and/or contract with vision care professionals for our stores is critical to our operations as well as our growth strategy. Our operations, like those of many of our competitors, depend on our ability to offer both eyewear and eye exams. In particular, our America’s Best brand promotes bundled offers of eyewear and eye exams, which require the availability of optometrists in or near our stores. Furthermore, many states require that opticians be licensed to dispense and fit eyeglasses and contact lenses. In addition, failure to have vision care professionals available in or near our stores could adversely affect our ability to win managed vision care contracts.</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ability to attract and retain vision care professionals depends on several factors. We compete with other optical retail companies, health systems and group practices for vision care professionals. We, as well as the professional corporations or similar entities that employ optometrists in certain of our retail locations, could face difficulties attracting and retaining qualified professionals if we or such corporations fail to offer competitive compensation and benefits. Increased compensation for vision care professionals could raise our costs and put pressure on our margins. We believe that the demand for optometrists in particular may continue to exceed supply in certain areas for a period of time and that the costs to employ or retain optometrists may increase, potentially materially, from current levels, which we have experienced to date due in part to hiring and labor market constraints.</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our ability to recruit, hire and/or contract with vision care professionals is closely regulated. For example, there is a risk that state authorities in some jurisdictions may find that our contractual relationships with optometrists or professional corporations or similar entities that employ optometrists violate laws prohibiting the corporate practice of medicine/optometry, in which case we may be required to restructure these arrangements, which may make it more difficult for us to attract and retain their services. See Item 1. “Business-Government Regulation.”</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material change in our relationship with vision care professionals, whether resulting from a dispute with an eye care practitioner or a group of eye care practitioners controlling multiple practice locations, a government or regulatory authority challenging our operating structure or our relationship with vision care professionals, or other changes to applicable laws or regulations (or interpretations of the same), or the loss of these relationships, could impair our ability to provide services to our customers, cause our customers to go elsewhere for their optical needs, or result in legal sanctions against us. In addition, some professional corporations or similar entities provide for the vision care services at a number of our retail locations, exposing us to some concentration risk. A material change to any of the foregoing relationships could have a material adverse effect on our business, financial condition and results of operations. Any difficulties or delays in securing the services of these professionals could also adversely affect our relationships with our Host and Legacy partners.</w:t>
      </w:r>
    </w:p>
    <w:p>
      <w:pPr>
        <w:spacing w:after="0" w:line="3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Future operational success depends on our ability to develop, maintain and extend relationships with managed vision care companies, vision insurance providers and other third-party payors.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 increasing percentage of our customers receive vision insurance coverage through managed care payors. These payors represent an increasingly significant portion of our overall revenues and our revenue growth and represented approximately one third of our overall revenues in fiscal year 2021. While we have relationships with almost all vision care insurers in the United States and with all of the major carriers, currently, a relatively small number of payors comprise the majority of our managed care revenues, subjecting us to concentration risk. Our future operational success could depend on our ability to negotiate contracts with managed vision care companies, vision insurance providers and other third-party payors, several of whom have significant market share. As our managed care business continues to expand, we have incurred and expect to incur additional costs related to this area of our business. In addition, as our managed care business continues to grow closer to overall industry penetration levels, we expect our associated revenue growth rate to slow over time.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may be unable to establish or maintain satisfactory relationships with managed care and other third-party payors. In addition, many managed care payors have existing provider structures in place that they may be unable or unwilling to change. Some vertically-integrated payors also have their own networks, and these payors may take actions to maintain or protect these networks in ways that negatively affect us, including by increasing costs or not allowing our new or existing stores to participate in their networks. Increasing consolidation in the optical industry may give such payors greater market power which may adversely affect our ability to negotiate reimbursement rates under managed care arrangements. Our inability to enter into arrangements with managed care payors in the future or to maintain existing relationships with managed care payors on commercially reasonable terms could have a material adverse effect on our business, financial condition and results of operations. In addition, delays in receiving or the failure to receive reimbursements under our managed care arrangements, significant changes to the economics of a managed care contract or relationship or the loss of a significant managed care contract or relationship could have a significant negative impact on our business, financial condition and results of operations.</w:t>
      </w:r>
    </w:p>
    <w:p>
      <w:pPr>
        <w:spacing w:after="0" w:line="3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If the performance of our Host and Legacy brands declines or we are unable to maintain or extend our operating relationships with our Host and Legacy partners, our business, profitability and cash flows may be adversely affected and we may be required to incur impairment charges.</w:t>
      </w:r>
    </w:p>
    <w:p>
      <w:pPr>
        <w:jc w:val="both"/>
        <w:spacing w:after="0" w:line="323" w:lineRule="auto"/>
        <w:rPr>
          <w:sz w:val="20"/>
          <w:szCs w:val="20"/>
          <w:color w:val="auto"/>
        </w:rPr>
      </w:pPr>
      <w:r>
        <w:rPr>
          <w:rFonts w:ascii="Arial" w:cs="Arial" w:eastAsia="Arial" w:hAnsi="Arial"/>
          <w:sz w:val="16"/>
          <w:szCs w:val="16"/>
          <w:color w:val="auto"/>
        </w:rPr>
        <w:t>We derive significant revenues and operating cash flows from our relationships with our Legacy and Host partners through our operations of 230 Vision Centers in select Walmart stores, 29 Vista Optical locations within select Fred Meyer stores and 54 Vista Optical locations on select military bases.</w:t>
      </w:r>
    </w:p>
    <w:p>
      <w:pPr>
        <w:spacing w:after="0" w:line="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Termination or expiration of our Host and Legacy agreements would result in a reduction of our revenues and operating cash flows, which could be material and which could adversely affect our business, financial condition and results of operations including an impairment of the intangible assets. The loss of our Vision Centers or Vista Optical locations could impair our ability to attract and retain management and retail associates, compete for managed vision care contracts, obtain favorable terms, such as discounts and rebates, from optical vendors and generate cash to fund our business and service our debt obligations. We may seek to replace any lost Host or Legacy locations with new America’s Best or Eyeglass World stores but we may not be able to support the carrying value of the intangible assets at these brands or replace the lost revenues and cash flows.</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For example, our current management &amp; services agreement with Walmart presents a variety of risks. The current term of the management &amp; services agreement </w:t>
      </w:r>
      <w:r>
        <w:rPr>
          <w:rFonts w:ascii="Arial" w:cs="Arial" w:eastAsia="Arial" w:hAnsi="Arial"/>
          <w:sz w:val="17"/>
          <w:szCs w:val="17"/>
          <w:color w:val="212529"/>
        </w:rPr>
        <w:t>ends on February 23, 2024.</w:t>
      </w:r>
      <w:r>
        <w:rPr>
          <w:rFonts w:ascii="Arial" w:cs="Arial" w:eastAsia="Arial" w:hAnsi="Arial"/>
          <w:sz w:val="17"/>
          <w:szCs w:val="17"/>
          <w:color w:val="auto"/>
        </w:rPr>
        <w:t xml:space="preserve"> Sales associated with this arrangement with Walmart represented 8.0% of consolidated net revenue in fiscal year 2021, which exposes us to concentration of customer risk. In addition, the agreement permits Walmart to control many aspects of the retail operations at the Vision Centers we manage on behalf of Walmart, including pricing, merchandising and similar matters. If Walmart exercises its rights under this agreement in a way that adversely affects us, our sole remedy would be to terminate the agreement after participating in an informal resolution and, if necessary, a mediation process. There are no assurances that Walmart will not seek to exercise these rights in a manner that is materially adverse to our interests. In addition, under our current management &amp; services agreement, we earn fees based on a percentage of the revenues from the Vision Centers we manage. The agreement also allows Walmart to collect penalties from us if the Vision Centers do not generate a requisite amount of revenues, which penalties equal a percentage of the shortfall. We may not be able to maintain the performance levels required and, as a result, may be forced to pay penalties to Walmart or default under this agreement at a point in time when our fees from the arrangement will already be lower than anticipated. Further, a breach by us of the terms and conditions of this agreement could cause us to lose all management fees derived under this agreement, which could adversely affect our financial position and results of operations.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January 1, 2022, the carrying value of goodwill and intangible assets at our Host and Legacy brands was $23.1 million and $79.0 million, respectively. We review the carrying value of our goodwill and intangibles for impairment annually, or more frequently when impairment indicators exist. The impairment test requires us to analyze a number of factors, including evaluating the useful life of intangible assets, and make estimates that require judgment. Future changes in the business profitability, expected cash flows, changes in our business strategy and external market conditions, among other factors, could require us to record impairment charges for goodwill or intangible assets, which could lead to decreased assets and reduced net income. If a significant write down were required, the charge could have a material adverse effect on our operating results and stockholders’ equity, and could impact the trading price of our common stock.</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are subject to extensive state, local and federal vision care and healthcare laws and regulations and failure to adhere to such laws and regulations would adversely affect our business.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extensive state, local and federal vision care and healthcare laws and regulations. See Part I. Item 1. “Business-Government Regulation.” The laws applicable to us are also subject to evolving interpretations. As such, we must monitor our compliance with laws in every jurisdiction in which we operate on an ongoing basis and we cannot guarantee that subsequent interpretation of, or changes to, the applicable laws will not negatively affect our business operations.</w:t>
      </w:r>
    </w:p>
    <w:p>
      <w:pPr>
        <w:spacing w:after="0" w:line="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example, the arrangements we have implemented with optometrists and professional corporations or similar entities owned by eye care practitioners could subject us to scrutiny by federal and state regulatory bodies regarding federal and state anti-kickback, fraud and abuse, or other laws. In addition, our failure, or the failure of vision care professionals who are our associates or with whom we have contractual arrangements, to obtain and maintain appropriate licenses could result in the unavailability of vision care professionals in or near our stores, loss of sales and/or the closure of our stores without licensed professionals, as well as fines and penalties for dispensing prescription eyewear without such licensed professionals.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must comply with the FCLCA and its implementing regulations with respect to verifying contact lens prescriptions in connection with our online sales of contact lenses. Our extended warranty plans may subject us to state laws, which vary by state, that regulate the sale of product service contracts or insurance-like arrangements. It is possible that regulators in certain states could determine that our warranty plans should be subject to these laws and mandate that we comply with various registration, disclosure and financial requirements. In such event, we could be required to incur enhanced compliance costs, as well as the risk of cease and desist orders and monetary penalties.</w:t>
      </w:r>
    </w:p>
    <w:p>
      <w:pPr>
        <w:spacing w:after="0" w:line="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subject to HIPAA, the HITECH Act and the health data privacy, security and breach notification regulations issued pursuant to these statutes, which govern our collection, use, access, disclosure, transmission and/or storage of PHI, in connection with the sales of our products and services, customer service, billing and employment practices, as well as our operations as a business associate to multiple healthcare providers. In addition, there are existing state privacy, security and breach notification laws and regulations that apply to both PHI and PII collected by us. These existing laws and regulations may be amended and states may adopt new laws or regulations regarding consumer data privacy (such as the California Consumer Privacy Act of 2018, which became effective in January 2020). Our failure to effectively implement the required or addressable data privacy and security safeguards and breach notification procedures, or our failure to accurately anticipate the application or interpretation of these statutes, regulations and standards, could lead to invalidation or modification of our agreements with optometrists or professional corporations or similar entities owned by eye care practitioners, create material civil and/or criminal liability for us or require us to change our business practices, which could result in adverse publicity and loss of consumer trust, and have a material adverse effect on our business, financial condition and results of operations.</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participation in federal healthcare programs, such as Medicare and Medicaid, requires us to comply with laws regarding the way in which we conduct business and submit claims. These laws include the federal Anti-Kickback Statute, which attaches criminal liability to unlawful inducements for the referral of business reimbursable under federally-funded healthcare programs; the federal physician self-referral laws, which attach repayment and monetary damages where a healthcare service provider seeks reimbursement for providing certain services to a patient who was referred by a physician that has certain types of direct or indirect financial relationships with such service provider; and the FCA, which attaches per-claim liability and potentially treble damages to the filing of false claims for payment under federally funded programs. Many states have also adopted similar laws that apply to any third-party payor including commercial plans. Our operating results could be negatively impacted by developments in these areas due to the costs of compliance in addition to possible civil and criminal penalties, litigation and exclusion from government healthcare programs in the event of deemed noncompliance.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a person who offers or transfers to a federal healthcare program beneficiary any remuneration, including the transfer of items or services for free or other than fair market value, that the person knows or should know is likely to influence the beneficiary’s selection of a particular provider, practitioner or supplier of Medicare or Medicaid payable items or services, may be liable for significant civil monetary penalties. Although this prohibition applies only to federal healthcare program beneficiaries; the provision of free items and services to patients covered by commercial payors may implicate applicable state laws related to, among other things, unlawful schemes to defraud, excessive fees for services, tortious interference with patient contracts and statutory or common law fraud. In addition, state regulators or boards of optometry may also challenge our promotional practices, including America’s Best’s bundled offers, as, among other things, violating applicable state laws regarding unfair competition, false advertising to consumers, or corporation practice of optometry prohibitions. To the extent our promotional programs are found to be inconsistent with applicable laws, we may be required to restructure or discontinue such programs, or be subject to other significant penalties.</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Eyeglasses and contact lenses are regulated as medical devices in the United States by the FDA, and under the FDC Act, such medical devices must meet a number of regulatory requirements. We do not hold any marketing authorizations for the eyeglasses and contact lenses that we sell as we serve as the retailer for third-party manufacturers’ devices. We cannot provide assurance that such third-party manufacturers’ eyeglasses or contact lenses we sell comply with these regulatory requirements. We also engage in certain manufacturing, repackaging and relabeling activities that subject us to direct oversight by the FDA under the FDC Act and its implementing regulations. If we, or any of the third-party manufacturers whose products we sell, fail to comply with applicable requirements, we or they may be subject to legal action by the U.S. Department of Justice, on behalf of the FDA and/or various forms of FDA enforcement and compliance actions, which include recalls, fines, penalties, injunctions, seizures, prosecutions, adverse publicity (such as FDA press releases) or other adverse actions.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failure to comply with the applicable regulations could have severe consequences, including the closure of our stores, possible breaches of the agreements relating to certain of our brands, changes to our way of doing business and the imposition of fines and penalties.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managed vision care laws and regulations.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engaged in managed vision care, both as a managed care entity through our subsidiary, FirstSight, and as a provider to managed care payors and insurers, and are subject to additional regulations as a result. FirstSight is licensed as a single-service HMO and is subject to the managed care laws of the State of California and is comprehensively regulated by the DMHC. FirstSight’s failure to comply with the regulations and requirements under such managed care laws may result in the imposition of various sanctions, including the suspension or revocation of FirstSight’s license, civil penalties and appointment of a receiver, among others. Material changes to the operations of FirstSight, including the opening of America’s Best locations outside of defined service areas, must be approved by the DMHC. This approval process can be complex and can cause delays in the projected opening of our stores. The sale of managed care products by FirstSight is essential to our expansion of America’s Best in California, and the suspension or loss of our license or our failure to otherwise comply with applicable regulatory requirements could have a material adverse impact on our expansion plans in California.</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our Eyecare Club programs may be subject to regulation under managed care and related state laws, including those of California, where these programs are offered by FirstSight. Our Eyecare Club programs may also subject us to state statutes regulating discount medical plans, requiring the licensing or registration of organizations that provide discounted access to health care providers. It is possible that state regulators could determine that we are operating as a discount medical plan and as such are subject to various registration, disclosure and solvency requirements. We could incur increased compliance costs as a result. We would also be subject to the risk of cease and desist orders and monetary penalties.</w:t>
      </w: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support our expanding business and execute our growth strategy, we need significant amounts of capital, including funds to pay our lease obligations, build out new store spaces, laboratories and distribution centers, purchase inventory, pay personnel and further invest in our infrastructure and facilities. Further, our plans to grow our store base may create cash flow pressure if new locations do not perform as projected. We have and expect to continue to primarily depend on cash flow from operations to fund our business and growth plans. If we do not generate sufficient cash flow from operations, we may need to obtain additional equity or debt financing. Tightening in the credit markets, low liquidity, volatility in the capital markets and a downturn in the economy could result in diminished availability of credit, higher cost of borrowing and lack of confidence in the equity markets, making it more difficult to obtain additional financing on terms that are favorable to us. If such financing is not available to us, or is not available on satisfactory terms, our ability to operate and expand our business could be curtailed and we may need to delay, limit or eliminate planned store openings or operations or other elements of our growth strategy.</w:t>
      </w:r>
    </w:p>
    <w:p>
      <w:pPr>
        <w:spacing w:after="0" w:line="33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i w:val="1"/>
          <w:iCs w:val="1"/>
          <w:color w:val="auto"/>
        </w:rPr>
        <w:t>We depend 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p>
    <w:p>
      <w:pPr>
        <w:spacing w:after="0" w:line="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Substantially all of our inventory is shipped directly from suppliers to our two distribution centers in Lawrenceville, Georgia and Columbus, Ohio. Inventory is then processed, sorted and shipped using third-party carriers to our stores, to our laboratories for further processing, to our online customers or to Walmart stores and Sam’s Club locations. We operate laboratory facilities in Lawrenceville, Georgia; St. Cloud, Minnesota; Plano, Texas; and Salt Lake City, Utah. We also have outsourcing relationships with third-party laboratories in Mexico and China. These laboratories process most of the lenses ordered by our customers in our stores, as well as on our websites. Once processed at the laboratories, the finished products are returned to our distribution centers for shipment to stores, our customers or our business partners.</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depend in large part on the orderly operation of this receiving and distribution process, which depends, in turn, on adherence to shipping schedules and effective management of our distribution centers. Increase in transportation costs (including increases in fuel costs), increased shipping costs, issues with overseas shipments, supplier-side delays, reductions in the transportation capacity of carriers, labor strikes or shortages in the transportation industry, disruptions to the national and international transportation infrastructure and unexpected delivery interruptions or delays also have the potential to derail our distribution process. We face additional risks related to the laboratories in China and Mexico, including port of entry risks such as longshoremen strikes, import restrictions, foreign government regulations, trade restrictions, customs and duties.</w:t>
      </w:r>
    </w:p>
    <w:p>
      <w:pPr>
        <w:spacing w:after="0" w:line="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source merchandise from suppliers located in China, a significant amount of domestically-purchased merchandise is manufactured in China, and one of our outsourced third-party laboratories is located in China. Historically, tariffs have not materially affected our financial results, and we believe that less than 15% of costs applicable to revenue are subject to tariffs on Chinese imports. Effective September 1, 2019, the U.S. government implemented a 15% tariff on specified products imported into the U.S. from China and effective February 14, 2020, the 15% tariff was reduced to 7.5%. In June 2020, the U.S. government granted a temporary exclusion for plastic and metal frames with a retroactive effective date of September 1, 2019, and such exclusion expired in September 2020. Given the current U.S. presidential administration, there is uncertainty whether there will be, and the resulting impacts of, any changes to U.S. government trade policy. While we have implemented mitigation plans and continue to focus on additional mitigation strategies to offset the impact of tariffs, costs with respect to products subject to these tariffs have increased. If we are unable to mitigate the full impact of the enacted tariffs or if there is a further escalation of tariffs, costs on a significant portion of our products may increase further and our financial results may be negatively affected.</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change the transportation companies we use, we could face logistical difficulties that could adversely affect deliveries and we could incur costs and expend resources in connection with such change. We also may not be able to obtain terms as favorable as those received from the third-party transportation providers we currently use, which could increase our costs. We also may not anticipate changing demands on our distribution system, including the effect of any expansion we may need to implement in our distribution centers.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events beyond our control, such as disruptions in operations due to natural or man-made disasters, inclement weather conditions, accidents, system failures, power outages, political instability, break-in, server failure, work stoppages, slowdowns or strikes by associates, acts of terrorism, widespread illness, health concerns regarding infectious diseases, and other unforeseen or catastrophic events, could damage our optical laboratories and/or distribution centers or render them inoperable, making it difficult or impossible for us to process customer orders for an extended period of time. For example, the COVID-19 pandemic has resulted in increased travel restrictions and affected certain companies’ operations globally, which may impact our outsourced laboratory in China and our processing of customer orders. Such events may also result in delays in our receipt of inventory and the delivery of merchandise between our stores, our optical laboratories and our distribution centers. We could also incur significantly higher costs and longer lead times associated with distributing inventory during the time it takes for us to reopen or replace one or both of our distribution centers. In addition, the unavailability of, or disruptions to, equipment to process lenses and assemble custom-made eyeglasses or trained operators of such equipment in our optical laboratories could adversely affect our ability to fulfill customer orders in a timely manner. Any disruption to the laboratories’ operations may reduce or impair the quality of assembled eyeglasses.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inability to fulfill, or any delays in processing, customer orders through our laboratory network or any quality issues could result in the loss of customers, issuances of refunds or credits and may also adversely affect our reputation. The success of our stores depends on their timely receipt of products for sale and any repeated, intermittent or long-term disruption in, or failures of, the operations of our distribution centers and/or optical laboratories could result in lower sales and profitability, a loss of loyalty to our brands and excess inventory. The insurance we maintain for business interruption may not cover all risk, or be sufficient to cover all of our potential losses, may not continue to be available to us on acceptable terms, if at all, and any insurance proceeds may not be paid to us in a timely manner.</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vendors from whom our products are sourced and are dependent on a limited number of suppliers.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purchase all of our merchandise from domestic and international vendors. For our business to be successful, our suppliers must be willing and able to provide us with products in substantial quantities, in compliance with regulatory requirements, at acceptable costs and on a timely basis. Our ability to obtain a sufficient selection or volume of merchandise on a timely basis at competitive prices could suffer as a result of any deterioration or change in our vendor relationships or events that adversely affect our vendors.</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than our contracts for the supply of spectacle lenses and our private label contact lenses, we typically do not enter into long-term contracts with our vendors and, as such, we operate without significant contractual assurances of continued supply, pricing or access to new products. Any of our vendors could discontinue supplying us with desired products in sufficient quantities or offer us less favorable terms on future transactions for a variety of reasons. The benefits we currently experience from our vendor relationships could be adversely affected if our vendors:</w:t>
      </w:r>
    </w:p>
    <w:p>
      <w:pPr>
        <w:spacing w:after="0" w:line="6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discontinue selling merchandise to us;</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arrangements with competitors that could impair our ability to sell their products, including by giving our competitors exclusivity arrangements or limiting our access to certain products;</w:t>
      </w: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similar or identical products to our competitors with similar or better pricing, some of whom may already purchase merchandise in significantly greater volume and at lower prices than we do;</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raise the prices they charge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refuse to allow us to return merchandise purchased from them;</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pricing terms to require us to pay on delivery or upfront, including as a result of changes in the credit relationships some of our vendors have with their various lending institutions;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lengthen their lead times; or</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or expand sales of their products to retail customers directly through their own stores, catalogs or on the Internet and compete with us directly.</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Events that adversely impact our vendors could impair our ability to obtain adequate and timely supplies. Such events include, among others, difficulties or problems associated with our vendors’ business, the financial instability and labor problems of vendors, merchandise quality and safety issues, natural or man-made disasters, inclement weather conditions, war, acts of terrorism and other political instability, economic conditions, shipment issues, the availability of raw materials and increased production costs. Our vendors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also source merchandise directly from suppliers outside of the United States. Additionally, a significant amount of our domestically-purchased merchandise is manufactured abroad.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 products, increased custom duties and tariffs, unforeseen delays in customs clearance of goods, more restrictive quotas, loss of a most favored nation trading status, currency exchange rates, transportation delays, port of entry issues and foreign government regulations, political instability and economic uncertainties in the countries from which we or our vendors source our products. Our product sourcing could be impacted by current and future travel restrictions and/or the shut-down of certain businesses in China or elsewhere due to the COVID-19 pandemic and the resurgence of variants. Supply chain disruptions arising from COVID-19 may impact our ability to make products, the cost for such products and the ability to deliver products to customers in a timely fashion. Our sourcing operations may also be hurt by health concerns regarding infectious diseases in countries in which our merchandise is produced. Moreover, negative press or reports about internationally manufactured products may sway public opinion, and thus customer confidence, away from the products sold in our stores. These and other issues affecting our international vendors or internationally manufactured merchandise could have a material adverse effect on our business, financial condition and results of operations.</w:t>
      </w:r>
    </w:p>
    <w:p>
      <w:pPr>
        <w:spacing w:after="0" w:line="6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former presidential administration advocated for greater restrictions on international trade generally, including with respect to the North American Free Trade Agreement (“NAFTA”) and the World Trade Organization (the “WTO”). In December 2019, the United States, Mexico and Canada signed the amended United States-Mexico-Canada Agreement (the “USMCA”), which replaced NAFTA. In July 2020, the U.S. notified the United Nations of its intention to withdraw from the WTO. While the current presidential administration has rejoined the WTO, it remains difficult to predict what affect the USMCA, the WTO or other trade agreements and organizations will have on our business. If the U.S. were to withdraw from or materially modify any other international trade agreements to which it is a party or if the U.S. imposes significant additional tariffs or other restrictions on imports from China and Mexico, where our outsourced optical laboratories are located and where the majority of our frames are sourced and manufactured, it could have an adverse impact on our business. Any such tariffs, restrictions or other changes could lead to additional costs, delays in shipments, embargoes and other uncertainties that could negatively impact our relationships with our international vendors and labs and materially adversely affect our business, including by requiring us to increase our prices and identify alternative sources for merchandise and labs. See also “</w:t>
      </w:r>
      <w:r>
        <w:rPr>
          <w:rFonts w:ascii="Arial" w:cs="Arial" w:eastAsia="Arial" w:hAnsi="Arial"/>
          <w:sz w:val="17"/>
          <w:szCs w:val="17"/>
          <w:i w:val="1"/>
          <w:iCs w:val="1"/>
          <w:color w:val="auto"/>
        </w:rPr>
        <w:t>We depend on our distribution centers and optical</w:t>
      </w:r>
      <w:r>
        <w:rPr>
          <w:rFonts w:ascii="Arial" w:cs="Arial" w:eastAsia="Arial" w:hAnsi="Arial"/>
          <w:sz w:val="17"/>
          <w:szCs w:val="17"/>
          <w:color w:val="auto"/>
        </w:rPr>
        <w:t xml:space="preserve"> </w:t>
      </w:r>
      <w:r>
        <w:rPr>
          <w:rFonts w:ascii="Arial" w:cs="Arial" w:eastAsia="Arial" w:hAnsi="Arial"/>
          <w:sz w:val="17"/>
          <w:szCs w:val="17"/>
          <w:i w:val="1"/>
          <w:iCs w:val="1"/>
          <w:color w:val="auto"/>
        </w:rPr>
        <w:t>laboratories.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r>
        <w:rPr>
          <w:rFonts w:ascii="Arial" w:cs="Arial" w:eastAsia="Arial" w:hAnsi="Arial"/>
          <w:sz w:val="17"/>
          <w:szCs w:val="17"/>
          <w:color w:val="auto"/>
        </w:rPr>
        <w:t>.”</w:t>
      </w:r>
    </w:p>
    <w:p>
      <w:pPr>
        <w:spacing w:after="0" w:line="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Material changes in the pricing practices of our suppliers could negatively impact our profitability. For example, we have in the past been subject to the unilateral pricing policies implemented by certain contact lens manufacturers, which policies mandated the minimum prices at which certain contact lenses could be sold to consumers. Such manufacturers could refuse to supply us with their products if they deemed us in breach of such policies. Our vendors may also increase their pricing if their raw materials became more expensive. The raw materials used to manufacture our products are subject to availability constraints and price volatility. Our vendors may pass the increase in sourcing costs to us through price increases, thereby impacting our margins.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some of our vendors may not have the capacity to supply us with sufficient merchandise to keep pace with our growth plans, especially if we need significantly greater amounts of inventory. In such cases, our ability to pursue our growth strategy will depend in part upon our ability to develop new vendor relationships.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of our suppliers are owned by vertically-integrated companies with retail divisions that compete with us and, as such, we are exposed to the risk that these suppliers may not be willing, or may become unwilling, to sell their products to us on acceptable terms, or at all.</w:t>
      </w:r>
    </w:p>
    <w:p>
      <w:pPr>
        <w:spacing w:after="0" w:line="6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rely on a limited number of vendors to supply the majority of our eyeglass lenses and contact lenses and are thus exposed to concentration of supplier risk. In particular, we have agreed to exclusively purchase almost all of our spectacle lenses from one supplier. During fiscal year 2021, 90% of lens expenditures were from this vendor and 92% of contact lens expenditures were with three vendors. We are less exposed to a supplier risk for our eyeglass frames as only 57% of frame expenditures were with two vendors. If we were to lose any significant supplier, we may be unable to establish additional or replacement sources for our products that meet our quality controls and standards in a timely manner or on commercially reasonable terms, if at all. As a few major suppliers dominate the optical retail industry, the risks associated with finding alternative sources may be exacerbated. For example, effective October 1, 2018, Essilor and Luxottica completed their merger to become EssilorLuxottica, which exacerbates our concentration of supplier risk.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optical retail industry is highly competitive, and if we do not compete successfully, our business may be adversely impacted.</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compete directly with national, regional and local retailers, including other optical retail chains, warehouse clubs, mass merchandisers and internet-based retailers. We also compete with independent ophthalmologists, optometrists and opticians located in our markets as they often provide many of the same goods and services we provide. The retail landscape is changing as a result of changes in consumers’ shopping habits, as well as the introduction of new technologies such as online vision exams. See Part I. Item 1. “Business-Competition.”</w:t>
      </w:r>
    </w:p>
    <w:p>
      <w:pPr>
        <w:spacing w:after="0" w:line="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Some of our competitors are larger companies and have greater financial and operational resources, greater brand recognition and broader geographic presence than we do. As a result, they may be able to engage in extensive and prolonged price promotions or otherwise offer competitive prices, which may adversely affect our business. They may also be able to spend more than we do for advertising. We may be at a substantial disadvantage to larger competitors with greater economies of scale. If our costs are greater compared to those of our competitors, the pricing of our products and services may not be as attractive, thus depressing sales or the profitability of our products and services. Our competitors may expand into markets in which we currently operate and we remain vulnerable to the marketing power and high level of customer recognition of these larger competitors and to the risk that these competitors or others could attract our customer base. Some of our competitors are vertically integrated and are also engaged in the manufacture and distribution of eyewear as well as managed care. These competitors can advantageously leverage this structure to better compete and certain vertically-integrated organizations with significant market power could potentially utilize this power to make it more difficult for us to compete. We purchase many of our products from suppliers who are affiliates of our competitors. We also compete for managed vision care contracts with certain of our competitors who are affiliates of managed care payors. In addition, if any of our competitors were to consolidate operations, such consolidation would exacerbate the aforementioned risks.</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not continue to be able to successfully compete against existing or future competitors. Our inability to respond effectively to competitive pressures, improved performance by our competitors and changes in the retail markets could result in lost market share and have a material adverse effect on our business, financial condition and results of operations.</w:t>
      </w:r>
    </w:p>
    <w:p>
      <w:pPr>
        <w:spacing w:after="0" w:line="3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w:t>
      </w:r>
    </w:p>
    <w:p>
      <w:pPr>
        <w:spacing w:after="0" w:line="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rely heavily on our information technology systems for many functions across our operations, including managing our supply chain and inventory, processing customer transactions in our stores, allocating lens processing jobs to the appropriate laboratories, our financial accounting and reporting, compensating our associates and operating our websites. Our ability to effectively manage our business and coordinate the sourcing, distribution and sale of our products depends significantly on the reliability and capacity of these systems. We also collect, process and store sensitive and confidential information, including our proprietary business information and that of our customers, associates, suppliers and business partners, including Walmart and Sam’s Club. The secure processing, maintenance and transmission of this information is critical to our operations.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systems may be subject to damage or interruption from power outages or damages, telecommunications problems, data corruption, software errors, network failures, acts of war or terrorist attacks, fire, flood, ransomware and natural disasters. Our existing safety systems, data backup, access protection, user management and information technology emergency planning may not be sufficient to prevent data loss or long-term network outages. In addition, we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systems and those of our third-party service providers and business partners may be vulnerable to security breaches, attacks by hackers, acts of vandalism, computer viruses, misplaced or lost data, human errors or other similar events. Security breaches, computer malware and computer hacking have become more prevalent across industries and are increasing in their frequency, levels of persistence, sophistication and intensity, and are being conducted by sophisticated organized groups and individuals. As a result of the COVID-19 pandemic, we may face increased cybersecurity risks due to our reliance on internet technology and the increased number of employees working remotely. If unauthorized parties gain access to our networks or databases, or those of our third-party service providers or business partners, they may be able to steal, publish, delete, use inappropriately or modify our private and sensitive third-party information including protected health information, payment card information and personal identification information. In addition, associates may intentionally or inadvertently cause data or security breaches that result in unauthorized release of sensitive or confidential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techniques or implement adequate preventive measures for all situations. Like most corporations, the Company’s systems are a target of attacks. Although the incidents that we have experienced to date have not had a material effect on our business, there can be no assurance that such incidents will not have a material adverse effect on us in the future. Any such breach, attack, virus or other event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w:t>
      </w:r>
    </w:p>
    <w:p>
      <w:pPr>
        <w:spacing w:after="0" w:line="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regulatory environment surrounding information security and privacy is increasingly demanding, with the frequent imposition of new and changing requirements across our business. For instance, as an entity that collects and maintains personally identifiable information and protected health information, we could be forced, in the event of a data breach, to report the breach not only to affected customers, but also to various public agencies and media outlets, potentially harming our reputation and our business Our business partners may have contractual rights of indemnification against us or seek to terminate our contracts with them in the event that their customer or proprietary business information is released as a result of a breach of our information technology. Additionally, business partners may also face a data breach, allowing for our customer or proprietary business information to be released, could result in a loss of consumer confidence in our security measures, harm our business and also lead to costly investigations and litigation. Such a data breach of a business partner also may not be adequately covered under contractual rights of indemnification or cyber insurance. Further, if we are unable to comply with the security standards established by banks and the payment card industry, we may be subject to fines, restrictions and expulsion from card acceptance programs, which could adversely affect our retail operations. As privacy and information security laws and regulations change, we may incur additional compliance costs.</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material disruption or slowdown of our systems or those of our third-party service providers and business partners, could have a material adverse effect on our business, financial condition and results of operations.</w:t>
      </w:r>
    </w:p>
    <w:p>
      <w:pPr>
        <w:spacing w:after="0" w:line="30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We are a low-cost provider and our business model relies on the low cost of inputs. Factors such as wage rate increases, inflation, cost increases, increases in raw material prices and energy prices could have a material adverse effect on our business, financial condition and results of operations. </w:t>
      </w:r>
      <w:r>
        <w:rPr>
          <w:rFonts w:ascii="Arial" w:cs="Arial" w:eastAsia="Arial" w:hAnsi="Arial"/>
          <w:sz w:val="16"/>
          <w:szCs w:val="16"/>
          <w:color w:val="auto"/>
        </w:rPr>
        <w:t>Increases in compensation, wage pressure and other expenses for vision care professionals, as well as our other associates, may adversely affect our profitability. Increases in minimum wages and other wage and hour regulations can exacerbate this risk. Additional tariffs or other future cost increases, such as increases in the cost of merchandise, shipping rates, raw material prices, freight costs and store occupancy costs, may also reduce our profitability. These cost increases may be the result of inflationary pressures which could further reduce our sales or profitability. Increases in other operating costs, including changes in energy prices and lease and utility costs, may increase our cost of products sold or selling, general and administrative expenses. Our low price model and competitive pressures in the optical retail industry may inhibit our ability to reflect these increased costs in the prices of our products, in which case such increased costs could have a material adverse effect on our business, financial condition and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 could strain our existing resources and cause the performance of our existing stores to suffer.</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planned expansion has and continues to place increased demands on our existing operational, managerial, supply-chain and administrative resources. These increased demands could strain our resources and cause us to operate our business less effectively, which in turn could cause the performance of our new and existing stores to suffer.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our store base grows, we will need to continually evaluate the adequacy of our laboratory, distribution and information technology capabilities. Our laboratories and distribution centers have a finite capacity and, to the extent we grow beyond this capacity, we will need to expand our current laboratories and/or distribution centers or add new laboratories and/or distribution capabilities, the cost of which could be material. Implementing new operating capabilities or changing existing operating capabilities could present challenges we do not anticipate and could negatively affect our business, financial condition and results of operations. Should we open additional laboratories or distribution centers, any related construction or expansion projects entail risks which could cause delays and cost overruns, such as unavailability of suitable space, shortages of materials, shortages of skilled labor or work stoppages, unforeseen construction, scheduling, engineering, environmental or geological problems, weather interference, fires or other casualty losses and unanticipated cost increases. For example, we entered into a lease for an additional laboratory facility in 2018 which became operational in the first quarter of 2019. The completion date and ultimate cost of future projects could differ significantly from initial expectations due to construction-related or other reasons. We cannot guarantee that any project will be completed on time or within established budgets. Any delay or increased costs associated with any project could adversely affect the financial and overall performance of our existing and planned new stores.</w:t>
      </w:r>
    </w:p>
    <w:p>
      <w:pPr>
        <w:spacing w:after="0" w:line="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opening new stores in our established markets may result in inadvertent oversaturation, temporarily or permanently divert customers and sales from our existing stores to new stores and reduce comparable store sales, thus adversely affecting our overall financial performance. Furthermore, we have opened and expect to continue to open America’s Best and Eyeglass World stores in close proximity to one another. However, we may not be able to effectively manage stores of both brands in the same market, and this close proximity may cause the performance of such America’s Best and/or Eyeglass World stores to suffer. In addition, oversaturation, or the risk of oversaturation, may reduce or adversely affect the number or location of stores we plan to open, and could thereby materially and adversely affect our growth plans overall or in particular markets.</w:t>
      </w:r>
    </w:p>
    <w:p>
      <w:pPr>
        <w:spacing w:after="0" w:line="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cannot anticipate all of the demands that our expanding operations will impose on our business, personnel and systems and our failure to address such demands and to profitably manage our growth could have a material adverse effect on our business, financial condition and results of operations.</w:t>
      </w:r>
    </w:p>
    <w:p>
      <w:pPr>
        <w:spacing w:after="0" w:line="259"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b w:val="1"/>
          <w:bCs w:val="1"/>
          <w:i w:val="1"/>
          <w:iCs w:val="1"/>
          <w:color w:val="auto"/>
        </w:rPr>
        <w:t>Our success depends upon our marketing, advertising and promotional efforts. If we are unable to implement them successfully or efficiently, or if our competitors are more effective than we are, it could have a material adverse effect on our business, financial condition and results of operations.</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use marketing and promotional programs to attract customers to our stores and to encourage purchases by our customers. If we fail to successfully or efficiently develop and implement marketing, advertising and promotional strategies, we may be unable to achieve and maintain brand awareness, and customer traffic to our stores and/or websites may be reduced. We may not be able to advertise cost-effectively in new or smaller markets in which we have lower store density, which could slow growth at such stores. Changes in the amount and degree of promotional intensity or merchandising strategy by our competitors could cause us to have difficulties in retaining existing customers and attracting new customers. If the efficacy of our marketing or promotional activities declines or if such activities of our competitors are more effective than ours, or if for any other reason we lose the loyalty of our customers, it could have a material adverse effect on our business, financial condition and results of operations. Further, since our expansion in California, we have a national advertising campaign for America’s Best as opposed to only utilizing local advertising campaigns. We cannot provide assurances that a national advertising campaign will be cost-effective or successful or that we will continue such campaigns.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leasing substantial amounts of space, including future increases in occupancy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lease our America’s Best and Eyeglass World store locations, our corporate headquarters, the AC Lens corporate office, the FirstSight corporate office, our laboratories in Georgia, Texas and Utah and our distribution centers. We also lease our Vista Optical locations inside Fred Meyer stores. As a result, we are susceptible to changes in the property rental market and increases in our occupancy costs.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success of our business depends, in part, on our ability to identify suitable premises for our stores and to negotiate acceptable lease terms. Our ability to effectively renew our existing store leases or obtain store leases to open new stores depends on the availability of store premises that meet our criteria for traffic, square footage, lease economics, demographics and other factors. We may not be able to renew or extend our existing store leases on acceptable terms, or at all, and may have to abandon desirable locations or renew leases on unfavorable terms. In addition, tenants at shopping centers in which we are located or have executed leases, or to which our locations are near, may fail to open or may cease operations. Decreases in total tenant occupancy in shopping centers in which we are located, or to which our locations are near, may affect traffic at our stores. In addition, the potential default or bankruptcy of landlords in existing or pending leasehold locations may affect our ability to maintain or renew our existing leases. All of these factors could have a material adverse impact on our operations.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leases for our stores provide for a minimum rent and typically include escalating rent increases over time. In certain circumstances we pay a percentage rent based upon sales after certain minimum thresholds are achieved. Our failure to achieve these thresholds could cause our occupancy costs for these locations to increase materially on a percentage of sales basis. The leases generally require us to pay insurance, utilities, real estate taxes and common area maintenance expenses, which are highly variable over time. Our substantial lease obligations could have significant negative consequences, including:</w:t>
      </w:r>
    </w:p>
    <w:p>
      <w:pPr>
        <w:spacing w:after="0" w:line="80" w:lineRule="exact"/>
        <w:rPr>
          <w:sz w:val="20"/>
          <w:szCs w:val="20"/>
          <w:color w:val="auto"/>
        </w:rPr>
      </w:pPr>
    </w:p>
    <w:p>
      <w:pPr>
        <w:ind w:left="660" w:hanging="328"/>
        <w:spacing w:after="0" w:line="25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that a substantial portion of our available cash be applied to pay our rental obligations, reducing cash available for other purposes and reducing our operating profitability;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in the industry in which we compete;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depend on cash flows from operations to pay our lease expenses and to fulfill our other cash needs. If our business does not generate sufficient cash flow from operating activities, and sufficient funds are not otherwise available to us from borrowings or other sources, we may not be able to service our lease expenses, grow our business, respond to competitive changes or fund our other liquidity and capital needs, which could harm the business. If we are not able to make the required payments under our leases, landlords with a contractual or statutory security interest in the assets of the relevant stores may, among other things, repossess those assets, which could adversely affect our ability to conduct our operations.</w:t>
      </w:r>
    </w:p>
    <w:p>
      <w:pPr>
        <w:spacing w:after="0" w:line="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 the substantial majority of our leased sites are both currently and in the future expected to be subject to long-term noncancelable leases. If an existing or future store is not profitable and we decide to close it, we may nonetheless be obligated to perform our obligations under the applicable lease including, among other things, paying the base rent and other charges for the balance of the lease term. Even if a lease has an early cancellation clause, we may not satisfy the contractual requirements for early cancellation under that lease and/or be required to pay substantial termination fees.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expand our store base, particularly in certain markets that are more expensive, such as California and the Northeast, our lease expense and our cash outlays for rent under lease agreements may increase. Our inability to enter into new leases or renew existing leases on terms acceptable to us or be released from our obligations under leases for stores that we close could materially and adversely affect our business, financial condition and results of operations.</w:t>
      </w:r>
    </w:p>
    <w:p>
      <w:pPr>
        <w:spacing w:after="0" w:line="3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Certain technological advances, greater availability of, or increased consumer preferences for, vision correction alternatives to prescription eyeglasses or contact lenses, and future drug development for the correction of vision-related problems may reduce the demand for our products and adversely impact our business and profitability.</w:t>
      </w:r>
    </w:p>
    <w:p>
      <w:pPr>
        <w:spacing w:after="0" w:line="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Technological advances in vision care, including the development of telemedicine and other new or improved products, as well as future drug development for the correction of vision-related problems, could significantly change how eye exams may be conducted and make our existing products less attractive or even obsolete. Several companies have developed technologies for and some companies are incorporating the remote delivery of eye examinations and eye refractions. We have begun to pilot remote medicine technologies in a limited number of locations to enable the provision of remote eye examinations. If consumers accept the use of these technologies, consumers could become less likely to obtain an in-person eye examination and therefore less likely to shop at our retail locations. We also may not be able to successfully incorporate remote medicine technologies into our business which could make our exam process less attractive to customers. Additionally, the greater availability and acceptance, or reductions in the cost, of vision correction alternatives to prescription eyeglasses and contact lenses, such as corneal refractive surgery procedures, photo-refractive keratotomy, or PRK and LASIK, may reduce the demand for our products, lower our sales and thereby adversely impact our business and profitability.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fail to retain our existing senior management team or attract qualified new personnel, such failure could have a material adverse effect on our business, financial condition and results of operations.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requires disciplined execution at all levels of our organization. This execution requires an experienced and talented management team. If we were to lose the benefit of the experience, efforts and abilities of key executive personnel, it could have a material adverse effect on our business, financial condition and results of operations. Competition for skilled and experienced management is intense, and we may not be successful in attracting and retaining new qualified personnel required to grow and operate our business profitably.</w:t>
      </w:r>
    </w:p>
    <w:p>
      <w:pPr>
        <w:spacing w:after="0" w:line="328"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Our profitability and cash flows may be negatively affected if we are not successful in managing our inventory balances and inventory shrinkage. </w:t>
      </w:r>
      <w:r>
        <w:rPr>
          <w:rFonts w:ascii="Arial" w:cs="Arial" w:eastAsia="Arial" w:hAnsi="Arial"/>
          <w:sz w:val="17"/>
          <w:szCs w:val="17"/>
          <w:color w:val="auto"/>
        </w:rPr>
        <w:t>Efficient inventory management is a key component of our business success and profitability. To be successful, we must maintain sufficient inventory levels to meet our customers’ demands without allowing those levels to increase to such an extent that the costs to distribution centers, laboratories and stores to hold the goods unduly impacts our financial results.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Conversely, if we underestimate future demand for a particular product or do not respond quickly enough to replenish our best performing products, we may have a shortfall in inventory of such products, likely leading to unfulfilled orders, reduced revenue and customer dissatisfaction.</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is partly dependent on our ability to strategically source a sufficient volume and variety of brand name merchandise at opportunistic pricing. Some of our products are sourced from suppliers or with significantly reduced prices for specific reasons, and we are not always able to purchase specific merchandise on a recurring basis and we may not have control over the supply, design, cost or availability of some products we offer for sale in our stores. We also compete with other retailers for discounted merchandise to sell in our stores. To the extent that certain of our suppliers are better able to manage their inventory levels and reduce the amount of their excess inventory, the amount of discount merchandise available to us could also be materially reduced, potentially compromising our profit margin for procured merchandise.</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or theft and we may experience higher rates of inventory shrinkage or incur increased security costs to combat inventory theft. In addition, any casualty or disruption to our laboratories, distribution centers or stores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inventory levels fluctuate on a seasonal basis.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is subject to seasonal fluctuation. We typically realize a higher portion of net sales during the first half of the fiscal year, due, among other things, to the timing of tax refunds and the impact of healthcare plan resets after the close of the prior year. Adverse events, such as higher unemployment, lapses in or the lack of insurance coverage, delays in the issuance of tax refunds, deteriorating economic conditions, public transportation disruptions, or unanticipated adverse weather or travel conditions can deter consumers from shopping. Any significant decrease in net sales during the first half of the fiscal year could have a material adverse effect on us and could negatively impact our annual results. In addition, in order to prepare for our peak shopping quarters, we must increase the staffing at our stores and order and keep in stock more merchandise than we carry during other parts of the year. This staffing increase and inventory build-up may require us to expend cash faster than is generated by our operations during this period. Any unanticipated decrease in demand for our products during such period could require us to sell excess inventory at a substantial markdown, which could have a material adverse effect on our business, financial condition and results of operations.</w:t>
      </w:r>
    </w:p>
    <w:p>
      <w:pPr>
        <w:spacing w:after="0" w:line="3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rely on third-party coverage and reimbursement, including government programs, for an increasing portion of our revenues, the future reduction of which could adversely affect our results of operations.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on third-party coverage and reimbursement, including government and private insurance plans, such as managed vision care plans, for an increasing portion of our net revenue. We are generally reimbursed for the vision care services and products that we provide through payment systems managed by private insurance companies, managed care organizations and governmental agencies. Coverage and payment levels are determined at each third-party payor’s discretion, and we have limited control over third-party payor’s decision-making with respect to coverage and payment levels. Coverage restrictions and reductions in reimbursement levels or payment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methodologies may negatively impact our sales and profits. Many third-party payors may continue to explore cost-containment strategies that may potentially impact coverage and/or payment levels for our services and products and impose utilization restrictions and risk-based compensation arrangements. We cannot provide any assurances that we will be able to maintain or increase our participation in managed care arrangements or that we will be adequately reimbursed by managed care payors, vision insurance providers and other third-party payors for the services we provide and the products we sell. From time to time, vision care insurance payors may make changes to their EDI claim systems. Such changes may require us to update our processes and could impact our ability to submit claims or to timely receive reimbursements from our managed care partners. If claims for payment are disputed by managed care payors or if we fail to timely or accurately submit claims, we may not receive payment for such claims in a timely manner or at all, which could negatively impact our relationship with manage care organizations and could require us to take write-offs or otherwise have a significant negative impact on our business, financial condition and results of operations. Furthermore, any changes to or repeal of the Patient Protection and Affordable Care Act, as amended by the Health Care and Education Reconciliation Act, or any other significant changes to the healthcare regulatory landscape may reduce or eliminate coverage or reimbursement rates of insurance-funded eye exams or eyewear.</w:t>
      </w:r>
    </w:p>
    <w:p>
      <w:pPr>
        <w:spacing w:after="0" w:line="30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i w:val="1"/>
          <w:iCs w:val="1"/>
          <w:color w:val="auto"/>
        </w:rPr>
        <w:t>Our e-commerce and omni-channel business faces distinct risks, and our failure to successfully manage it could have a negative impact on our profitability.</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an e-commerce and omni-channel retailer, we encounter risks and difficulties frequently experienced by internet-based businesses. The successful operation of our business as well as our ability to provide a positive shopping experience that will generate orders and drive subsequent visits depends on efficient and uninterrupted operation of our order-taking and fulfillment operations. Risks associated with our e-commerce and omni-channel business include:</w:t>
      </w:r>
    </w:p>
    <w:p>
      <w:pPr>
        <w:spacing w:after="0" w:line="85" w:lineRule="exact"/>
        <w:rPr>
          <w:sz w:val="20"/>
          <w:szCs w:val="20"/>
          <w:color w:val="auto"/>
        </w:rPr>
      </w:pPr>
    </w:p>
    <w:p>
      <w:pPr>
        <w:jc w:val="both"/>
        <w:ind w:left="660" w:hanging="328"/>
        <w:spacing w:after="0" w:line="25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associated with our websites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in telephone service or power outages;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web-hosting, as well as delivery of merchandise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related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liability for online content;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cybersecurity and consumer privacy concerns and regulation;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contractual relationships with several third parties, including Walmart and Sam’s Club, whereby we host websites for the online sale of contact lenses and other optical products and perform related back office functions for these parties. We could be exposed to contractual liability to these third parties in the event of a failure, security breach or disruption to these websites or our failure to properly provide the services called for by these agreements.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online sales also expose us to broader applicability of regulations, as well as additional regulations, such as the prescription verification and other requirements under the FCLCA, rules relating to registration of internet sellers, certain requirements under the Treasury Department’s OFAC, FCPA, anti-money laundering and trade sanction laws and similar anti-corruption, anti-bribery and international trade laws. Problems in any of these areas could result in a reduction in sales, increased costs, sanctions or penalties and damage to our reputation and brands.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must keep up to date with competitive technology trends, including the use of new or improved technology, creative user interfaces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if our e-commerce and omni-channel business successfully grows, it may do so in part by attracting existing customers, rather than new customers, who choose to purchase products from us online rather than from our brick and mortar stores, thereby detracting from the financial performance of our stores.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affected by product liability, product recall or personal injury issues.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could be adversely impacted by the supply of defective products, including the infiltration of counterfeit products into the supply chain and contamination or product mishandling issues. Product liability or personal injury claims may be asserted against us with respect to any of the products we sell or services we provide. The provision of professional eye care services by the vision care professionals employed by us or with whom we have contractual arrangements also increases our exposure to professional liability claims. There is a risk that these claims may exceed, or fall outside the scope of, our insurance coverage. In addition, a government or other regulatory agency could require us or one of our vendors or suppliers to remove a particular product from the market for, among other reasons, failure to adhere to product safety requirements or quality control standards. Product recalls can result in the disposal or write-off of merchandise, harm our reputation and cause us to lose customers, particularly if those recalls cause consumers to question the performance, quality, safety or reliability of our products. Any significant returns or warranty claims, as well as the timing of such returns or claims, could result in significant additional costs to us and could adversely affect our results of operations.</w:t>
      </w:r>
    </w:p>
    <w:p>
      <w:pPr>
        <w:spacing w:after="0" w:line="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rely on our suppliers to control the quality of both eyeglass components and contact lenses. We are not involved in the manufacture of the merchandise we purchase from our vendors for sale to our customers, and we do not independently investigate whether these vendors legally hold sufficient intellectual property rights to the merchandise that they are manufacturing or distributing. Our ability to seek recourse for liabilities and recover costs from our vendors depends on our contractual rights as well as on the financial condition and integrity of the vendors. If we purchase products on a closeout basis, some of these products may be obtained through brokers or intermediaries rather than through manufacturers, which may make it more difficult for us to investigate all aspects of these products. Moreover, we engage in certain manufacturing, repackaging and relabeling activities at our optical laboratories and at certain Eyeglass World stores. If the products that we manufacture, repackage, or relabel are defective or otherwise result in product liability or personal injury claims against us, our business could be adversely affected and we could be subject to adverse regulatory action.</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our merchandise or services do not meet applicable governmental safety standards or our customers’ expectations regarding quality or safety, we could experience lost sales and increased costs, be exposed to legal and reputational risk and face fines or penalties which could materially adversely affect our financial results.</w:t>
      </w:r>
    </w:p>
    <w:p>
      <w:pPr>
        <w:spacing w:after="0" w:line="3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Failure to comply with laws, regulations and enforcement activities or changes in statutory, regulatory, accounting and other legal requirements could potentially impact our operating and financial results.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vision care and healthcare laws and regulations discussed above, we are subject to numerous federal, state, local and foreign laws and governmental regulations including those relating to environmental protection, personal injury, intellectual property, consumer product safety, building, land use and zoning requirements, workplace regulations, wage and hour, privacy and information security, consumer protection laws, immigration and employment law matters. If we fail to comply with existing or future laws or regulations, or if these laws or regulations are violated by importers, manufacturers or distributors, we may be subject to governmental or judicial fines or sanctions, while incurring substantial legal fees and costs. In addition, our capital expenditures could increase due to remediation measures that may be required if we are found to be noncompliant with any existing or future laws or regulations.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the FTC has authority to investigate and prosecute practices that constitute “unfair trade practices,” “deceptive trade practices” or “unfair methods of competition.” State attorneys general typically have comparable authority, and many states also permit private plaintiffs to bring actions on the basis of these laws. Federal and state consumer protection laws and regulations may apply to our operations and retail offers. For example, our America’s Best offer of a “free” eye exam is subject to compliance with laws and regulations governing the use of this term.</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transactions with the international laboratories we contract with may subject us to the FCPA and trade sanction laws, and similar anti-corruption, anti-bribery and international trade laws, any violation of which could create substantial liability for us and also harm our reputation. Our four laboratories in the United States and our in-store laboratories at our Eyeglass World locations subject us to various federal, state and local laws, regulations and other requirements pertaining to protection of the environment, public health and associate safety, including regulations governing the management of hazardous substances and the maintenance of safe working conditions, such as the Occupational Safety and Health Act of 1970, as amended. These laws also apply generally to all our properties. Our failure to comply with these laws can subject us to criminal and civil liabilities. In connection with our Vista Optical military locations, we must comply with regulations governing the occupancy of military bases. In connection with our philanthropic endeavors, we must also comply with additional federal, state and local tax and other laws and regulations.</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because we accept debit and credit cards for payment, we are subject to the PCI Standard issued by the Payment Card Industry Security Standards 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financial condition and results of operations. If there are amendments to the PCI Standard, the cost of re-compliance could also be substantial and we may suffer loss of critical data and interruptions or delays in our operations as a result.</w:t>
      </w:r>
    </w:p>
    <w:p>
      <w:pPr>
        <w:spacing w:after="0" w:line="3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Adverse litigation judgments or settlements resulting from legal proceedings relating to our business operations could materially adversely affect our business, financial condition and results of operations.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we are subject to allegations, and may be party to legal claims and regulatory proceedings, relating to our business operations. See Part I. Item 3. “Legal Proceedings.” Such allegations, claims and proceedings may be brought by third parties, including our customers, associates, governmental or regulatory bodies or competitors and may include class actions. Defending against such claims and proceedings is costly and time consuming and may divert management’s attention and personnel resources from our normal business operations, and the outcome of many of these claims and proceedings cannot be predicted. If any of these claims or proceedings were to be determined adversely to us, a judgment, a fine or a settlement involving a payment of a material sum of money were to occur, or injunctive relief were issued against us, our business, financial condition and results of operations could be materially adversely affected.</w:t>
      </w:r>
    </w:p>
    <w:p>
      <w:pPr>
        <w:spacing w:after="0" w:line="32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i w:val="1"/>
          <w:iCs w:val="1"/>
          <w:color w:val="auto"/>
        </w:rPr>
        <w:t>We may incur losses arising from our investments in technological innovators in the optical retail industry, which would negatively affect our financial results.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regularly presented with opportunities to invest and have invested in certain venture-backed emerging companies and technological innovators across the optical retail industry. Such investments could include equity or debt instruments in companies that may be non-marketable. The success of these companies may depend on product development, market acceptance, operational efficiency and other key business factors. If any of these companies fail, we could lose all or part of our investment in that company. If we determine that impairment indicators exist and that there are other-than-temporary declines in the fair value of the investment, we may be required to write down the investments to their fair value and recognize the related write-down as an investment loss.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adequately protect our intellectual property, which could harm the value of our brand and adversely affect our business.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ability to implement our business plan successfully depends in part on our ability to further build brand recognition using our trademarks, service marks and other proprietary intellectual property, including our name and logos. While it is our policy to protect and defend vigorously our rights to our intellectual property, we cannot predict whether steps taken by us to protect our intellectual property rights will be adequate to prevent infringement or misappropriation of these rights. It may be difficult for us to prevent others from copying elements of our products and any litigation to enforce our rights could be costly, divert attention of management, and may not be successful. Although we believe that we have sufficient rights to all of our trademarks, service marks and other intellectual property rights, we may face claims of infringement that could interfere with our ability to market and promote our brands. Any such litigation may be costly and divert resources from our business. Moreover, if we are unable to successfully defend against such claims, we may be prevented from using our trademarks, service marks or other intellectual property rights in the future and may be liable for damages, which in turn could materially adversely affect our business, financial condition or results of operations.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Environmental, social and governance (ESG) issues, including those related to climate change, could have a material adverse effect on our business, financial condition and results of operations.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Investors, customers, employees and other stakeholders have increasingly focused on the ESG practices of companies in recent years. As we published our first Corporate Responsibility Report in 2021 and continue to develop our corporate responsibility strategy, our ESG practices will be evaluated against stakeholders’ evolving expectations and standards for responsible corporate citizenship. If our practices in the areas of social impact, employee empowerment, environmental stewardship and corporate governance fail to meet such expectations and standards, our reputation and employee and customer retention may be negatively impacted. Additionally, increased regulatory requirements in environmental stewardship could also lead to increased operational costs. If we do not adapt to new regulations or meet evolving stakeholder expectations on ESG issues, investors may reconsider their investment in the company and customers may choose to find alternative providers, which could have a material adverse effect on our business, financial condition and results of operations.</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Changing climate and weather patterns leading to severe weather and disasters may cause significant business interruptions and expenditures.</w:t>
      </w:r>
    </w:p>
    <w:p>
      <w:pPr>
        <w:spacing w:after="0" w:line="2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Severe weather conditions and other natural phenomena resulting from changing weather patterns and rising sea levels or other causes, including hurricanes, floods, fires, landslides, extreme temperatures, significant precipitation, and earthquakes, may result in damage to our stores or other facilities and unavailability of our workforce. Additionally, shifts in weather patterns caused by climate change are expected to increase the frequency, severity or duration of certain adverse weather conditions, which could cause more significant business interruptions that result in increased costs, increased liabilities, and decreased revenues. Such losses could materially and adversely effect our business, financial condition and results of operations. Climate change may also have indirect effects on our business, including for example, leading to increased costs (or unavailability) of property or other insurance policies. Additionally, changes in federal or state legislation and regulation on climate change could result in increased capital expenditures to improve the energy efficiency of our existing stores and other facilities and could also require us to spend more on new stores or facilities without a corresponding increase in revenue.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Ownership of Common Stock</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b w:val="1"/>
          <w:bCs w:val="1"/>
          <w:i w:val="1"/>
          <w:iCs w:val="1"/>
          <w:color w:val="auto"/>
        </w:rPr>
        <w:t>We have a significant amount of indebtedness which could adversely affect our business and financial position, including limiting our business flexibility and preventing us from meeting our debt obligations.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significant amount of indebtedness. As of January 1, 2022, we had approximately $552.5 million of aggregate principal amount of indebtedness associated with our first lien term loan in the aggregate principal amount of $420.0 million (the “term loan”) and 2025 Notes outstanding (excluding finance lease obligations). Our leverage could have important consequences for us, including:</w:t>
      </w:r>
    </w:p>
    <w:p>
      <w:pPr>
        <w:spacing w:after="0" w:line="76" w:lineRule="exact"/>
        <w:rPr>
          <w:sz w:val="20"/>
          <w:szCs w:val="20"/>
          <w:color w:val="auto"/>
        </w:rPr>
      </w:pPr>
    </w:p>
    <w:p>
      <w:pPr>
        <w:ind w:left="660" w:hanging="328"/>
        <w:spacing w:after="0" w:line="25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utilize a substantial portion of our cash flows from operations to make payments on our indebtedness, reducing the availability of our cash flows to fund working capital, capital expenditures, general corporate and other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indebtedness, and any failure to comply with the obligations of any of our debt instruments, including any financial maintenance and restrictive covenants, could result in an event of default under the agreements governing our indebtedness;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restricting us from capitalizing on business opportunities;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execution of our business strategy, debt service requirements, acquisitions and other general corporate purposes; and</w:t>
      </w:r>
    </w:p>
    <w:p>
      <w:pPr>
        <w:jc w:val="both"/>
        <w:ind w:left="660" w:hanging="328"/>
        <w:spacing w:after="0" w:line="25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make principal and interest payments on and to refinance our indebtedness will depend on our ability to generate cash in the future and is subject to general economic, financial, competitive, legislative, regulatory and other factors that are beyond our control. If we cannot generate sufficient cash flow from operations to make scheduled principal and interest payments in the future, we may need to refinance all or a portion of our indebtedness on or before maturity, sell assets, delay capital expenditures or seek additional equity. The terms of our existing or future debt agreements may also restrict us from affecting any of these alternatives. Any refinancing of our debt could be at higher interest rates and may require us to comply with more onerous covenants, which could further restrict our business operations. Further, changes in the credit and capital markets, including market disruptions and interest rate fluctuations, may increase the cost of financing, make it more difficult to obtain favorable terms, or restrict our access to these sources of future liquidity.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could have a material adverse effect on our business, financial condition and results of operations, as well as on our ability to satisfy our obligations in respect of our indebtedness.</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A change in interest rates or discontinuation, reform or replacement of LIBOR and other benchmark rates, or uncertainty related to the potential for any of the foregoing, may adversely affect our business.</w:t>
      </w:r>
    </w:p>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As of January 1, 2022, $150.0 million of term loan borrowings were subject to variable interest rates, with a weighted average borrowing rate of 2.5%. In fiscal year 2021, following the maturity of the interest rate swaps, the interest rate collar hedged some of the variability in Company’s interest rates. A decrease in LIBOR, or any alternative rate, below a certain threshold could require payments to the counterparty of our interest rate collar derivative and could materially reduce our profitability and cash flows. An increase in interest rates, whether because of an increase in market interest rates or a decrease in our creditworthiness, could also increase the cost of servicing our debt and could materially reduce our profitability and cash flows.</w:t>
      </w:r>
    </w:p>
    <w:p>
      <w:pPr>
        <w:spacing w:after="0" w:line="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July 2017, the Financial Conduct Authority (the authority that regulates LIBOR) announced it intends to stop persuading or compelling banks to submit rates for the calculation of LIBOR after 2021. Further, on November 30, 2020 the ICE Benchmark Administration Limited announced its plan to extend the date that most USD-LIBOR values would cease being computed to June 30, 2023. The Alternative Reference Rates Committee and the International Swaps and Derivatives Association have identified the Secured Overnight Financing Rate (“SOFR”) as its preferred alternative rate for USD-LIBOR in debt, derivatives, and other financial contracts. Even if financial instruments are transitioned to alternative benchmarks, such as SOFR, successfully, the new benchmarks are likely to differ from LIBOR, and our interest expense associated with our outstanding indebtedness or any future indebtedness we incur may increase. Further, transitioning to an alternative benchmark rate, such as SOFR, may result in us incurring significant expense and legal risks. In 2021, we amended our credit agreement to, among other things, add customary LIBOR replacement provisions. Any alternative benchmark rate may be calculated differently than LIBOR and may increase the interest expense associated with our existing or future indebtedness.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agreement contains restrictions that limit our flexibility in operating our business.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credit agreement imposes significant operating and financial restrictions. These covenants may limit our ability and the ability of our subsidiaries, under certain circumstances, to, among other things:</w:t>
      </w:r>
    </w:p>
    <w:p>
      <w:pPr>
        <w:spacing w:after="0" w:line="7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or modify the terms of certain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credit agreement also contains certain customary affirmative covenants and events of default, including a change of control and financial maintenance covenants prohibiting us from exceeding a certain total leverage ratio or falling below a certain interest coverage ratio. As a result of these covenants and restrictions, we are limited in how we conduct our business, and we may be unable to raise additional debt or equity financing to compete effectively or to take advantage of new business opportunities. The terms of any future indebtedness we may incur could include more restrictive covenants. We cannot guarantee that we will be able to maintain compliance with these covenants in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future and, if we fail to do so, that we will be able to obtain waivers from the lenders and/or amend the covenants.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maturity dates. In addition, any event of default or declaration of acceleration under one debt instrument could also result in an event of default under one or more of our other debt instruments. If we are unable to repay, refinance or restructure our indebtedness under our secured debt, the holders of such debt could proceed against the collateral securing that indebtedness. If we are forced to refinance these borrowings on less favorable terms or if we are unable to repay, refinance or restructure such indebtedness, our financial condition and results of operations could be adversely affected.</w:t>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Conversion of the 2025 Notes could dilute the ownership interest of existing stockholders or may otherwise depress the price of our common stock.</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12, 2020, we completed the issuance of 2.50% convertible senior notes due on May 15, 2025 (the “2025 Notes”). The 2025 Notes are convertible into cash, shares of common stock or a combination of cash and shares of common stock at our election, based on the applicable conversion rate at such time. Prior to February 15, 2025, the 2025 Notes are convertible at the option of the holders of such notes under certain circumstances as provided in the governing indenture and, as of January 1, 2022, those circumstances were in effect. Based on the initial conversion rate of the 2025 Notes, which is subject to adjustment, the 2025 Notes are convertible into 12.9 million shares of our common stock with a maximum possible issuance of 16.5 million shares. The conversion of some or all of the 2025 Notes could dilute the ownership interests of existing stockholders to the extent we elect to deliver shares of our common stock upon conversion of any of the 2025 Notes. Any sales in the public market of the common stock issuable upon such conversion could adversely affect prevailing market prices of our common stock.</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trading price of our common stock may be volatile and subject to fluctuations due to a number of factors, most of which we cannot control, including those listed under these “Risk Factors,” and the following:</w:t>
      </w:r>
    </w:p>
    <w:p>
      <w:pPr>
        <w:spacing w:after="0" w:line="6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actions by us or our competitors, including 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As a result, you may not receive any return on an investment in our common stock unless you sell our common stock for a price greater than your purchase price.</w:t>
      </w:r>
    </w:p>
    <w:p>
      <w:pPr>
        <w:spacing w:after="0" w:line="2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326"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32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Maintaining the requirements of being a public company may strain our resources, divert management’s attention and affect our ability to attract and retain qualified board members.</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a public company, we incur significant legal, accounting, insurance and other expenses that we did not incur as a private company, including costs associated with public company governance and reporting requirements. We also have incurred and will continue to incur costs associated with our compliance with the Sarbanes-Oxley Act of 2002, or the Sarbanes-Oxley Act, and the Dodd-Frank Wall Street Reform and Consumer Protection Act, or the Dodd-Frank Act, as well as rules and regulations implemented by the SEC, and costs in connection with continued listing on NASDAQ. Our efforts to comply with these rules and regulations have significantly increased our legal and financial compliance costs, including costs associated with the hiring of additional personnel, and have made some activities more difficult, time-consuming or costly. Our management devotes a substantial amount of time to ensure that we comply with all of these requirements, diverting the attention of management away from revenue-producing activities. The expenses incurred by public companies generally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3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Ineffective internal controls could have a material adverse effect on our business and stock price, and could result in our financial statements becoming unreliable.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financial results could be harmed and we could fail to meet our financial reporting obligations.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4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2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associates or stockholders.</w:t>
      </w:r>
    </w:p>
    <w:p>
      <w:pPr>
        <w:spacing w:after="0" w:line="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associate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associates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lease all of our America’s Best and Eyeglass World retail stores. Our leases generally have noncancelable lease terms of between five and 10 years, with an option to renew for additional terms of one to 10 years or more. Over the past few years, we have been entering into more leases with 10 year initial terms, with renewal options. Most leases for these retail stores provide for a minimum rent, typically with escalating rent increases. In certain circumstances we pay a percentage rent based upon sales after certain minimum thresholds are achieved. These leases generally require us to pay insurance, utilities, real estate taxes and common area maintenance expenses.</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occupy our Host and Legacy locations through master agreements with our Host partners, which contain standard terms and conditions, such as fixed and percentage-based payments.</w:t>
      </w:r>
    </w:p>
    <w:p>
      <w:pPr>
        <w:sectPr>
          <w:pgSz w:w="11900" w:h="16838" w:orient="portrait"/>
          <w:cols w:equalWidth="0" w:num="1">
            <w:col w:w="11260"/>
          </w:cols>
          <w:pgMar w:left="320" w:top="125" w:right="31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stores by location as of January 1, 2022 is as follows:</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980" w:type="dxa"/>
            <w:vAlign w:val="bottom"/>
            <w:tcBorders>
              <w:top w:val="single" w:sz="8" w:color="auto"/>
              <w:left w:val="single" w:sz="8" w:color="auto"/>
            </w:tcBorders>
            <w:vMerge w:val="restart"/>
          </w:tcPr>
          <w:p>
            <w:pPr>
              <w:jc w:val="center"/>
              <w:ind w:left="19"/>
              <w:spacing w:after="0"/>
              <w:rPr>
                <w:sz w:val="20"/>
                <w:szCs w:val="20"/>
                <w:color w:val="auto"/>
              </w:rPr>
            </w:pPr>
            <w:r>
              <w:rPr>
                <w:rFonts w:ascii="Arial" w:cs="Arial" w:eastAsia="Arial" w:hAnsi="Arial"/>
                <w:sz w:val="16"/>
                <w:szCs w:val="16"/>
                <w:b w:val="1"/>
                <w:bCs w:val="1"/>
                <w:color w:val="auto"/>
                <w:w w:val="91"/>
              </w:rPr>
              <w:t>State</w:t>
            </w:r>
          </w:p>
        </w:tc>
        <w:tc>
          <w:tcPr>
            <w:tcW w:w="11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1"/>
              </w:rPr>
              <w:t>America’s</w:t>
            </w:r>
          </w:p>
        </w:tc>
        <w:tc>
          <w:tcPr>
            <w:tcW w:w="11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6"/>
              </w:rPr>
              <w:t>Eyeglass</w:t>
            </w:r>
          </w:p>
        </w:tc>
        <w:tc>
          <w:tcPr>
            <w:tcW w:w="1080" w:type="dxa"/>
            <w:vAlign w:val="bottom"/>
            <w:tcBorders>
              <w:top w:val="single" w:sz="8" w:color="auto"/>
            </w:tcBorders>
            <w:vMerge w:val="restart"/>
          </w:tcPr>
          <w:p>
            <w:pPr>
              <w:ind w:left="260"/>
              <w:spacing w:after="0"/>
              <w:rPr>
                <w:sz w:val="20"/>
                <w:szCs w:val="20"/>
                <w:color w:val="auto"/>
              </w:rPr>
            </w:pPr>
            <w:r>
              <w:rPr>
                <w:rFonts w:ascii="Arial" w:cs="Arial" w:eastAsia="Arial" w:hAnsi="Arial"/>
                <w:sz w:val="16"/>
                <w:szCs w:val="16"/>
                <w:b w:val="1"/>
                <w:bCs w:val="1"/>
                <w:color w:val="auto"/>
              </w:rPr>
              <w:t>Legacy</w:t>
            </w:r>
          </w:p>
        </w:tc>
        <w:tc>
          <w:tcPr>
            <w:tcW w:w="108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29"/>
        </w:trPr>
        <w:tc>
          <w:tcPr>
            <w:tcW w:w="980" w:type="dxa"/>
            <w:vAlign w:val="bottom"/>
            <w:tcBorders>
              <w:left w:val="single" w:sz="8" w:color="auto"/>
            </w:tcBorders>
            <w:vMerge w:val="continue"/>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Best</w:t>
            </w: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World</w:t>
            </w:r>
          </w:p>
        </w:tc>
        <w:tc>
          <w:tcPr>
            <w:tcW w:w="1080" w:type="dxa"/>
            <w:vAlign w:val="bottom"/>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980" w:type="dxa"/>
            <w:vAlign w:val="bottom"/>
            <w:tcBorders>
              <w:left w:val="single" w:sz="8" w:color="auto"/>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AK</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AL</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AR</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AZ</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25</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CA</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70</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9"/>
              </w:rPr>
              <w:t>CO</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24</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CT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DE</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FL</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80</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36</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9"/>
              </w:rPr>
              <w:t>GA</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HI</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IA</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ID</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IL</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IN</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89"/>
              </w:rPr>
              <w:t>KS</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KY</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LA</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MA</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MD</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ME</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MI</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30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MN</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98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MO</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20</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w w:val="99"/>
              </w:rPr>
              <w:t>MS</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76"/>
        </w:trPr>
        <w:tc>
          <w:tcPr>
            <w:tcW w:w="1000" w:type="dxa"/>
            <w:vAlign w:val="bottom"/>
            <w:tcBorders>
              <w:top w:val="single" w:sz="8" w:color="auto"/>
              <w:left w:val="single" w:sz="8" w:color="auto"/>
            </w:tcBorders>
            <w:vMerge w:val="restart"/>
          </w:tcPr>
          <w:p>
            <w:pPr>
              <w:jc w:val="center"/>
              <w:ind w:left="19"/>
              <w:spacing w:after="0"/>
              <w:rPr>
                <w:sz w:val="20"/>
                <w:szCs w:val="20"/>
                <w:color w:val="auto"/>
              </w:rPr>
            </w:pPr>
            <w:r>
              <w:rPr>
                <w:rFonts w:ascii="Arial" w:cs="Arial" w:eastAsia="Arial" w:hAnsi="Arial"/>
                <w:sz w:val="16"/>
                <w:szCs w:val="16"/>
                <w:b w:val="1"/>
                <w:bCs w:val="1"/>
                <w:color w:val="auto"/>
                <w:w w:val="86"/>
              </w:rPr>
              <w:t>State</w:t>
            </w:r>
          </w:p>
        </w:tc>
        <w:tc>
          <w:tcPr>
            <w:tcW w:w="12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1"/>
              </w:rPr>
              <w:t>America’s</w:t>
            </w:r>
          </w:p>
        </w:tc>
        <w:tc>
          <w:tcPr>
            <w:tcW w:w="10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6"/>
              </w:rPr>
              <w:t>Eyeglass</w:t>
            </w:r>
          </w:p>
        </w:tc>
        <w:tc>
          <w:tcPr>
            <w:tcW w:w="1080" w:type="dxa"/>
            <w:vAlign w:val="bottom"/>
            <w:tcBorders>
              <w:top w:val="single" w:sz="8" w:color="auto"/>
            </w:tcBorders>
            <w:vMerge w:val="restart"/>
          </w:tcPr>
          <w:p>
            <w:pPr>
              <w:ind w:left="280"/>
              <w:spacing w:after="0"/>
              <w:rPr>
                <w:sz w:val="20"/>
                <w:szCs w:val="20"/>
                <w:color w:val="auto"/>
              </w:rPr>
            </w:pPr>
            <w:r>
              <w:rPr>
                <w:rFonts w:ascii="Arial" w:cs="Arial" w:eastAsia="Arial" w:hAnsi="Arial"/>
                <w:sz w:val="16"/>
                <w:szCs w:val="16"/>
                <w:b w:val="1"/>
                <w:bCs w:val="1"/>
                <w:color w:val="auto"/>
              </w:rPr>
              <w:t>Legacy</w:t>
            </w:r>
          </w:p>
        </w:tc>
        <w:tc>
          <w:tcPr>
            <w:tcW w:w="1080" w:type="dxa"/>
            <w:vAlign w:val="bottom"/>
            <w:tcBorders>
              <w:top w:val="single" w:sz="8" w:color="auto"/>
              <w:right w:val="single" w:sz="8" w:color="auto"/>
            </w:tcBorders>
            <w:vMerge w:val="restart"/>
          </w:tcPr>
          <w:p>
            <w:pPr>
              <w:ind w:left="320"/>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29"/>
        </w:trPr>
        <w:tc>
          <w:tcPr>
            <w:tcW w:w="1000" w:type="dxa"/>
            <w:vAlign w:val="bottom"/>
            <w:tcBorders>
              <w:left w:val="single" w:sz="8" w:color="auto"/>
            </w:tcBorders>
            <w:vMerge w:val="continue"/>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Best</w:t>
            </w:r>
          </w:p>
        </w:tc>
        <w:tc>
          <w:tcPr>
            <w:tcW w:w="10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World</w:t>
            </w:r>
          </w:p>
        </w:tc>
        <w:tc>
          <w:tcPr>
            <w:tcW w:w="1080" w:type="dxa"/>
            <w:vAlign w:val="bottom"/>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000" w:type="dxa"/>
            <w:vAlign w:val="bottom"/>
            <w:tcBorders>
              <w:left w:val="single" w:sz="8" w:color="auto"/>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MT</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NC</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19</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ND</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8"/>
              </w:rPr>
              <w:t>NE</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NH</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7"/>
              </w:rPr>
              <w:t>NJ</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34</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NM</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NV</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NY</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OH</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OK</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9"/>
              </w:rPr>
              <w:t>OR</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w w:val="89"/>
              </w:rPr>
              <w:t>PA</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37</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RI</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w w:val="98"/>
              </w:rPr>
              <w:t>SC</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8"/>
              </w:rPr>
              <w:t>SD</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TN</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TX</w:t>
            </w:r>
          </w:p>
        </w:tc>
        <w:tc>
          <w:tcPr>
            <w:tcW w:w="1200" w:type="dxa"/>
            <w:vAlign w:val="bottom"/>
          </w:tcPr>
          <w:p>
            <w:pPr>
              <w:jc w:val="center"/>
              <w:spacing w:after="0"/>
              <w:rPr>
                <w:sz w:val="20"/>
                <w:szCs w:val="20"/>
                <w:color w:val="auto"/>
              </w:rPr>
            </w:pPr>
            <w:r>
              <w:rPr>
                <w:rFonts w:ascii="Arial" w:cs="Arial" w:eastAsia="Arial" w:hAnsi="Arial"/>
                <w:sz w:val="16"/>
                <w:szCs w:val="16"/>
                <w:color w:val="auto"/>
                <w:w w:val="82"/>
              </w:rPr>
              <w:t>111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UT</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8"/>
              </w:rPr>
              <w:t>VA</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28</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VT</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7"/>
              </w:rPr>
              <w:t>WA</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219"/>
        </w:trPr>
        <w:tc>
          <w:tcPr>
            <w:tcW w:w="1000" w:type="dxa"/>
            <w:vAlign w:val="bottom"/>
            <w:tcBorders>
              <w:left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b w:val="1"/>
                <w:bCs w:val="1"/>
                <w:color w:val="auto"/>
              </w:rPr>
              <w:t>WI</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1000" w:type="dxa"/>
            <w:vAlign w:val="bottom"/>
            <w:tcBorders>
              <w:left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WV</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WY</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332" w:lineRule="exact"/>
        <w:rPr>
          <w:sz w:val="20"/>
          <w:szCs w:val="20"/>
          <w:color w:val="auto"/>
        </w:rPr>
      </w:pPr>
    </w:p>
    <w:p>
      <w:pPr>
        <w:sectPr>
          <w:pgSz w:w="11900" w:h="16838" w:orient="portrait"/>
          <w:cols w:equalWidth="0" w:num="2">
            <w:col w:w="5400" w:space="420"/>
            <w:col w:w="5440"/>
          </w:cols>
          <w:pgMar w:left="320" w:top="125" w:right="319" w:bottom="1440" w:gutter="0" w:footer="0" w:header="0"/>
          <w:type w:val="continuous"/>
        </w:sectPr>
      </w:pPr>
    </w:p>
    <w:p>
      <w:pPr>
        <w:spacing w:after="0"/>
        <w:rPr>
          <w:sz w:val="20"/>
          <w:szCs w:val="20"/>
          <w:color w:val="auto"/>
        </w:rPr>
      </w:pPr>
      <w:r>
        <w:rPr>
          <w:rFonts w:ascii="Arial" w:cs="Arial" w:eastAsia="Arial" w:hAnsi="Arial"/>
          <w:sz w:val="14"/>
          <w:szCs w:val="14"/>
          <w:i w:val="1"/>
          <w:iCs w:val="1"/>
          <w:color w:val="auto"/>
        </w:rPr>
        <w:t>Note: ‘Other’ includes Vista Optical in Fred Meyer stores and on military bases. There is one Vista Optical location in Puerto Rico.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We lease laboratories in Georgia, Texas and Utah and distribution centers in Georgia and Ohio, and we own our laboratory in Minnesota.</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corporate offices are located in leased space in Duluth, Georgia. In addition, we lease office space for our AC Lens corporate office in Columbus, Ohio and office space for our FirstSight corporate office in Upland, California.</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11. “Commitments and Contingencies” in our consolidated financial statements included in Part II. Item 8. of this Form 10-K for information regarding certain legal proceedings in which we are involved, which discussion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“EYE”.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18, 2022, there were approximately 20 holders of record of our common stock. The number of holders of record is based upon the actual number of holders registered at such date and does not represent the actual number of beneficial owners of our common stock because shares are frequently held in “street name” by securities dealers and others for the benefit of individual owners.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repurchases of the Company’s common stock during the three months ended January 1, 2022:</w:t>
      </w:r>
    </w:p>
    <w:p>
      <w:pPr>
        <w:sectPr>
          <w:pgSz w:w="11900" w:h="16838" w:orient="portrait"/>
          <w:cols w:equalWidth="0" w:num="1">
            <w:col w:w="11240"/>
          </w:cols>
          <w:pgMar w:left="320" w:top="125" w:right="339" w:bottom="1440" w:gutter="0" w:footer="0" w:header="0"/>
        </w:sectPr>
      </w:pP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1480" w:type="dxa"/>
            <w:vAlign w:val="bottom"/>
          </w:tcPr>
          <w:p>
            <w:pPr>
              <w:spacing w:after="0"/>
              <w:rPr>
                <w:sz w:val="20"/>
                <w:szCs w:val="20"/>
                <w:color w:val="auto"/>
              </w:rPr>
            </w:pPr>
          </w:p>
        </w:tc>
        <w:tc>
          <w:tcPr>
            <w:tcW w:w="278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89"/>
              </w:rPr>
              <w:t>Total Number of Shares Purchased</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2500" w:type="dxa"/>
            <w:vAlign w:val="bottom"/>
            <w:vMerge w:val="restart"/>
          </w:tcPr>
          <w:p>
            <w:pPr>
              <w:ind w:left="1060"/>
              <w:spacing w:after="0"/>
              <w:rPr>
                <w:sz w:val="20"/>
                <w:szCs w:val="20"/>
                <w:color w:val="auto"/>
              </w:rPr>
            </w:pPr>
            <w:r>
              <w:rPr>
                <w:rFonts w:ascii="Arial" w:cs="Arial" w:eastAsia="Arial" w:hAnsi="Arial"/>
                <w:sz w:val="18"/>
                <w:szCs w:val="18"/>
                <w:b w:val="1"/>
                <w:bCs w:val="1"/>
                <w:color w:val="auto"/>
              </w:rPr>
              <w:t>Total Number of</w:t>
            </w:r>
          </w:p>
        </w:tc>
        <w:tc>
          <w:tcPr>
            <w:tcW w:w="1480" w:type="dxa"/>
            <w:vAlign w:val="bottom"/>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58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14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Average Price</w:t>
            </w:r>
          </w:p>
        </w:tc>
        <w:tc>
          <w:tcPr>
            <w:tcW w:w="27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as Part of Publicly Announced</w:t>
            </w:r>
          </w:p>
        </w:tc>
        <w:tc>
          <w:tcPr>
            <w:tcW w:w="0" w:type="dxa"/>
            <w:vAlign w:val="bottom"/>
          </w:tcPr>
          <w:p>
            <w:pPr>
              <w:spacing w:after="0"/>
              <w:rPr>
                <w:sz w:val="1"/>
                <w:szCs w:val="1"/>
                <w:color w:val="auto"/>
              </w:rPr>
            </w:pPr>
          </w:p>
        </w:tc>
      </w:tr>
      <w:tr>
        <w:trPr>
          <w:trHeight w:val="176"/>
        </w:trPr>
        <w:tc>
          <w:tcPr>
            <w:tcW w:w="158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2500" w:type="dxa"/>
            <w:vAlign w:val="bottom"/>
          </w:tcPr>
          <w:p>
            <w:pPr>
              <w:ind w:left="1060"/>
              <w:spacing w:after="0" w:line="176" w:lineRule="exact"/>
              <w:rPr>
                <w:sz w:val="20"/>
                <w:szCs w:val="20"/>
                <w:color w:val="auto"/>
              </w:rPr>
            </w:pPr>
            <w:r>
              <w:rPr>
                <w:rFonts w:ascii="Arial" w:cs="Arial" w:eastAsia="Arial" w:hAnsi="Arial"/>
                <w:sz w:val="18"/>
                <w:szCs w:val="18"/>
                <w:b w:val="1"/>
                <w:bCs w:val="1"/>
                <w:color w:val="auto"/>
                <w:w w:val="90"/>
              </w:rPr>
              <w:t>Shares Purchased</w:t>
            </w:r>
          </w:p>
        </w:tc>
        <w:tc>
          <w:tcPr>
            <w:tcW w:w="1480" w:type="dxa"/>
            <w:vAlign w:val="bottom"/>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80" w:type="dxa"/>
            <w:vAlign w:val="bottom"/>
            <w:vMerge w:val="continue"/>
          </w:tcPr>
          <w:p>
            <w:pPr>
              <w:spacing w:after="0"/>
              <w:rPr>
                <w:sz w:val="14"/>
                <w:szCs w:val="14"/>
                <w:color w:val="auto"/>
              </w:rPr>
            </w:pPr>
          </w:p>
        </w:tc>
        <w:tc>
          <w:tcPr>
            <w:tcW w:w="2500" w:type="dxa"/>
            <w:vAlign w:val="bottom"/>
          </w:tcPr>
          <w:p>
            <w:pPr>
              <w:ind w:left="1060"/>
              <w:spacing w:after="0"/>
              <w:rPr>
                <w:sz w:val="20"/>
                <w:szCs w:val="20"/>
                <w:color w:val="auto"/>
              </w:rPr>
            </w:pPr>
            <w:r>
              <w:rPr>
                <w:rFonts w:ascii="Arial" w:cs="Arial" w:eastAsia="Arial" w:hAnsi="Arial"/>
                <w:sz w:val="12"/>
                <w:szCs w:val="12"/>
                <w:b w:val="1"/>
                <w:bCs w:val="1"/>
                <w:color w:val="auto"/>
              </w:rPr>
              <w:t>(1)</w:t>
            </w:r>
          </w:p>
        </w:tc>
        <w:tc>
          <w:tcPr>
            <w:tcW w:w="1480" w:type="dxa"/>
            <w:vAlign w:val="bottom"/>
          </w:tcPr>
          <w:p>
            <w:pPr>
              <w:ind w:left="80"/>
              <w:spacing w:after="0" w:line="162" w:lineRule="exact"/>
              <w:rPr>
                <w:sz w:val="20"/>
                <w:szCs w:val="20"/>
                <w:color w:val="auto"/>
              </w:rPr>
            </w:pPr>
            <w:r>
              <w:rPr>
                <w:rFonts w:ascii="Arial" w:cs="Arial" w:eastAsia="Arial" w:hAnsi="Arial"/>
                <w:sz w:val="14"/>
                <w:szCs w:val="14"/>
                <w:b w:val="1"/>
                <w:bCs w:val="1"/>
                <w:color w:val="auto"/>
              </w:rPr>
              <w:t xml:space="preserve">Paid per Share </w:t>
            </w:r>
            <w:r>
              <w:rPr>
                <w:rFonts w:ascii="Arial" w:cs="Arial" w:eastAsia="Arial" w:hAnsi="Arial"/>
                <w:sz w:val="18"/>
                <w:szCs w:val="18"/>
                <w:b w:val="1"/>
                <w:bCs w:val="1"/>
                <w:color w:val="auto"/>
                <w:vertAlign w:val="superscript"/>
              </w:rPr>
              <w:t>(1)</w:t>
            </w:r>
          </w:p>
        </w:tc>
        <w:tc>
          <w:tcPr>
            <w:tcW w:w="2780" w:type="dxa"/>
            <w:vAlign w:val="bottom"/>
          </w:tcPr>
          <w:p>
            <w:pPr>
              <w:ind w:left="80"/>
              <w:spacing w:after="0" w:line="162" w:lineRule="exact"/>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b w:val="1"/>
          <w:bCs w:val="1"/>
          <w:color w:val="auto"/>
        </w:rPr>
        <w:t xml:space="preserve">Approximate Dollar Value of Shares that May Yet Be Purchased Under the Plans or Programs </w:t>
      </w:r>
      <w:r>
        <w:rPr>
          <w:rFonts w:ascii="Arial" w:cs="Arial" w:eastAsia="Arial" w:hAnsi="Arial"/>
          <w:sz w:val="20"/>
          <w:szCs w:val="20"/>
          <w:b w:val="1"/>
          <w:bCs w:val="1"/>
          <w:color w:val="auto"/>
          <w:vertAlign w:val="superscript"/>
        </w:rPr>
        <w:t>(1)</w:t>
      </w:r>
    </w:p>
    <w:p>
      <w:pPr>
        <w:spacing w:after="0" w:line="3" w:lineRule="exact"/>
        <w:rPr>
          <w:sz w:val="20"/>
          <w:szCs w:val="20"/>
          <w:color w:val="auto"/>
        </w:rPr>
      </w:pPr>
    </w:p>
    <w:p>
      <w:pPr>
        <w:sectPr>
          <w:pgSz w:w="11900" w:h="16838" w:orient="portrait"/>
          <w:cols w:equalWidth="0" w:num="2">
            <w:col w:w="8360" w:space="100"/>
            <w:col w:w="27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3, 2021 - October 30,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140" w:type="dxa"/>
            <w:vAlign w:val="bottom"/>
          </w:tcPr>
          <w:p>
            <w:pPr>
              <w:ind w:left="20"/>
              <w:spacing w:after="0" w:line="176" w:lineRule="exact"/>
              <w:rPr>
                <w:sz w:val="20"/>
                <w:szCs w:val="20"/>
                <w:color w:val="auto"/>
              </w:rPr>
            </w:pPr>
            <w:r>
              <w:rPr>
                <w:rFonts w:ascii="Arial" w:cs="Arial" w:eastAsia="Arial" w:hAnsi="Arial"/>
                <w:sz w:val="18"/>
                <w:szCs w:val="18"/>
                <w:color w:val="auto"/>
              </w:rPr>
              <w:t>October 31, 2021 - December 4,</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1,425</w:t>
            </w:r>
          </w:p>
        </w:tc>
        <w:tc>
          <w:tcPr>
            <w:tcW w:w="6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2060" w:type="dxa"/>
            <w:vAlign w:val="bottom"/>
            <w:vMerge w:val="restart"/>
          </w:tcPr>
          <w:p>
            <w:pPr>
              <w:jc w:val="right"/>
              <w:ind w:right="1110"/>
              <w:spacing w:after="0"/>
              <w:rPr>
                <w:sz w:val="20"/>
                <w:szCs w:val="20"/>
                <w:color w:val="auto"/>
              </w:rPr>
            </w:pPr>
            <w:r>
              <w:rPr>
                <w:rFonts w:ascii="Arial" w:cs="Arial" w:eastAsia="Arial" w:hAnsi="Arial"/>
                <w:sz w:val="18"/>
                <w:szCs w:val="18"/>
                <w:color w:val="auto"/>
              </w:rPr>
              <w:t>49.04</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1,425</w:t>
            </w:r>
          </w:p>
        </w:tc>
        <w:tc>
          <w:tcPr>
            <w:tcW w:w="1200" w:type="dxa"/>
            <w:vAlign w:val="bottom"/>
            <w:vMerge w:val="restart"/>
          </w:tcPr>
          <w:p>
            <w:pPr>
              <w:jc w:val="right"/>
              <w:ind w:right="970"/>
              <w:spacing w:after="0"/>
              <w:rPr>
                <w:sz w:val="20"/>
                <w:szCs w:val="20"/>
                <w:color w:val="auto"/>
              </w:rPr>
            </w:pPr>
            <w:r>
              <w:rPr>
                <w:rFonts w:ascii="Arial" w:cs="Arial" w:eastAsia="Arial" w:hAnsi="Arial"/>
                <w:sz w:val="18"/>
                <w:szCs w:val="18"/>
                <w:color w:val="auto"/>
              </w:rPr>
              <w:t>$</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30,060</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2021</w:t>
            </w:r>
          </w:p>
        </w:tc>
        <w:tc>
          <w:tcPr>
            <w:tcW w:w="98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December 5, 2021 - January 1,</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5"/>
                <w:szCs w:val="15"/>
                <w:color w:val="auto"/>
              </w:rPr>
            </w:pPr>
          </w:p>
        </w:tc>
        <w:tc>
          <w:tcPr>
            <w:tcW w:w="2060" w:type="dxa"/>
            <w:vAlign w:val="bottom"/>
            <w:vMerge w:val="restart"/>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49.04</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12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30,060</w:t>
            </w:r>
          </w:p>
        </w:tc>
        <w:tc>
          <w:tcPr>
            <w:tcW w:w="0" w:type="dxa"/>
            <w:vAlign w:val="bottom"/>
          </w:tcPr>
          <w:p>
            <w:pPr>
              <w:spacing w:after="0"/>
              <w:rPr>
                <w:sz w:val="1"/>
                <w:szCs w:val="1"/>
                <w:color w:val="auto"/>
              </w:rPr>
            </w:pPr>
          </w:p>
        </w:tc>
      </w:tr>
      <w:tr>
        <w:trPr>
          <w:trHeight w:val="21"/>
        </w:trPr>
        <w:tc>
          <w:tcPr>
            <w:tcW w:w="3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20" w:right="20" w:firstLine="6"/>
        <w:spacing w:after="0" w:line="206" w:lineRule="auto"/>
        <w:tabs>
          <w:tab w:leader="none" w:pos="246" w:val="left"/>
        </w:tabs>
        <w:numPr>
          <w:ilvl w:val="0"/>
          <w:numId w:val="2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See above for information about the Company’s share repurchases, as well as Note 1.“Business and Significant Accounting Policies”, in the consolidated financial statements included in Part II. Item 8. of this Form 10-K.</w:t>
      </w:r>
    </w:p>
    <w:p>
      <w:pPr>
        <w:spacing w:after="0" w:line="188" w:lineRule="exact"/>
        <w:rPr>
          <w:sz w:val="20"/>
          <w:szCs w:val="20"/>
          <w:color w:val="auto"/>
        </w:rPr>
      </w:pPr>
    </w:p>
    <w:p>
      <w:pPr>
        <w:jc w:val="both"/>
        <w:ind w:left="20" w:right="20"/>
        <w:spacing w:after="0" w:line="239" w:lineRule="auto"/>
        <w:rPr>
          <w:sz w:val="20"/>
          <w:szCs w:val="20"/>
          <w:color w:val="auto"/>
        </w:rPr>
      </w:pPr>
      <w:r>
        <w:rPr>
          <w:rFonts w:ascii="Arial" w:cs="Arial" w:eastAsia="Arial" w:hAnsi="Arial"/>
          <w:sz w:val="17"/>
          <w:szCs w:val="17"/>
          <w:i w:val="1"/>
          <w:iCs w:val="1"/>
          <w:color w:val="auto"/>
        </w:rPr>
        <w:t>Effective November 8, 2021, the Company's Board of Directors authorized the Company to repurchase up to $50 million aggregate amount of shares of the Company's common stock. On November 29, 2021, the Company’s Board of Directors authorized a share repurchase program up to $100 million in aggregate amount of shares of the Company’s common stock that may be repurchased under the Company’s current share repurchase program. Shares may be repurchased under the program through December 30, 2023. On February 23, 2022, our Board of Directors authorized a $100 million increase to the share repurchase authorization, for a total authorization of $200 million. Following repurchases in fiscal year 2021, $130 million remains available under the share repurchase authorization. The timing and amounts of any such repurchases will depend on a variety of factors, including the market price of the Company’s shares and general market and economic conditions.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paid dividends in the past and have no current plans to pay dividends on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This performance graph shall not be deemed “soliciting material” or “filed” with the SEC for purposes of Section 18 of the Exchange Act, or otherwise subject to the liabilities under that Section, and shall not be deemed to be incorporated by reference into any of our filings under the Securities Act or the Exchange Act.</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graph below presents the Company’s cumulative total stockholder returns relative to the performance of the NASDAQ Global Composite Index and the NASDAQ US Benchmark Retail Index commencing October 26, 2017 (the Company’s initial day of trading) through January 1, 2022. All values assume a $100 initial investment at the opening price of the Company’s common stock on NASDAQ and data for the NASDAQ Global Composite Index and the NASDAQ US Benchmark Retail Index assumes all dividends were reinvested on the date paid. The points on the graph represent fiscal year-end values based on the last trading day of each fiscal year. The comparisons are based on historical data and are not indicative of, nor intended to forecast, the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717550</wp:posOffset>
            </wp:positionV>
            <wp:extent cx="5349240" cy="32486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contains management’s discussion and analysis of our financial condition and results of operations and should be read together with the consolidated financial statements and the related notes thereto included elsewhere in this Form 10-K (this “Form 10-K”). This discussion contains forward-looking statements that reflect our plans, estimates and beliefs and involve numerous risks and uncertainties, including, but not limited to, those described in the “Risk Factors” section included in Part I. Item 1A. in this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10-K.</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We conduct substantially all of our activities through our indirect wholly-owned subsidiary, NVI, and its subsidiaries. We operate on a retail fiscal calendar that results in a given fiscal year consisting of a 52- or 53-week period ending on the Saturday closest to December 31. In a 52-week fiscal year, each quarter contains 13 weeks of operations; in a 53-week fiscal year, each of the first, second and third quarters includes 13 weeks of operations and the fourth quarter includes 14 weeks of operations. References herein to “fiscal year 2021” relate to the 52 weeks ended January 1, 2022, references herein to “fiscal year 2020” relate to the 53 weeks ended January 2, 2021 and references herein to “fiscal year 2019” relate to the 52 weeks ended December 28, 2019.</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disclosures contained in this Form 10-K are made only as of the date hereof, and we undertake no obligation to publicly update or revise any forward-looking statement as a result of new information, future events or otherwise, except as required by law. For further information, please see “Risk Factors” and “Forward-Looking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regardless of their budget. Our mission is to make quality eye care and eyewear affordable and accessible to all Americans. We achieve this by providing eye exams, eyeglasses and contact lenses to value seeking and lower income consumers. We deliver exceptional value and convenience to our customers, with an opening price point that strives to be among the lowest in the industry, enabled by our low-cost operating platform. We reach our customers through a diverse portfolio of 1,278 retail stores across five brands and 18 consumer websites as of fiscal year end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88"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Owned &amp; Host – As of fiscal year end 2021, our owned brands consisted of 840 America’s Best Contacts and Eyeglasses (“America’s Best”) retail stores and 125 Eyeglass World retail stores. In America’s Best stores, vision care services are provided by optometrists employed by us or by independent professional corporations or similar entities. America’s Best stores are primarily located in high-traffic strip centers next to value-focused retailers. Eyeglass World locations primarily feature eye care services provided by independent optometrists and optometrists employed by independent professional corporations or similar entities and on-site optical laboratories that enable stores to quickly fulfill many customer orders and make repairs on site. Eyeglass World stores are primarily located in freestanding or in-line locations near high-foot-traffic shopping centers. Our Host brands consisted of 54 Vista Optical locations on select military bases and 29 Vista Optical locations within select Fred Meyer stores as of fiscal year end 2021. We have strong, long-standing relationships with our Host partners and have maintained each partnership for over 20 years. These brands provide eye exams primarily by independent optometrists. All brands utilize our centralized laboratories. This segment also includes sales from our America’s Best, Eyeglass World, and Military omni-channel websites.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263" w:lineRule="auto"/>
        <w:tabs>
          <w:tab w:leader="none" w:pos="655" w:val="left"/>
        </w:tabs>
        <w:numPr>
          <w:ilvl w:val="0"/>
          <w:numId w:val="23"/>
        </w:numPr>
        <w:rPr>
          <w:rFonts w:ascii="Arial" w:cs="Arial" w:eastAsia="Arial" w:hAnsi="Arial"/>
          <w:sz w:val="17"/>
          <w:szCs w:val="17"/>
          <w:i w:val="1"/>
          <w:iCs w:val="1"/>
          <w:color w:val="auto"/>
        </w:rPr>
      </w:pPr>
      <w:r>
        <w:rPr>
          <w:rFonts w:ascii="Arial" w:cs="Arial" w:eastAsia="Arial" w:hAnsi="Arial"/>
          <w:sz w:val="17"/>
          <w:szCs w:val="17"/>
          <w:color w:val="auto"/>
        </w:rPr>
        <w:t>Legacy – We manage the operations of, and supply inventory and laboratory processing services to, 230 Vision Centers in Walmart retail locations as of fiscal year end 2021. This strategic relationship with Walmart is in its 32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year. Pursuant to a January 2020 amendment to our management &amp; services agreement with Walmart, we added five additional Vision Centers in Walmart stores in fiscal year 2020. On July 17, 2020, NVI and Walmart extended the current term and economics of the management &amp; services agreement </w:t>
      </w:r>
      <w:r>
        <w:rPr>
          <w:rFonts w:ascii="Arial" w:cs="Arial" w:eastAsia="Arial" w:hAnsi="Arial"/>
          <w:sz w:val="17"/>
          <w:szCs w:val="17"/>
          <w:color w:val="212529"/>
        </w:rPr>
        <w:t>by three years to February 23, 2024; refer to Note</w:t>
      </w:r>
      <w:r>
        <w:rPr>
          <w:rFonts w:ascii="Arial" w:cs="Arial" w:eastAsia="Arial" w:hAnsi="Arial"/>
          <w:sz w:val="17"/>
          <w:szCs w:val="17"/>
          <w:color w:val="auto"/>
        </w:rPr>
        <w:t xml:space="preserve"> 14</w:t>
      </w:r>
      <w:r>
        <w:rPr>
          <w:rFonts w:ascii="Arial" w:cs="Arial" w:eastAsia="Arial" w:hAnsi="Arial"/>
          <w:sz w:val="17"/>
          <w:szCs w:val="17"/>
          <w:color w:val="212529"/>
        </w:rPr>
        <w:t>.</w:t>
      </w:r>
      <w:r>
        <w:rPr>
          <w:rFonts w:ascii="Arial" w:cs="Arial" w:eastAsia="Arial" w:hAnsi="Arial"/>
          <w:sz w:val="17"/>
          <w:szCs w:val="17"/>
          <w:color w:val="auto"/>
        </w:rPr>
        <w:t xml:space="preserve"> </w:t>
      </w:r>
      <w:r>
        <w:rPr>
          <w:rFonts w:ascii="Arial" w:cs="Arial" w:eastAsia="Arial" w:hAnsi="Arial"/>
          <w:sz w:val="17"/>
          <w:szCs w:val="17"/>
          <w:color w:val="212529"/>
        </w:rPr>
        <w:t xml:space="preserve">“Segment Reporting” included in Part II. Item 8. of this Form 10-K for further information. </w:t>
      </w:r>
      <w:r>
        <w:rPr>
          <w:rFonts w:ascii="Arial" w:cs="Arial" w:eastAsia="Arial" w:hAnsi="Arial"/>
          <w:sz w:val="17"/>
          <w:szCs w:val="17"/>
          <w:color w:val="000000"/>
        </w:rPr>
        <w:t>Under the management &amp; services agreement, our</w:t>
      </w:r>
      <w:r>
        <w:rPr>
          <w:rFonts w:ascii="Arial" w:cs="Arial" w:eastAsia="Arial" w:hAnsi="Arial"/>
          <w:sz w:val="17"/>
          <w:szCs w:val="17"/>
          <w:color w:val="212529"/>
        </w:rPr>
        <w:t xml:space="preserve"> </w:t>
      </w:r>
      <w:r>
        <w:rPr>
          <w:rFonts w:ascii="Arial" w:cs="Arial" w:eastAsia="Arial" w:hAnsi="Arial"/>
          <w:sz w:val="17"/>
          <w:szCs w:val="17"/>
          <w:color w:val="000000"/>
        </w:rPr>
        <w:t>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therefore we record revenue related to sales of products and product protection plans to our Legacy partner’s customers on a net basis. Our management &amp; services agreement also allows our Legacy partner to collect penalties if the Vision Centers do not generate a requisite amount of revenues. No such penalties have been assessed under our current arrangement, which began in 2012. We also sell to our Legacy partner merchandise that is stocked in retail locations we manage pursuant to a separate supplier agreement, and provide centralized laboratory services for the finished eyeglasses for our Legacy partner’s customers in stores that we manage. We lease space from Walmart within or adjacent to each of the locations we manage and use this space for vision care services provided by independent optometrists or optometrists employed by us or by independent professional corporations or similar entities. During the fiscal year 2021, sales associated with this arrangement represented 8.0% of consolidated net revenue. This exposes us to concentration of customer risk.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the following activity recorded in our Corporate/Other category:</w:t>
      </w:r>
    </w:p>
    <w:p>
      <w:pPr>
        <w:spacing w:after="0" w:line="117" w:lineRule="exact"/>
        <w:rPr>
          <w:sz w:val="20"/>
          <w:szCs w:val="20"/>
          <w:color w:val="auto"/>
        </w:rPr>
      </w:pPr>
    </w:p>
    <w:p>
      <w:pPr>
        <w:jc w:val="both"/>
        <w:ind w:left="660" w:hanging="328"/>
        <w:spacing w:after="0" w:line="286"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e-commerce platform of 14 dedicated websites managed by AC Lens. Our e-commerce business consists of five proprietary branded websites, including aclens.com, discountglasses.com and discountcontactlenses.com, and nine third-party websites with established retailers, such as Walmart, Sam’s Club and Giant Eagle as well as mid-sized vision insurance providers. AC Lens handles site management, customer relationship management and order fulfillment and also sells a wide variety of contact lenses, eyeglasses and eye care accessories.</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 Lens also distributes contact lenses wholesale to Walmart and Sam’s Club. We incur costs at a higher percentage of sales than other product categories. AC Lens sales associated with Walmart and Sam’s Club contact lenses distribution arrangements represented 6.5% of consolidated net revenue.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Managed care business conducted by FirstSight, our wholly-owned subsidiary that is licensed as a single-service health plan under California law, which arranges for the provision of optometric services at the offices next to certain Walmart stores throughout California, and also issues individual vision plans in connection with our America’s Best operations in California.</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five retail brands.</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Reportable segment information is presented on the same basis as our consolidated financial statements, except reportable segment sales which are presented on a cash basis, including point of sales for managed care payors and excluding the effects of unearned and deferred revenue, consistent with what our chief operating decision maker (“CODM”) regularly reviews. Reconciliations of segment results to consolidated results include financial information necessary to adjust reportable segment revenues to a consolidated basis in accordance with accounting principles generally accepted in the United States of America (“U.S. GAAP”), specifically the change in unearned and deferred revenues during the period. There are no revenue transactions between reportable segments, and there are no other items in the reconciliations other than the effects of unearned and deferred revenue. See Note 14. “Segment Reporting” in our consolidated financial statements included in Part II. Item 8. of this Form 10-K.</w:t>
      </w:r>
    </w:p>
    <w:p>
      <w:pPr>
        <w:spacing w:after="0" w:line="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Unearned revenue represents the timing difference of when we collect cash from the customer and delivery/customer acceptance, and includes sales of prescription eyewear during approximately the last seven to 10 days of the reporting period.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Various trends and other factors will affect or have affected our operating results, including: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COVID-19 pandemic and related federal, state and local governmental and healthcare authority guidelines materially impacted our business and results of operations in 2020 and continue to impact our business results. In 2020, the COVID-19 pandemic directly and indirectly impacted our operations, consumer behavior, comparable store sales, our associates and optometrists and the overall market. In the early stages of the pandemic, we temporarily closed all of our stores to the public across the U.S. on March 19, 2020 and announced the successful completion of the reopening process with enhanced safety and cleaning protocols on June 8, 2020. The decrease in revenue from our temporary store closures was not offset by proportional decreases in expense, as we continued to incur store occupancy costs even while stores were temporarily closed, costs directly related to adapting the Company’s operations to the COVID-19 pandemic such as personal protective equipment and other supplies needed to operate our stores safely and certain other costs such as compensation, a tangible appreciation bonus paid to our customer-facing doctors and associates, and other administrative expenses, resulting in a negative effect on profitability. We also implemented capital spending and expense reduction initiatives, including a temporary pause in new store openings between March and June 2020, reduced near term marketing, a temporary reduction in compensation across the organization until the second quarter of 2020, a suspension of non-essential travel, implementation of a remote work policy for certain corporate associates, and we worked with a base of vendors and landlords to extend payment terms and modify existing contracts. While we experienced stronger comparable store sales growth in the third and fourth quarters of 2020, the comparable store sales growth figure of (5.6)% for fiscal year 2020 reflected the effects of store closures and the pandemic.</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year 2021, our business continued to be impacted by the pandemic, including continued volatility in the overall market, targeted and temporary reductions in certain store hours and temporary store closures, and changes in consumer purchasing patterns. Despite the continued COVID-19 disruption and volatility, our net revenue in fiscal year 2021 increased compared to fiscal year 2020 due in part to the effects of our stores being temporarily closed to the public in fiscal year 2020 and government stimulus as a result of COVID-19. Our net revenue in 2020 was essentially flat in comparison to fiscal year 2019. As a result, comparability of our financial performance between these periods may be impacted and our rate of growth should not be viewed as indicative of our potential results in future periods.</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COVID-19 pandemic has resulted in, and may continue to result in, state, city or local quarantines, labor stoppages and shortages, changes in consumer purchasing patterns, mandatory or voluntary shut-downs of retail locations, supply chain issues, severe market volatility, liquidity disruptions, and overall economic instability, which, in many cases, have had, and could continue to have, adverse impacts on our business, financial condition and results of operations. The scope and nature of these impacts continue to evolve on a daily basis. Although the global distribution of vaccines continues to progress, the future impact of the COVID-19 pandemic remains highly uncertain. Resurgences of COVID-19 cases and the emergence of new variants have led to reduced consumer confidence and changes in shopping patterns, which may adversely impact store traffic.</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monitor the evolving situation as there remain many uncertainties regarding the pandemic, its resurgence through new variants, its anticipated duration, related healthcare authority guidelines, efficacy of vaccination initiatives, and potential federal and state level vaccine and testing mandates. We could experience further material impacts as a result of COVID-19.</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continue to monitor any potential COVID-19 related impacts on our domestic labs and our outsourced third party optical laboratories in China and Mexico, and potential disruptions of product deliveries. To date, we have been able to meet customer demand with operations at our laboratories. We source merchandise from suppliers located in China and a significant amount of domestically-purchased merchandise is manufactured in China. We have partnered with our suppliers and third party laboratories to mitigate any potential significant delays in delivery of merchandise. We have made, and may continue to make, inventory forward buys to help manage potential supply chain disruptions.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possible that our preparations for the events listed above are not adequate to mitigate their impact, and that these events could further adversely affect our business and results of operations. For a discussion of significant risks that have the potential to cause our actual results to differ materially from our expectations, refer to “Item 1A. Risk Factors.”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new stores will be a key driver of growth in our net revenue and operating profit in the future. Our results of operations have been and will continue to be materially affected by the timing and number of new store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openings. As stores mature, profitability typically increases significantly. The performance of new stores is dependent upon factors such as the time of year of a particular opening, the amount of store pre-opening costs, labor and occupancy costs in the specified market, level of participation in managed care plans, and location, including whether they are in new or existing markets. The impact of the COVID-19 pandemic on our ability to open new stores, the multi-year maturation process of our stores and customer purchasing behaviors and patterns remain uncertain and effects and relevant risk exposures may be exacerbated by the ongoing COVID-19 pandemic.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Store Sales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Comparable store sales growth is a key driver of our business. Many factors affect comparable store sales, including:</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consumer confidence, preferences and buying trends and overall economic trends including inflation and the amount and timing of tax refunds;</w:t>
      </w:r>
    </w:p>
    <w:p>
      <w:pPr>
        <w:spacing w:after="0" w:line="34"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optometrists and other vision care professionals;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advertising strategies;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participation in managed care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recurring nature of eye care purchases;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identify and respond effectively to customer preferences and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provide an assortment of high quality/low cost product offerings that generate new and repeat visits to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foot traffic in retail shopping centers where our stores are predominantly located;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customer experience we provide in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source and receive products accurately and timely;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product pricing, including promotional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items purchased per store visit;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stores that have been in operation for more than 12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impact of competition and consolidation in the U.S. optical retail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impact and timing of weather related store closures;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effects and relevant risk exposures may be exacerbated by the ongoing threat of the COVID-19 pandemic</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new store is included in the comparable store sales calculation during the 13th full fiscal month following the store’s opening. Closed stores are removed from the calculation for time periods that are not comparable. In the past, we have closed stores as a result of poor store performance, lease expiration or non-renewal and/or the terms of our arrangements with our Host and Legacy partners.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Managed Care and Insurance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Managed care has become increasingly important to the optical retail industry. An increasing percentage of our customers receive vision care insurance coverage through managed care payors. Our participation in these programs represent an increasingly significant portion of our overall revenues and represented approximately one third of our overall revenues in fiscal year 2021. While we have relationships with almost all vision care insurers in the United States and with all of the major carriers, currently, a relatively small number of payors comprise the majority of our managed care revenues, subjecting us to concentration risk. As our participation in managed care programs continues to expand, we have incurred and expect to incur additional costs related to this area of our business. Our comparable store sales growth as noted above as well as overall future operational success could depend on our ability to negotiate, maintain and extend contracts with managed vision care companies, vision insurance providers and other third-party payors, several of whom have significant market share. Coverage and payment levels are determined at each third-party payor’s discretion, and we have limited control over a third-party payor’s decision-making with respect to coverage and payment levels. Coverage restrictions and reductions in reimbursement levels or payment methodologies may negatively impact our sales and profits. In addition, as our participation in managed care programs continues to approach overall industry penetration levels, we expect our associated managed care revenue growth rate to slow over time.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Vision Care Professional Recruitment, Coverage and Expanded Offerings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ability to continue to attract and retain qualified vision care professionals is key to store operations, as well as maintaining our relationships with independent optometrists and professional corporations owned by eye care practitioners that provide vision care services in our stores. We have also begun to pilot remote medicine technologies in a limited number of locations to enable the provision of remote eye examinations, which have expanded our offerings. The effects and relevant risk exposures of labor shortages, increased wage rates to attract and retain vision care professionals or other increases in labor costs may be exacerbated by the ongoing threat of the COVID-19 pandemic and resulting macroeconomic factors.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 Economic Trends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Macroeconomic factors that may affect customer spending patterns, and thereby our results of operations, include employment rates, business conditions, changes in the housing market, the availability of credit, interest rates, tax rates and fuel and energy costs. During periods of economic downturn and uncertainty, our customers especially benefit from our low prices. Additionally, eye care purchases are predominantly a medical necessity and are considered non-discretionary in nature. Therefore, the overall economic environment and related changes in consumer behavior may have less of an impact on our business than for retailers in other industries; however, the long-term effects of the COVID-19 pandemic on overall economic trends and consumer spending patterns remain uncertain.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 increases in product costs due to increases in materials cost or general inflation could lead to greater profitability pressure as we may not be able to pass costs on to consumers. To date, changes in materials prices and general inflation have not materially impacted our business. Wage investments, along with increased raw material costs as a result of inflation or supply issues, may have an impact on our profitability that may not be offset by leverage from revenue growth, productivity efficiency and, as appropriate, various pricing 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Preferences and Demand</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ability to maintain our appeal to existing customers and attract new customers depends on our ability to originate, develop and offer a compelling product assortment responsive to customer preferences and design trends. We estimate that optical consumers typically replace their eyeglasses every two to three years, and contact lens customers order new lenses every six to 12 months, reflecting the predictability of these recurring purchase behaviors; however, the long-term effects of the COVID-19 pandemic on consumer preferences and recurring purchase behaviors remain uncertain.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Investment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results of operations reflect the impact of our ongoing investments in infrastructure to support our growth, including additional investments in remote medicine. We have made significant investments in information technology systems, supply chain systems, marketing, and personnel, including experienced industry executives, and management and merchandising teams to support our long-term growth objectives. We intend to continue to make targeted investments in our infrastructure to support our growth.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Strategy</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committed to providing our products to our customers at low prices. We generally employ a simple low price/high value strategy that consistently delivers savings to our customers without the need for extensive promotions. Inflationary pressures, including wage investments, consumer confidence and preferences and increased raw material costs, could impact our profitability and lead us to attempt to offset such increases through various pricing actions.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Source and Distribute Products Effectively</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revenue and operating income are affected by our ability to purchase our products in sufficient quantities at competitive prices. We have made, and may continue to make, inventory forward buys to help manage supply chain disruptions. While we believe our vendors have adequate capacity to meet our current and anticipated demand, our level of revenue could be adversely affected in the event we face a worsening of constraints in our supply chain, including the inability of our vendors to produce sufficient quantities of merchandise in a manner that is able to match market demand from our customers due to a worsening COVID-19 pandemic or other factors. We rely on a small number of vendors to supply the majority of our eyeglass lenses and contact lenses, and are thus exposed to supplier concentration risk. In particular, we have agreed to exclusively purchase almost all of our spectacle lenses from one supplier. During fiscal year 2021, 90% of spectacle lens expenditures were from this vendor and 92% of contact lens expenditures were with three vendors. We are less exposed to a supplier risk for our eyeglass frames as only 57% of frame expenditures were with two vendors.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source merchandise from suppliers located in China, a significant amount of our domestically-purchased merchandise is manufactured in China, and one of our outsourced third-party laboratories is located in China. Historically, tariffs have not materially affected our financial results, and we believe that less than 15% of costs applicable to revenue are subject to tariffs on Chinese imports. We continue to monitor ongoing political relations between China and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Results and Seasonality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Historically, our business has realized a higher portion of net revenue, operating income, and cash flows from operations in the first half of the fiscal year, and a lower portion of net revenue, operating income, and cash flows from operations in the fourth fiscal quarter. The seasonally larger first half of the fiscal year is attributable primarily to the timing of our customers’ income tax refunds and annual health insurance program start/reset periods. Because our target market consists of value seeking and lower income consumers, a delay in the issuance of tax refunds or changes in the amount of tax refunds can have a negative impact on our financial results. Consumers could also alter how they utilize tax refund proceeds. With respect to our fourth quarter results, compared to other retailers, our products and services are less likely to be included in consumer’s holiday spending budgets, therefore reducing spending on personal vision correction during the weeks preceding December 25th of each year. Additionally, although the period between December 25th and the end of our fiscal year is typically a high-volume period, the net revenue associated with substantially all orders of prescription eyeglasses and contact lenses during that period is deferred until the following fiscal period due to our policy of recognizing revenue only after the product has been accepted by the customer. Consumer behavior driven by the COVID-19 pandemic has resulted in a departure from seasonal norms we have experienced in recent years and may continue to disrupt the historical quarterly cadence of our results of operations for an unknown period of time.</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fiscal year 2021, approximately 23% of our revenue was recorded in the fourth quarter, but approximately 25% of annual SG&amp;A costs were recorded in the fourth quarter. Compared to prior fiscal years, in fiscal year 2020, we experienced stronger comparable store sales growth in the fourth quarter from strong customer demand, including the effect of our stores being temporarily closed to the public earlier in the year. Additionally, SG&amp;A costs, primarily advertising expense, during the second and third quarters of fiscal year 2020 were lower than in the corresponding quarters of prior fiscal years due to impacts of the COVID-19 pandemic.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Competition and Consolidation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U.S. optical retail industry is highly competitive and fragmented with competition generally based upon brand name recognition, price, convenience, selection, service and product quality. We operate within the value segment, which emphasizes price and value, and compete with mass merchants, specialty retail chains, online retailers and independent eye practitioners and opticians. We also compete with large national retailers such as, in alphabetical order, LensCrafters, Pearle Vision and Visionworks. Ongoing consolidation activity has created, and further consolidation activity may create, organizations that are involved in virtually every sector of the optical industry, from retail and wholesale to frames, spectacle lenses, and managed vision care. This increased consolidation activity may enable these companies to benefit from purchasing advantages and the ability to leverage management capabilities across a larger business base. The COVID-19 pandemic may lead to changes in both the number and positioning of our competitors.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which are described further in Note 1. “Business and Significant Accounting Policies,” to our consolidated financial statements included in Part</w:t>
      </w:r>
    </w:p>
    <w:p>
      <w:pPr>
        <w:spacing w:after="0" w:line="2" w:lineRule="exact"/>
        <w:rPr>
          <w:sz w:val="20"/>
          <w:szCs w:val="20"/>
          <w:color w:val="auto"/>
        </w:rPr>
      </w:pPr>
    </w:p>
    <w:p>
      <w:pPr>
        <w:ind w:firstLine="8"/>
        <w:spacing w:after="0" w:line="260" w:lineRule="auto"/>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Item 8. of this Form 10-K. In addition, we also review store growth, Adjusted Comparable Store Sales Growth, Adjusted Operating Income, Adjusted Operating Margin, Adjusted EBITDA, Adjusted EBITDA Margin and Adjusted Diluted EPS.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SG&amp;A generally fluctuates consistently with revenue due to the variable store, field office and corporate support costs; however, some fixed costs slightly improve as a percentage of net revenue as our net revenues grow over time.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total number of new stores per year and the timing of store openings has, and will continue to have, an impact on our results. In an effort to conserve cash early in the COVID-19 pandemic, we temporarily paused new store openings during a portion of fiscal year 2020. We opened 75 stores during fiscal year 2021. We will continue to monitor and determine our plans for future new store openings based on health, safety and economic conditions.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revise our calculation of Adjusted Comparable Store Sales Growth for the temporary closure of our stores to the public as a result of the COVID-19 pandemic.</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Operating Income, Adjusted Operating Margin, Adjusted EBITDA, Adjusted EBITDA Margin, and Adjusted Diluted EPS (collectively, the “Company Non-GAAP Measures”)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both in dollars and as a percentage of our net revenue.</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 except earnings per share, percentage and store data</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2021</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2019</w:t>
            </w: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Net product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1,718,344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1,418,283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1,426,136</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sales of 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298,195</w:t>
            </w:r>
          </w:p>
        </w:tc>
      </w:tr>
      <w:tr>
        <w:trPr>
          <w:trHeight w:val="223"/>
        </w:trPr>
        <w:tc>
          <w:tcPr>
            <w:tcW w:w="5940" w:type="dxa"/>
            <w:vAlign w:val="bottom"/>
          </w:tcPr>
          <w:p>
            <w:pPr>
              <w:ind w:left="340"/>
              <w:spacing w:after="0"/>
              <w:rPr>
                <w:sz w:val="20"/>
                <w:szCs w:val="20"/>
                <w:color w:val="auto"/>
              </w:rPr>
            </w:pPr>
            <w:r>
              <w:rPr>
                <w:rFonts w:ascii="Arial" w:cs="Arial" w:eastAsia="Arial" w:hAnsi="Arial"/>
                <w:sz w:val="18"/>
                <w:szCs w:val="18"/>
                <w:color w:val="auto"/>
              </w:rPr>
              <w:t>Total net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2,079,525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1,711,760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1,724,331</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Costs applicable to revenue (exclusive of 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633,116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551,783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574,351</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232,168</w:t>
            </w:r>
          </w:p>
        </w:tc>
      </w:tr>
      <w:tr>
        <w:trPr>
          <w:trHeight w:val="223"/>
        </w:trPr>
        <w:tc>
          <w:tcPr>
            <w:tcW w:w="5940" w:type="dxa"/>
            <w:vAlign w:val="bottom"/>
          </w:tcPr>
          <w:p>
            <w:pPr>
              <w:ind w:left="340"/>
              <w:spacing w:after="0"/>
              <w:rPr>
                <w:sz w:val="20"/>
                <w:szCs w:val="20"/>
                <w:color w:val="auto"/>
              </w:rPr>
            </w:pPr>
            <w:r>
              <w:rPr>
                <w:rFonts w:ascii="Arial" w:cs="Arial" w:eastAsia="Arial" w:hAnsi="Arial"/>
                <w:sz w:val="18"/>
                <w:szCs w:val="18"/>
                <w:color w:val="auto"/>
              </w:rPr>
              <w:t>Total costs applicable to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904,779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786,624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806,519</w:t>
            </w: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900,798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724,985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744,488</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87,244</w:t>
            </w: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Asset impairment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22,004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8,894</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r>
      <w:tr>
        <w:trPr>
          <w:trHeight w:val="223"/>
        </w:trPr>
        <w:tc>
          <w:tcPr>
            <w:tcW w:w="5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999,809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844,237</w:t>
            </w:r>
          </w:p>
        </w:tc>
      </w:tr>
      <w:tr>
        <w:trPr>
          <w:trHeight w:val="223"/>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73,575</w:t>
            </w: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25,612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48,327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33,300</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149,325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38,680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30,489</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128,244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32,798</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5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color w:val="auto"/>
              </w:rPr>
              <w:t>Operating data:</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Number of stores open at end of period</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New stores opened during the period</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114,300</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Diluted EPS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Adjusted Diluted EPS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36"/>
        </w:trPr>
        <w:tc>
          <w:tcPr>
            <w:tcW w:w="5940" w:type="dxa"/>
            <w:vAlign w:val="bottom"/>
          </w:tcPr>
          <w:p>
            <w:pPr>
              <w:spacing w:after="0" w:line="23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294,350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218,307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194,139</w:t>
            </w:r>
          </w:p>
        </w:tc>
      </w:tr>
    </w:tbl>
    <w:p>
      <w:pPr>
        <w:ind w:left="40"/>
        <w:spacing w:after="0"/>
        <w:rPr>
          <w:sz w:val="20"/>
          <w:szCs w:val="20"/>
          <w:color w:val="auto"/>
        </w:rPr>
      </w:pPr>
      <w:r>
        <w:rPr>
          <w:rFonts w:ascii="Arial" w:cs="Arial" w:eastAsia="Arial" w:hAnsi="Arial"/>
          <w:sz w:val="14"/>
          <w:szCs w:val="14"/>
          <w:i w:val="1"/>
          <w:iCs w:val="1"/>
          <w:color w:val="auto"/>
        </w:rPr>
        <w:t>Note: Fiscal years 2021 and 2019 include 52 weeks. Fiscal year 2020 includes 53 weeks.</w:t>
      </w:r>
    </w:p>
    <w:p>
      <w:pPr>
        <w:spacing w:after="0" w:line="3" w:lineRule="exact"/>
        <w:rPr>
          <w:sz w:val="20"/>
          <w:szCs w:val="20"/>
          <w:color w:val="auto"/>
        </w:rPr>
      </w:pPr>
    </w:p>
    <w:p>
      <w:pPr>
        <w:ind w:left="120" w:hanging="74"/>
        <w:spacing w:after="0"/>
        <w:tabs>
          <w:tab w:leader="none" w:pos="120" w:val="left"/>
        </w:tabs>
        <w:numPr>
          <w:ilvl w:val="0"/>
          <w:numId w:val="27"/>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Adjusted EBITDA no longer excludes new store pre-opening expenses and non-cash rent. Refer to Non-GAAP Financial Measures section below for our presentation of Adjusted EBITDA.</w:t>
      </w: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1860" w:type="dxa"/>
            <w:vAlign w:val="bottom"/>
            <w:gridSpan w:val="2"/>
          </w:tcPr>
          <w:p>
            <w:pPr>
              <w:ind w:left="260"/>
              <w:spacing w:after="0"/>
              <w:rPr>
                <w:sz w:val="20"/>
                <w:szCs w:val="20"/>
                <w:color w:val="auto"/>
              </w:rPr>
            </w:pPr>
            <w:r>
              <w:rPr>
                <w:rFonts w:ascii="Arial" w:cs="Arial" w:eastAsia="Arial" w:hAnsi="Arial"/>
                <w:sz w:val="18"/>
                <w:szCs w:val="18"/>
                <w:color w:val="auto"/>
              </w:rPr>
              <w:t>Fiscal Year 2021</w:t>
            </w:r>
          </w:p>
        </w:tc>
        <w:tc>
          <w:tcPr>
            <w:tcW w:w="1860" w:type="dxa"/>
            <w:vAlign w:val="bottom"/>
            <w:gridSpan w:val="2"/>
          </w:tcPr>
          <w:p>
            <w:pPr>
              <w:ind w:left="260"/>
              <w:spacing w:after="0"/>
              <w:rPr>
                <w:sz w:val="20"/>
                <w:szCs w:val="20"/>
                <w:color w:val="auto"/>
              </w:rPr>
            </w:pPr>
            <w:r>
              <w:rPr>
                <w:rFonts w:ascii="Arial" w:cs="Arial" w:eastAsia="Arial" w:hAnsi="Arial"/>
                <w:sz w:val="18"/>
                <w:szCs w:val="18"/>
                <w:color w:val="auto"/>
              </w:rPr>
              <w:t>Fiscal Year 2020</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Fiscal Year 2019</w:t>
            </w: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Percentage of net revenue:</w:t>
            </w: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Total costs applicable to revenue</w:t>
            </w:r>
          </w:p>
        </w:tc>
        <w:tc>
          <w:tcPr>
            <w:tcW w:w="1740" w:type="dxa"/>
            <w:vAlign w:val="bottom"/>
          </w:tcPr>
          <w:p>
            <w:pPr>
              <w:jc w:val="right"/>
              <w:spacing w:after="0"/>
              <w:rPr>
                <w:sz w:val="20"/>
                <w:szCs w:val="20"/>
                <w:color w:val="auto"/>
              </w:rPr>
            </w:pPr>
            <w:r>
              <w:rPr>
                <w:rFonts w:ascii="Arial" w:cs="Arial" w:eastAsia="Arial" w:hAnsi="Arial"/>
                <w:sz w:val="18"/>
                <w:szCs w:val="18"/>
                <w:color w:val="auto"/>
              </w:rPr>
              <w:t>43.5 %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46.0 %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46.8 %</w:t>
            </w:r>
          </w:p>
        </w:tc>
      </w:tr>
      <w:tr>
        <w:trPr>
          <w:trHeight w:val="23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43.2 %</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740" w:type="dxa"/>
            <w:vAlign w:val="bottom"/>
          </w:tcPr>
          <w:p>
            <w:pPr>
              <w:jc w:val="right"/>
              <w:spacing w:after="0"/>
              <w:rPr>
                <w:sz w:val="20"/>
                <w:szCs w:val="20"/>
                <w:color w:val="auto"/>
              </w:rPr>
            </w:pPr>
            <w:r>
              <w:rPr>
                <w:rFonts w:ascii="Arial" w:cs="Arial" w:eastAsia="Arial" w:hAnsi="Arial"/>
                <w:sz w:val="18"/>
                <w:szCs w:val="18"/>
                <w:color w:val="auto"/>
              </w:rPr>
              <w:t>48.1 %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49.0 %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49.0 %</w:t>
            </w:r>
          </w:p>
        </w:tc>
      </w:tr>
      <w:tr>
        <w:trPr>
          <w:trHeight w:val="23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Net income</w:t>
            </w:r>
          </w:p>
        </w:tc>
        <w:tc>
          <w:tcPr>
            <w:tcW w:w="1740" w:type="dxa"/>
            <w:vAlign w:val="bottom"/>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Adjusted EBITDA</w:t>
            </w:r>
          </w:p>
        </w:tc>
        <w:tc>
          <w:tcPr>
            <w:tcW w:w="1740" w:type="dxa"/>
            <w:vAlign w:val="bottom"/>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12.8 %</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11.3 %</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 compared to Fiscal Year 2020</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COVID-19 pandemic, our retail stores closed to the public beginning on March 19, 2020. We began reopening our stores to the public on April 27, 2020 and on June 8, 2020, we announced the successful completion of the reopening process. Comparisons of current year results to prior year results reflect the material and unprecedented impact of these temporary store closures. Fiscal year 2021 consists of 52 weeks compared to 53 weeks in fiscal year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fiscal year 2021 compared to fiscal year 2020.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4"/>
          </w:tcPr>
          <w:p>
            <w:pPr>
              <w:ind w:left="60"/>
              <w:spacing w:after="0"/>
              <w:rPr>
                <w:sz w:val="20"/>
                <w:szCs w:val="20"/>
                <w:color w:val="auto"/>
              </w:rPr>
            </w:pPr>
            <w:r>
              <w:rPr>
                <w:rFonts w:ascii="Arial" w:cs="Arial" w:eastAsia="Arial" w:hAnsi="Arial"/>
                <w:sz w:val="14"/>
                <w:szCs w:val="14"/>
                <w:color w:val="auto"/>
                <w:w w:val="97"/>
              </w:rPr>
              <w:t>Comparable store sales growth</w:t>
            </w:r>
            <w:r>
              <w:rPr>
                <w:rFonts w:ascii="Arial" w:cs="Arial" w:eastAsia="Arial" w:hAnsi="Arial"/>
                <w:sz w:val="18"/>
                <w:szCs w:val="18"/>
                <w:color w:val="auto"/>
                <w:w w:val="97"/>
                <w:vertAlign w:val="superscript"/>
              </w:rPr>
              <w:t>(1)</w:t>
            </w:r>
          </w:p>
        </w:tc>
        <w:tc>
          <w:tcPr>
            <w:tcW w:w="1840" w:type="dxa"/>
            <w:vAlign w:val="bottom"/>
            <w:gridSpan w:val="4"/>
          </w:tcPr>
          <w:p>
            <w:pPr>
              <w:ind w:left="40"/>
              <w:spacing w:after="0"/>
              <w:rPr>
                <w:sz w:val="20"/>
                <w:szCs w:val="20"/>
                <w:color w:val="auto"/>
              </w:rPr>
            </w:pPr>
            <w:r>
              <w:rPr>
                <w:rFonts w:ascii="Arial" w:cs="Arial" w:eastAsia="Arial" w:hAnsi="Arial"/>
                <w:sz w:val="14"/>
                <w:szCs w:val="14"/>
                <w:color w:val="auto"/>
              </w:rPr>
              <w:t>Stores open at end of period</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Net revenue</w:t>
            </w:r>
            <w:r>
              <w:rPr>
                <w:rFonts w:ascii="Arial" w:cs="Arial" w:eastAsia="Arial" w:hAnsi="Arial"/>
                <w:sz w:val="18"/>
                <w:szCs w:val="18"/>
                <w:color w:val="auto"/>
                <w:vertAlign w:val="superscript"/>
              </w:rPr>
              <w:t>(2)</w:t>
            </w: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740" w:type="dxa"/>
            <w:vAlign w:val="bottom"/>
            <w:gridSpan w:val="2"/>
          </w:tcPr>
          <w:p>
            <w:pPr>
              <w:ind w:left="20"/>
              <w:spacing w:after="0" w:line="129" w:lineRule="exact"/>
              <w:rPr>
                <w:sz w:val="20"/>
                <w:szCs w:val="20"/>
                <w:color w:val="auto"/>
              </w:rPr>
            </w:pPr>
            <w:r>
              <w:rPr>
                <w:rFonts w:ascii="Arial" w:cs="Arial" w:eastAsia="Arial" w:hAnsi="Arial"/>
                <w:sz w:val="14"/>
                <w:szCs w:val="14"/>
                <w:i w:val="1"/>
                <w:iCs w:val="1"/>
                <w:color w:val="auto"/>
              </w:rPr>
              <w:t>In thousands, except percentage and store</w:t>
            </w:r>
          </w:p>
        </w:tc>
        <w:tc>
          <w:tcPr>
            <w:tcW w:w="104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color w:val="auto"/>
              </w:rPr>
              <w:t>Fiscal Year</w:t>
            </w:r>
          </w:p>
        </w:tc>
        <w:tc>
          <w:tcPr>
            <w:tcW w:w="96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color w:val="auto"/>
              </w:rPr>
              <w:t>Fiscal Year</w:t>
            </w:r>
          </w:p>
        </w:tc>
        <w:tc>
          <w:tcPr>
            <w:tcW w:w="120" w:type="dxa"/>
            <w:vAlign w:val="bottom"/>
          </w:tcPr>
          <w:p>
            <w:pPr>
              <w:spacing w:after="0"/>
              <w:rPr>
                <w:sz w:val="11"/>
                <w:szCs w:val="11"/>
                <w:color w:val="auto"/>
              </w:rPr>
            </w:pPr>
          </w:p>
        </w:tc>
        <w:tc>
          <w:tcPr>
            <w:tcW w:w="92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color w:val="auto"/>
              </w:rPr>
              <w:t>Fiscal Year</w:t>
            </w: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9"/>
              </w:rPr>
              <w:t>Fiscal Year</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80" w:type="dxa"/>
            <w:vAlign w:val="bottom"/>
            <w:tcBorders>
              <w:top w:val="single" w:sz="8" w:color="auto"/>
            </w:tcBorders>
            <w:gridSpan w:val="3"/>
            <w:vMerge w:val="restart"/>
          </w:tcPr>
          <w:p>
            <w:pPr>
              <w:ind w:left="380"/>
              <w:spacing w:after="0"/>
              <w:rPr>
                <w:sz w:val="20"/>
                <w:szCs w:val="20"/>
                <w:color w:val="auto"/>
              </w:rPr>
            </w:pPr>
            <w:r>
              <w:rPr>
                <w:rFonts w:ascii="Arial" w:cs="Arial" w:eastAsia="Arial" w:hAnsi="Arial"/>
                <w:sz w:val="14"/>
                <w:szCs w:val="14"/>
                <w:color w:val="auto"/>
              </w:rPr>
              <w:t>Fiscal Year 2021</w:t>
            </w:r>
          </w:p>
        </w:tc>
        <w:tc>
          <w:tcPr>
            <w:tcW w:w="36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4"/>
                <w:szCs w:val="14"/>
                <w:color w:val="auto"/>
              </w:rPr>
              <w:t>Fiscal Year 2020</w:t>
            </w: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i w:val="1"/>
                <w:iCs w:val="1"/>
                <w:color w:val="auto"/>
              </w:rPr>
              <w:t>data</w:t>
            </w:r>
          </w:p>
        </w:tc>
        <w:tc>
          <w:tcPr>
            <w:tcW w:w="920" w:type="dxa"/>
            <w:vAlign w:val="bottom"/>
          </w:tcPr>
          <w:p>
            <w:pPr>
              <w:jc w:val="right"/>
              <w:ind w:right="215"/>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960" w:type="dxa"/>
            <w:vAlign w:val="bottom"/>
          </w:tcPr>
          <w:p>
            <w:pPr>
              <w:jc w:val="right"/>
              <w:ind w:right="253"/>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780" w:type="dxa"/>
            <w:vAlign w:val="bottom"/>
          </w:tcPr>
          <w:p>
            <w:pPr>
              <w:jc w:val="right"/>
              <w:ind w:right="153"/>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America’s Best</w:t>
            </w:r>
          </w:p>
        </w:tc>
        <w:tc>
          <w:tcPr>
            <w:tcW w:w="920" w:type="dxa"/>
            <w:vAlign w:val="bottom"/>
          </w:tcPr>
          <w:p>
            <w:pPr>
              <w:jc w:val="right"/>
              <w:spacing w:after="0"/>
              <w:rPr>
                <w:sz w:val="20"/>
                <w:szCs w:val="20"/>
                <w:color w:val="auto"/>
              </w:rPr>
            </w:pPr>
            <w:r>
              <w:rPr>
                <w:rFonts w:ascii="Arial" w:cs="Arial" w:eastAsia="Arial" w:hAnsi="Arial"/>
                <w:sz w:val="18"/>
                <w:szCs w:val="18"/>
                <w:color w:val="auto"/>
              </w:rPr>
              <w:t>23.5 %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773</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1,423,386</w:t>
            </w:r>
          </w:p>
        </w:tc>
        <w:tc>
          <w:tcPr>
            <w:tcW w:w="840" w:type="dxa"/>
            <w:vAlign w:val="bottom"/>
          </w:tcPr>
          <w:p>
            <w:pPr>
              <w:jc w:val="right"/>
              <w:spacing w:after="0"/>
              <w:rPr>
                <w:sz w:val="20"/>
                <w:szCs w:val="20"/>
                <w:color w:val="auto"/>
              </w:rPr>
            </w:pPr>
            <w:r>
              <w:rPr>
                <w:rFonts w:ascii="Arial" w:cs="Arial" w:eastAsia="Arial" w:hAnsi="Arial"/>
                <w:sz w:val="18"/>
                <w:szCs w:val="18"/>
                <w:color w:val="auto"/>
              </w:rPr>
              <w:t>68.4 %</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w w:val="89"/>
              </w:rPr>
              <w:t>1,131,016</w:t>
            </w:r>
          </w:p>
        </w:tc>
        <w:tc>
          <w:tcPr>
            <w:tcW w:w="840" w:type="dxa"/>
            <w:vAlign w:val="bottom"/>
          </w:tcPr>
          <w:p>
            <w:pPr>
              <w:jc w:val="right"/>
              <w:spacing w:after="0"/>
              <w:rPr>
                <w:sz w:val="20"/>
                <w:szCs w:val="20"/>
                <w:color w:val="auto"/>
              </w:rPr>
            </w:pPr>
            <w:r>
              <w:rPr>
                <w:rFonts w:ascii="Arial" w:cs="Arial" w:eastAsia="Arial" w:hAnsi="Arial"/>
                <w:sz w:val="18"/>
                <w:szCs w:val="18"/>
                <w:color w:val="auto"/>
              </w:rPr>
              <w:t>66.1 %</w:t>
            </w: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Eyeglass World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225,096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179,934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29"/>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Military</w:t>
            </w:r>
          </w:p>
        </w:tc>
        <w:tc>
          <w:tcPr>
            <w:tcW w:w="920" w:type="dxa"/>
            <w:vAlign w:val="bottom"/>
          </w:tcPr>
          <w:p>
            <w:pPr>
              <w:jc w:val="right"/>
              <w:spacing w:after="0"/>
              <w:rPr>
                <w:sz w:val="20"/>
                <w:szCs w:val="20"/>
                <w:color w:val="auto"/>
              </w:rPr>
            </w:pPr>
            <w:r>
              <w:rPr>
                <w:rFonts w:ascii="Arial" w:cs="Arial" w:eastAsia="Arial" w:hAnsi="Arial"/>
                <w:sz w:val="18"/>
                <w:szCs w:val="18"/>
                <w:color w:val="auto"/>
              </w:rPr>
              <w:t>15.8 %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23,103</w:t>
            </w:r>
          </w:p>
        </w:tc>
        <w:tc>
          <w:tcPr>
            <w:tcW w:w="84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20,428</w:t>
            </w:r>
          </w:p>
        </w:tc>
        <w:tc>
          <w:tcPr>
            <w:tcW w:w="8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 Meyer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12,130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11,021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3"/>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Owned &amp; Host segment total</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975</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1,683,715</w:t>
            </w:r>
          </w:p>
        </w:tc>
        <w:tc>
          <w:tcPr>
            <w:tcW w:w="840" w:type="dxa"/>
            <w:vAlign w:val="bottom"/>
          </w:tcPr>
          <w:p>
            <w:pPr>
              <w:jc w:val="right"/>
              <w:spacing w:after="0"/>
              <w:rPr>
                <w:sz w:val="20"/>
                <w:szCs w:val="20"/>
                <w:color w:val="auto"/>
              </w:rPr>
            </w:pPr>
            <w:r>
              <w:rPr>
                <w:rFonts w:ascii="Arial" w:cs="Arial" w:eastAsia="Arial" w:hAnsi="Arial"/>
                <w:sz w:val="18"/>
                <w:szCs w:val="18"/>
                <w:color w:val="auto"/>
              </w:rPr>
              <w:t>80.9 %</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w w:val="89"/>
              </w:rPr>
              <w:t>1,342,399</w:t>
            </w:r>
          </w:p>
        </w:tc>
        <w:tc>
          <w:tcPr>
            <w:tcW w:w="840" w:type="dxa"/>
            <w:vAlign w:val="bottom"/>
          </w:tcPr>
          <w:p>
            <w:pPr>
              <w:jc w:val="right"/>
              <w:spacing w:after="0"/>
              <w:rPr>
                <w:sz w:val="20"/>
                <w:szCs w:val="20"/>
                <w:color w:val="auto"/>
              </w:rPr>
            </w:pPr>
            <w:r>
              <w:rPr>
                <w:rFonts w:ascii="Arial" w:cs="Arial" w:eastAsia="Arial" w:hAnsi="Arial"/>
                <w:sz w:val="18"/>
                <w:szCs w:val="18"/>
                <w:color w:val="auto"/>
              </w:rPr>
              <w:t>78.4 %</w:t>
            </w:r>
          </w:p>
        </w:tc>
        <w:tc>
          <w:tcPr>
            <w:tcW w:w="0" w:type="dxa"/>
            <w:vAlign w:val="bottom"/>
          </w:tcPr>
          <w:p>
            <w:pPr>
              <w:spacing w:after="0"/>
              <w:rPr>
                <w:sz w:val="1"/>
                <w:szCs w:val="1"/>
                <w:color w:val="auto"/>
              </w:rPr>
            </w:pPr>
          </w:p>
        </w:tc>
      </w:tr>
      <w:tr>
        <w:trPr>
          <w:trHeight w:val="22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Legacy segment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165,477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30"/>
        </w:trPr>
        <w:tc>
          <w:tcPr>
            <w:tcW w:w="274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Corporate/Other</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236,299</w:t>
            </w:r>
          </w:p>
        </w:tc>
        <w:tc>
          <w:tcPr>
            <w:tcW w:w="840" w:type="dxa"/>
            <w:vAlign w:val="bottom"/>
          </w:tcPr>
          <w:p>
            <w:pPr>
              <w:jc w:val="right"/>
              <w:spacing w:after="0"/>
              <w:rPr>
                <w:sz w:val="20"/>
                <w:szCs w:val="20"/>
                <w:color w:val="auto"/>
              </w:rPr>
            </w:pPr>
            <w:r>
              <w:rPr>
                <w:rFonts w:ascii="Arial" w:cs="Arial" w:eastAsia="Arial" w:hAnsi="Arial"/>
                <w:sz w:val="18"/>
                <w:szCs w:val="18"/>
                <w:color w:val="auto"/>
              </w:rPr>
              <w:t>11.4 %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234,403</w:t>
            </w:r>
          </w:p>
        </w:tc>
        <w:tc>
          <w:tcPr>
            <w:tcW w:w="840" w:type="dxa"/>
            <w:vAlign w:val="bottom"/>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2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Reconciliations</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(5,966)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(7,059)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spacing w:after="0"/>
              <w:rPr>
                <w:sz w:val="20"/>
                <w:szCs w:val="20"/>
                <w:color w:val="auto"/>
              </w:rPr>
            </w:pPr>
            <w:r>
              <w:rPr>
                <w:rFonts w:ascii="Arial" w:cs="Arial" w:eastAsia="Arial" w:hAnsi="Arial"/>
                <w:sz w:val="18"/>
                <w:szCs w:val="18"/>
                <w:color w:val="auto"/>
              </w:rPr>
              <w:t>22.4 %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2,079,525</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89"/>
              </w:rPr>
              <w:t>1,711,760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Adjusted Comparable Store Sales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7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Growth</w:t>
            </w:r>
            <w:r>
              <w:rPr>
                <w:rFonts w:ascii="Arial" w:cs="Arial" w:eastAsia="Arial" w:hAnsi="Arial"/>
                <w:sz w:val="23"/>
                <w:szCs w:val="23"/>
                <w:color w:val="auto"/>
                <w:vertAlign w:val="superscript"/>
              </w:rPr>
              <w:t>(3)</w:t>
            </w: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2021 includes 52 weeks. Fiscal year 2020 includes 53 weeks.</w:t>
      </w:r>
    </w:p>
    <w:p>
      <w:pPr>
        <w:spacing w:after="0" w:line="1" w:lineRule="exact"/>
        <w:rPr>
          <w:sz w:val="20"/>
          <w:szCs w:val="20"/>
          <w:color w:val="auto"/>
        </w:rPr>
      </w:pPr>
    </w:p>
    <w:p>
      <w:pPr>
        <w:jc w:val="both"/>
        <w:ind w:left="340" w:right="660" w:hanging="332"/>
        <w:spacing w:after="0" w:line="241"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14. “Segment Reporting” in our consolidated financial statements included in Part II. Item 8. of this Form 10-K, with the exception of the Legacy segment, which is adjusted as noted in clause (ii) of footnote (3) below.</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 w:lineRule="exact"/>
        <w:rPr>
          <w:rFonts w:ascii="Arial" w:cs="Arial" w:eastAsia="Arial" w:hAnsi="Arial"/>
          <w:sz w:val="14"/>
          <w:szCs w:val="14"/>
          <w:color w:val="auto"/>
        </w:rPr>
      </w:pPr>
    </w:p>
    <w:p>
      <w:pPr>
        <w:jc w:val="both"/>
        <w:ind w:left="340" w:right="640" w:hanging="332"/>
        <w:spacing w:after="0" w:line="244"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0.7% and a decrease of 0.4% from total comparable store sales growth based on consolidated net revenue for fiscal year 2021 and fiscal year 2020, respectively, and (ii) Adjusted Comparable Store Sales Growth includes retail sales to the Legacy partner’s customers (rather than the revenues recognized consistent with the management &amp; services agreement with the Legacy partner), resulting in a decrease of 0.1% and a decrease of 0.1% from total comparable store sales growth based on consolidated net revenue for the fiscal years 2021 and 2020, respectively.</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net revenue of $2,079.5 million for fiscal year 2021 increased $367.7 million, or 21.5%, from $1,711.8 million for fiscal year 2020. Of the increase approximately 90% was driven by comparable store sales growth driven by customer demand, primarily the effect of our stores being temporarily closed to the public for a portion of fiscal year 2020 and government stimulus, approximately 20% was driven by new store growth and maturation and was partially offset by $32.2 million (or approximately 10%) of net revenue attributable to the 53rd week in fiscal year 2020.</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year 2021, we opened 69 new America’s Best stores and six new Eyeglass World stores and closed two America’s Best stores. The total net new locations in fiscal year 2021 for America’s Best and Eyeglass World are 67 and six, respectively. Overall, store count grew 6.1% from the end of fiscal year 2020 to the end of fiscal year 2021.</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Comparable store sales growth and Adjusted Comparable Store Sales Growth for fiscal year 2021 were 22.4% and 23.0%, respectively. The increases in comparable store sales growth and Adjusted Comparable Store Sales Growth were primarily driven by an increase in customer transactions and, to a lesser extent, higher average ticket as a result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of customer demand, primarily the effect of our stores being temporarily closed for a portion of fiscal year 2020 and government stimulus.</w:t>
      </w:r>
    </w:p>
    <w:p>
      <w:pPr>
        <w:spacing w:after="0" w:line="1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product sales comprised 82.6% and 82.9% of total net revenue for fiscal years 2021 and 2020, respectively. Net product sales increased $300.1 million, or 21.2% during fiscal year 2021 compared to fiscal year 2020, primarily due to a $255.3 million, or 27.0% increase in eyeglass sales and to a lesser extent, a $35.0 million, or 10.3% increase in contact lens sales.</w:t>
      </w:r>
    </w:p>
    <w:p>
      <w:pPr>
        <w:spacing w:after="0" w:line="202"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color w:val="auto"/>
        </w:rPr>
        <w:t>Net sales of services and plans increased $67.7 million, or 23.1%, primarily driven by a $38.4 million, or 25.4% increase in eye exam revenue and a $15.9 million, or 26.4% increase in product protection plan revenue, primarily the effect of our stores being temporarily closed for a portion of fiscal year 2020.</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increased $341.3 million, or 25.4%, driven primarily by comparable store sales growth and new store</w:t>
      </w:r>
      <w:r>
        <w:rPr>
          <w:rFonts w:ascii="Arial" w:cs="Arial" w:eastAsia="Arial" w:hAnsi="Arial"/>
          <w:sz w:val="18"/>
          <w:szCs w:val="18"/>
          <w:i w:val="1"/>
          <w:iCs w:val="1"/>
          <w:color w:val="auto"/>
        </w:rPr>
        <w:t xml:space="preserve"> </w:t>
      </w:r>
      <w:r>
        <w:rPr>
          <w:rFonts w:ascii="Arial" w:cs="Arial" w:eastAsia="Arial" w:hAnsi="Arial"/>
          <w:sz w:val="18"/>
          <w:szCs w:val="18"/>
          <w:color w:val="auto"/>
        </w:rPr>
        <w:t>openings.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grew $23.5 million, or 16.5%, driven by comparable store sales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increased $1.9 million, or 0.8%, due to increases in wholesale fulfillment.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revenue reconciliations. </w:t>
      </w:r>
      <w:r>
        <w:rPr>
          <w:rFonts w:ascii="Arial" w:cs="Arial" w:eastAsia="Arial" w:hAnsi="Arial"/>
          <w:sz w:val="18"/>
          <w:szCs w:val="18"/>
          <w:color w:val="auto"/>
        </w:rPr>
        <w:t>The impact of reconciliations positively impacted net revenue by $1.1 million during fiscal year 2021 compared to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2020. Net revenue was positively impacted by $7.6 million due to the timing of unearned revenue. The balance of unearned revenue as of fiscal year 2020 reflected pent-up demand following the temporary closure of our stores to the public. Net revenue was negatively impacted by $6.5 million due to higher product protection plan and club membership deferred revenue balances in current period compared to the prior year period. Product protection plan and club membership deferred revenue balances were lower in the prior year, primarily due to the effect of our stores being temporarily closed for a portion of fiscal year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applicable to revenue of $904.8 million for fiscal year 2021 increased $118.2 million, or 15.0%, from $786.6 million for fiscal year 2020. As a percentage of net revenue, costs applicable to revenue decreased from 46.0% for fiscal year 2020 to 43.5% for fiscal year 2021. This decrease as a percentage of net revenue was primarily driven by increased eyeglass mix and lower growth in optometrist-related costs, primarily due to the effect of our stores being temporarily closed for a portion of fiscal year 2020 not experienced in fiscal year 2021.</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products as a percentage of net product sales decreased from 38.9% for fiscal year 2020 to 36.8% for fiscal year 2021 primarily driven by increased eyeglass mix and higher eyeglass and contact lens margin, primarily the effect of our stores being temporarily closed for a portion of fiscal year 2020 not experienced in fiscal year 2021.</w:t>
      </w:r>
    </w:p>
    <w:p>
      <w:pPr>
        <w:spacing w:after="0" w:line="7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decreased from 28.0% for fiscal year 2020 to 27.4%</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year 2021 driven by increased eyeglass mix and higher eyeglass margin, primarily the effect of the temporary store closures in fiscal year 2020.</w:t>
      </w:r>
    </w:p>
    <w:p>
      <w:pPr>
        <w:spacing w:after="0" w:line="76"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Legacy segment costs of products. </w:t>
      </w:r>
      <w:r>
        <w:rPr>
          <w:rFonts w:ascii="Arial" w:cs="Arial" w:eastAsia="Arial" w:hAnsi="Arial"/>
          <w:sz w:val="17"/>
          <w:szCs w:val="17"/>
          <w:color w:val="auto"/>
        </w:rPr>
        <w:t>Costs of products as a percentage of net product sales decreased slightly from 47.8% for fiscal year 2020 to 47.7%</w:t>
      </w:r>
      <w:r>
        <w:rPr>
          <w:rFonts w:ascii="Arial" w:cs="Arial" w:eastAsia="Arial" w:hAnsi="Arial"/>
          <w:sz w:val="17"/>
          <w:szCs w:val="17"/>
          <w:i w:val="1"/>
          <w:iCs w:val="1"/>
          <w:color w:val="auto"/>
        </w:rPr>
        <w:t xml:space="preserve"> </w:t>
      </w:r>
      <w:r>
        <w:rPr>
          <w:rFonts w:ascii="Arial" w:cs="Arial" w:eastAsia="Arial" w:hAnsi="Arial"/>
          <w:sz w:val="17"/>
          <w:szCs w:val="17"/>
          <w:color w:val="auto"/>
        </w:rPr>
        <w:t>for fiscal year 2021. The decrease was primarily driven by the effect of the temporary store closures in fiscal year 2020, which was partially offset by a lower mix of managed care customer transactions versus non-managed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decrease costs of products as a percentage of net product sales and have a corresponding negative impact on costs of services as a percentage of net sales of services and plans in our Legacy segment.</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of services and plans as a percentage of net sales of services and plans decreased from 80.0% for fiscal year 2020 to 75.2% for fiscal year 2021. The decrease was driven by lower growth in optometrist-related costs and higher eye exam revenue, primarily due to the impact of the temporary store closures to the public in fiscal year 2020 not experienced in fiscal year 2021. These improvements were partially offset by the deferred revenue effects mentioned above.</w:t>
      </w:r>
    </w:p>
    <w:p>
      <w:pPr>
        <w:spacing w:after="0" w:line="7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services and plans. </w:t>
      </w:r>
      <w:r>
        <w:rPr>
          <w:rFonts w:ascii="Arial" w:cs="Arial" w:eastAsia="Arial" w:hAnsi="Arial"/>
          <w:sz w:val="18"/>
          <w:szCs w:val="18"/>
          <w:color w:val="auto"/>
        </w:rPr>
        <w:t>Costs of services and plans as a percentage of net sales of services and plans decreased from</w:t>
      </w:r>
      <w:r>
        <w:rPr>
          <w:rFonts w:ascii="Arial" w:cs="Arial" w:eastAsia="Arial" w:hAnsi="Arial"/>
          <w:sz w:val="18"/>
          <w:szCs w:val="18"/>
          <w:i w:val="1"/>
          <w:iCs w:val="1"/>
          <w:color w:val="auto"/>
        </w:rPr>
        <w:t xml:space="preserve"> </w:t>
      </w:r>
      <w:r>
        <w:rPr>
          <w:rFonts w:ascii="Arial" w:cs="Arial" w:eastAsia="Arial" w:hAnsi="Arial"/>
          <w:sz w:val="18"/>
          <w:szCs w:val="18"/>
          <w:color w:val="auto"/>
        </w:rPr>
        <w:t>86.0% for fiscal year 2020 to 80.1% for fiscal year 2021. The decrease was driven by lower growth in optometrist-related costs and higher eye exam revenue, primarily the impact of the temporary store closures to the public in fiscal year 2020.</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Legacy segment costs of services and plans. </w:t>
      </w:r>
      <w:r>
        <w:rPr>
          <w:rFonts w:ascii="Arial" w:cs="Arial" w:eastAsia="Arial" w:hAnsi="Arial"/>
          <w:sz w:val="18"/>
          <w:szCs w:val="18"/>
          <w:color w:val="auto"/>
        </w:rPr>
        <w:t>Costs of services and plans as a percentage of net sales of services and plans decreased from 46.5%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2020 to 40.7% for fiscal year 2021. The decrease was primarily driven by higher management fees from our Legacy partner and lower growth in optometrist-related costs, the effect of the temporary store closures to the public in fiscal year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of $900.8 million for fiscal year 2021 increased $175.8 million, or 24.3%, from fiscal year 2020. As a percentage of net revenue, SG&amp;A increased from 42.4% for fiscal year 2020 to 43.3% for fiscal year 2021. This increase as a percentage of net revenue was primarily driven by increases in advertising and performance-based incentive compensation partially offset by decreases in store payroll and occupancy expenses, which were primarily due to the effect of temporary store closures to the public in fiscal year 2020 not experienced in fiscal year 2021, and an individual one-time cash bonus paid in fiscal year 2020 to our front-line associates and doctors.</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SG&amp;A for fiscal year 2021 and fiscal year 2020 includes $1.5 million and $8.6 million, respectively, of incremental costs directly related to adapting the Company’s operations during the COVID-19 pandemic; of these costs, $0.6 million were reflected as adjustments for the Company’s presentation of non-GAAP measures below for fiscal year 2020.</w:t>
      </w:r>
    </w:p>
    <w:p>
      <w:pPr>
        <w:spacing w:after="0" w:line="7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SG&amp;A. </w:t>
      </w:r>
      <w:r>
        <w:rPr>
          <w:rFonts w:ascii="Arial" w:cs="Arial" w:eastAsia="Arial" w:hAnsi="Arial"/>
          <w:sz w:val="18"/>
          <w:szCs w:val="18"/>
          <w:color w:val="auto"/>
        </w:rPr>
        <w:t>SG&amp;A as a percentage of net revenue increased from 36.5% for fiscal year 2020 to 36.7% for fiscal year 2021.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as a percentage of net revenue was primarily driven by higher advertising expense partially offset by payroll and occupancy leverage, the effect of the temporary store closures to the public in fiscal year 2020.</w:t>
      </w:r>
    </w:p>
    <w:p>
      <w:pPr>
        <w:spacing w:after="0" w:line="7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SG&amp;A as a percentage of net revenue decreased from 36.5% for fiscal year 2020 to 35.0% for fiscal year 2021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payroll and occupancy leverage, the effect of the temporary store closures to the public in fiscal year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of $97.1 million for fiscal year 2021 increased $5.5 million, or 6.0%, from $91.6 million for fiscal year 2020 primarily driven by new store openings.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recognized $4.4 million for impairment primarily of tangible long-lived assets and ROU assets associated with our retail stores in fiscal year 2021 compared to $22.0 million recognized in fiscal year 2020. The store asset impairment charge is primarily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The asset impairment expense for fiscal years 2021 and 2020 also includes $0.8 million and $1.1 million, respectively, related to a write-off of certain software assets that were deemed to be obsolete. Asset impairment expenses were recognized in Corporate/Other.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a gain of $2.4 million in Other expense (income), net in fiscal year 2021 in connection with the acquisition of our equity method investee by a third party. See Note 1. “Business and Significant Accounting Policies” for further details.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net, of $25.6 million for fiscal year 2021 decreased $22.7 million, or 47.0%, from $48.3 million for fiscal year 2020. The decrease was primarily driven by lower derivative costs of $10.9 million, reduced term loan outstanding balance and credit facility utilization, and lower interest expense on the 2025 Notes as a result of the adoption of ASU 2020-06.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provision for fiscal year 2021 reflected our statutory federal and state rate of 25.5%, offset by a benefit of $16.5 million primarily from the exercise of stock options and stranded tax effect associated with our interest rate swaps that matured in the first quarter of 2021. In comparison, the income tax provision associated with fiscal year 2020 reflected our statutory federal and state rate of 25.5% combined with a benefit of $8.0 million associated primarily with the stock option exercises.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 compared to Fiscal Year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fiscal year 2020 compared to fiscal year 2019.</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4"/>
          </w:tcPr>
          <w:p>
            <w:pPr>
              <w:ind w:left="100"/>
              <w:spacing w:after="0"/>
              <w:rPr>
                <w:sz w:val="20"/>
                <w:szCs w:val="20"/>
                <w:color w:val="auto"/>
              </w:rPr>
            </w:pPr>
            <w:r>
              <w:rPr>
                <w:rFonts w:ascii="Arial" w:cs="Arial" w:eastAsia="Arial" w:hAnsi="Arial"/>
                <w:sz w:val="14"/>
                <w:szCs w:val="14"/>
                <w:color w:val="auto"/>
                <w:w w:val="97"/>
              </w:rPr>
              <w:t>Comparable store sales growth</w:t>
            </w:r>
            <w:r>
              <w:rPr>
                <w:rFonts w:ascii="Arial" w:cs="Arial" w:eastAsia="Arial" w:hAnsi="Arial"/>
                <w:sz w:val="18"/>
                <w:szCs w:val="18"/>
                <w:color w:val="auto"/>
                <w:w w:val="97"/>
                <w:vertAlign w:val="superscript"/>
              </w:rPr>
              <w:t>(1)</w:t>
            </w:r>
          </w:p>
        </w:tc>
        <w:tc>
          <w:tcPr>
            <w:tcW w:w="1840" w:type="dxa"/>
            <w:vAlign w:val="bottom"/>
            <w:gridSpan w:val="4"/>
          </w:tcPr>
          <w:p>
            <w:pPr>
              <w:ind w:left="60"/>
              <w:spacing w:after="0"/>
              <w:rPr>
                <w:sz w:val="20"/>
                <w:szCs w:val="20"/>
                <w:color w:val="auto"/>
              </w:rPr>
            </w:pPr>
            <w:r>
              <w:rPr>
                <w:rFonts w:ascii="Arial" w:cs="Arial" w:eastAsia="Arial" w:hAnsi="Arial"/>
                <w:sz w:val="14"/>
                <w:szCs w:val="14"/>
                <w:color w:val="auto"/>
                <w:w w:val="99"/>
              </w:rPr>
              <w:t>Stores open at end of period</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Net revenue</w:t>
            </w:r>
            <w:r>
              <w:rPr>
                <w:rFonts w:ascii="Arial" w:cs="Arial" w:eastAsia="Arial" w:hAnsi="Arial"/>
                <w:sz w:val="18"/>
                <w:szCs w:val="18"/>
                <w:color w:val="auto"/>
                <w:vertAlign w:val="superscript"/>
              </w:rPr>
              <w:t>(2)</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700" w:type="dxa"/>
            <w:vAlign w:val="bottom"/>
            <w:gridSpan w:val="2"/>
          </w:tcPr>
          <w:p>
            <w:pPr>
              <w:ind w:left="20"/>
              <w:spacing w:after="0" w:line="129" w:lineRule="exact"/>
              <w:rPr>
                <w:sz w:val="20"/>
                <w:szCs w:val="20"/>
                <w:color w:val="auto"/>
              </w:rPr>
            </w:pPr>
            <w:r>
              <w:rPr>
                <w:rFonts w:ascii="Arial" w:cs="Arial" w:eastAsia="Arial" w:hAnsi="Arial"/>
                <w:sz w:val="14"/>
                <w:szCs w:val="14"/>
                <w:i w:val="1"/>
                <w:iCs w:val="1"/>
                <w:color w:val="auto"/>
              </w:rPr>
              <w:t>In thousands, except percentage and store</w:t>
            </w:r>
          </w:p>
        </w:tc>
        <w:tc>
          <w:tcPr>
            <w:tcW w:w="110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color w:val="auto"/>
              </w:rPr>
              <w:t>Fiscal Year</w:t>
            </w:r>
          </w:p>
        </w:tc>
        <w:tc>
          <w:tcPr>
            <w:tcW w:w="96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color w:val="auto"/>
              </w:rPr>
              <w:t>Fiscal Year</w:t>
            </w:r>
          </w:p>
        </w:tc>
        <w:tc>
          <w:tcPr>
            <w:tcW w:w="100" w:type="dxa"/>
            <w:vAlign w:val="bottom"/>
          </w:tcPr>
          <w:p>
            <w:pPr>
              <w:spacing w:after="0"/>
              <w:rPr>
                <w:sz w:val="11"/>
                <w:szCs w:val="11"/>
                <w:color w:val="auto"/>
              </w:rPr>
            </w:pPr>
          </w:p>
        </w:tc>
        <w:tc>
          <w:tcPr>
            <w:tcW w:w="92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color w:val="auto"/>
              </w:rPr>
              <w:t>Fiscal Year</w:t>
            </w:r>
          </w:p>
        </w:tc>
        <w:tc>
          <w:tcPr>
            <w:tcW w:w="82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color w:val="auto"/>
                <w:w w:val="99"/>
              </w:rPr>
              <w:t>Fiscal Year</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80" w:type="dxa"/>
            <w:vAlign w:val="bottom"/>
            <w:tcBorders>
              <w:top w:val="single" w:sz="8" w:color="auto"/>
            </w:tcBorders>
            <w:gridSpan w:val="3"/>
            <w:vMerge w:val="restart"/>
          </w:tcPr>
          <w:p>
            <w:pPr>
              <w:ind w:left="380"/>
              <w:spacing w:after="0"/>
              <w:rPr>
                <w:sz w:val="20"/>
                <w:szCs w:val="20"/>
                <w:color w:val="auto"/>
              </w:rPr>
            </w:pPr>
            <w:r>
              <w:rPr>
                <w:rFonts w:ascii="Arial" w:cs="Arial" w:eastAsia="Arial" w:hAnsi="Arial"/>
                <w:sz w:val="14"/>
                <w:szCs w:val="14"/>
                <w:color w:val="auto"/>
              </w:rPr>
              <w:t>Fiscal Year 2020</w:t>
            </w:r>
          </w:p>
        </w:tc>
        <w:tc>
          <w:tcPr>
            <w:tcW w:w="38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4"/>
                <w:szCs w:val="14"/>
                <w:color w:val="auto"/>
              </w:rPr>
              <w:t>Fiscal Year 2019</w:t>
            </w:r>
          </w:p>
        </w:tc>
        <w:tc>
          <w:tcPr>
            <w:tcW w:w="0" w:type="dxa"/>
            <w:vAlign w:val="bottom"/>
          </w:tcPr>
          <w:p>
            <w:pPr>
              <w:spacing w:after="0"/>
              <w:rPr>
                <w:sz w:val="1"/>
                <w:szCs w:val="1"/>
                <w:color w:val="auto"/>
              </w:rPr>
            </w:pPr>
          </w:p>
        </w:tc>
      </w:tr>
      <w:tr>
        <w:trPr>
          <w:trHeight w:val="186"/>
        </w:trPr>
        <w:tc>
          <w:tcPr>
            <w:tcW w:w="2700" w:type="dxa"/>
            <w:vAlign w:val="bottom"/>
            <w:gridSpan w:val="2"/>
          </w:tcPr>
          <w:p>
            <w:pPr>
              <w:ind w:left="20"/>
              <w:spacing w:after="0"/>
              <w:rPr>
                <w:sz w:val="20"/>
                <w:szCs w:val="20"/>
                <w:color w:val="auto"/>
              </w:rPr>
            </w:pPr>
            <w:r>
              <w:rPr>
                <w:rFonts w:ascii="Arial" w:cs="Arial" w:eastAsia="Arial" w:hAnsi="Arial"/>
                <w:sz w:val="14"/>
                <w:szCs w:val="14"/>
                <w:i w:val="1"/>
                <w:iCs w:val="1"/>
                <w:color w:val="auto"/>
              </w:rPr>
              <w:t>data</w:t>
            </w:r>
          </w:p>
        </w:tc>
        <w:tc>
          <w:tcPr>
            <w:tcW w:w="1000" w:type="dxa"/>
            <w:vAlign w:val="bottom"/>
          </w:tcPr>
          <w:p>
            <w:pPr>
              <w:jc w:val="right"/>
              <w:ind w:right="275"/>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960" w:type="dxa"/>
            <w:vAlign w:val="bottom"/>
          </w:tcPr>
          <w:p>
            <w:pPr>
              <w:jc w:val="right"/>
              <w:ind w:right="253"/>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800" w:type="dxa"/>
            <w:vAlign w:val="bottom"/>
          </w:tcPr>
          <w:p>
            <w:pPr>
              <w:jc w:val="right"/>
              <w:ind w:right="155"/>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America’s Best</w:t>
            </w: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1,131,016</w:t>
            </w:r>
          </w:p>
        </w:tc>
        <w:tc>
          <w:tcPr>
            <w:tcW w:w="840" w:type="dxa"/>
            <w:vAlign w:val="bottom"/>
          </w:tcPr>
          <w:p>
            <w:pPr>
              <w:jc w:val="right"/>
              <w:spacing w:after="0"/>
              <w:rPr>
                <w:sz w:val="20"/>
                <w:szCs w:val="20"/>
                <w:color w:val="auto"/>
              </w:rPr>
            </w:pPr>
            <w:r>
              <w:rPr>
                <w:rFonts w:ascii="Arial" w:cs="Arial" w:eastAsia="Arial" w:hAnsi="Arial"/>
                <w:sz w:val="18"/>
                <w:szCs w:val="18"/>
                <w:color w:val="auto"/>
              </w:rPr>
              <w:t>66.1 %</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w w:val="87"/>
              </w:rPr>
              <w:t>1,108,760</w:t>
            </w:r>
          </w:p>
        </w:tc>
        <w:tc>
          <w:tcPr>
            <w:tcW w:w="840" w:type="dxa"/>
            <w:vAlign w:val="bottom"/>
          </w:tcPr>
          <w:p>
            <w:pPr>
              <w:jc w:val="right"/>
              <w:spacing w:after="0"/>
              <w:rPr>
                <w:sz w:val="20"/>
                <w:szCs w:val="20"/>
                <w:color w:val="auto"/>
              </w:rPr>
            </w:pPr>
            <w:r>
              <w:rPr>
                <w:rFonts w:ascii="Arial" w:cs="Arial" w:eastAsia="Arial" w:hAnsi="Arial"/>
                <w:sz w:val="18"/>
                <w:szCs w:val="18"/>
                <w:color w:val="auto"/>
              </w:rPr>
              <w:t>64.3 %</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Eyeglass World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179,934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178,841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Military</w:t>
            </w:r>
          </w:p>
        </w:tc>
        <w:tc>
          <w:tcPr>
            <w:tcW w:w="10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20,428</w:t>
            </w:r>
          </w:p>
        </w:tc>
        <w:tc>
          <w:tcPr>
            <w:tcW w:w="8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23,694</w:t>
            </w:r>
          </w:p>
        </w:tc>
        <w:tc>
          <w:tcPr>
            <w:tcW w:w="84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 Meyer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11,021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13,705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Owned &amp; Host segment total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1,342,399</w:t>
            </w:r>
          </w:p>
        </w:tc>
        <w:tc>
          <w:tcPr>
            <w:tcW w:w="840" w:type="dxa"/>
            <w:vAlign w:val="bottom"/>
          </w:tcPr>
          <w:p>
            <w:pPr>
              <w:jc w:val="right"/>
              <w:spacing w:after="0"/>
              <w:rPr>
                <w:sz w:val="20"/>
                <w:szCs w:val="20"/>
                <w:color w:val="auto"/>
              </w:rPr>
            </w:pPr>
            <w:r>
              <w:rPr>
                <w:rFonts w:ascii="Arial" w:cs="Arial" w:eastAsia="Arial" w:hAnsi="Arial"/>
                <w:sz w:val="18"/>
                <w:szCs w:val="18"/>
                <w:color w:val="auto"/>
              </w:rPr>
              <w:t>78.4 %</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w w:val="87"/>
              </w:rPr>
              <w:t>1,325,000</w:t>
            </w:r>
          </w:p>
        </w:tc>
        <w:tc>
          <w:tcPr>
            <w:tcW w:w="840" w:type="dxa"/>
            <w:vAlign w:val="bottom"/>
          </w:tcPr>
          <w:p>
            <w:pPr>
              <w:jc w:val="right"/>
              <w:spacing w:after="0"/>
              <w:rPr>
                <w:sz w:val="20"/>
                <w:szCs w:val="20"/>
                <w:color w:val="auto"/>
              </w:rPr>
            </w:pPr>
            <w:r>
              <w:rPr>
                <w:rFonts w:ascii="Arial" w:cs="Arial" w:eastAsia="Arial" w:hAnsi="Arial"/>
                <w:sz w:val="18"/>
                <w:szCs w:val="18"/>
                <w:color w:val="auto"/>
              </w:rPr>
              <w:t>76.9 %</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Legacy segment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160,049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Corporate/Other</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234,403</w:t>
            </w:r>
          </w:p>
        </w:tc>
        <w:tc>
          <w:tcPr>
            <w:tcW w:w="840" w:type="dxa"/>
            <w:vAlign w:val="bottom"/>
          </w:tcPr>
          <w:p>
            <w:pPr>
              <w:jc w:val="right"/>
              <w:spacing w:after="0"/>
              <w:rPr>
                <w:sz w:val="20"/>
                <w:szCs w:val="20"/>
                <w:color w:val="auto"/>
              </w:rPr>
            </w:pPr>
            <w:r>
              <w:rPr>
                <w:rFonts w:ascii="Arial" w:cs="Arial" w:eastAsia="Arial" w:hAnsi="Arial"/>
                <w:sz w:val="18"/>
                <w:szCs w:val="18"/>
                <w:color w:val="auto"/>
              </w:rPr>
              <w:t>13.7 %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245,218</w:t>
            </w:r>
          </w:p>
        </w:tc>
        <w:tc>
          <w:tcPr>
            <w:tcW w:w="840" w:type="dxa"/>
            <w:vAlign w:val="bottom"/>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Reconciliations</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(7,059)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(5,936)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1,711,760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87"/>
              </w:rPr>
              <w:t>1,724,331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Adjusted Comparable Store Sales</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Growth</w:t>
            </w:r>
            <w:r>
              <w:rPr>
                <w:rFonts w:ascii="Arial" w:cs="Arial" w:eastAsia="Arial" w:hAnsi="Arial"/>
                <w:sz w:val="23"/>
                <w:szCs w:val="23"/>
                <w:color w:val="auto"/>
                <w:vertAlign w:val="superscript"/>
              </w:rPr>
              <w:t>(3)</w:t>
            </w: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2020 includes 53 weeks. Fiscal year 2019 includes 52 weeks.</w:t>
      </w:r>
    </w:p>
    <w:p>
      <w:pPr>
        <w:spacing w:after="0" w:line="1" w:lineRule="exact"/>
        <w:rPr>
          <w:sz w:val="20"/>
          <w:szCs w:val="20"/>
          <w:color w:val="auto"/>
        </w:rPr>
      </w:pPr>
    </w:p>
    <w:p>
      <w:pPr>
        <w:jc w:val="both"/>
        <w:ind w:left="340" w:right="660" w:hanging="332"/>
        <w:spacing w:after="0" w:line="241" w:lineRule="auto"/>
        <w:tabs>
          <w:tab w:leader="none" w:pos="332"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14. “Segment Reporting” in our consolidated financial statements included in Part II. Item 8. of this Form 10-K, with the exception of the Legacy segment, which is adjusted as noted in clause (ii) of footnote (3) below.</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 w:lineRule="exact"/>
        <w:rPr>
          <w:rFonts w:ascii="Arial" w:cs="Arial" w:eastAsia="Arial" w:hAnsi="Arial"/>
          <w:sz w:val="14"/>
          <w:szCs w:val="14"/>
          <w:color w:val="auto"/>
        </w:rPr>
      </w:pPr>
    </w:p>
    <w:p>
      <w:pPr>
        <w:jc w:val="both"/>
        <w:ind w:left="340" w:right="640" w:hanging="332"/>
        <w:spacing w:after="0" w:line="244" w:lineRule="auto"/>
        <w:tabs>
          <w:tab w:leader="none" w:pos="332"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0.4% and a decrease of 0.1% from total comparable store sales growth based on consolidated net revenue for fiscal year 2020 and fiscal year 2019, respectively, and (ii) Adjusted Comparable Store Sales Growth includes retail sales to the Legacy partner’s customers (rather than the revenues recognized consistent with the management &amp; services agreement with the Legacy partner), resulting in a decrease of 0.1% and a decrease of 0.2% from total comparable store sales growth based on consolidated net revenue for the fiscal years 2020 and 2019, respectively.</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net revenue of $1,711.8 million for fiscal year 2020 decreased $12.5 million, or 0.7%, from $1,724.3 million for fiscal year 2019. This decrease was driven by the temporary closure of our stores to the public for a portion of fiscal year 2020 due to the COVID-19 pandemic, and was partially offset by new store sales as well as $32.2 million of net revenue attributable to the 53rd week in fiscal year 2020. Total net revenue was also negatively impacted by changes in unearned revenue.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fiscal year 2020, we opened 55 new America’s Best stores, two new Eyeglass World stores, and transitioned five additional Legacy stores to our management. During fiscal year 2020, we closed seven America’s Best stores and one Legacy store as a result of our Legacy partner’s decision to cease its overall operations at the location. The total net new locations in fiscal year 2020 for America’s Best, Eyeglass Word, and Legacy are 48, two and four, respectively. Overall, store count grew 4.7% from the end of fiscal year 2019 to the end of fiscal year 2020.</w:t>
      </w:r>
    </w:p>
    <w:p>
      <w:pPr>
        <w:spacing w:after="0" w:line="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Comparable store sales growth and Adjusted Comparable Store Sales Growth for fiscal year 2020 were (5.6)% and (6.1)%, respectively. The decreases in comparable store sales growth and Adjusted Comparable Store Sales Growth were driven by the temporary closure of our stores to the public.</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product sales comprised 82.9% and 82.7% of total net revenue for fiscal years 2020 and 2019, respectively. Net product sales decreased $7.9 million, or 0.6% during fiscal year 2020 compared to fiscal year 2019, primarily due to the temporary closure of our stores to the public and lower wholesale fulfillment that was partially offset by additional revenue from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and increased sales of contact lenses. Net sales of services and plans decreased $4.7 million, or 1.6%, primarily due to the temporary closure of our stores to the public.</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6" w:lineRule="exact"/>
        <w:rPr>
          <w:sz w:val="20"/>
          <w:szCs w:val="20"/>
          <w:color w:val="auto"/>
        </w:rPr>
      </w:pPr>
    </w:p>
    <w:p>
      <w:pPr>
        <w:jc w:val="both"/>
        <w:ind w:left="340"/>
        <w:spacing w:after="0" w:line="229"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increased $17.4 million, or 1.3% as stronger sales in fiscal year 2020, and in the 53</w:t>
      </w:r>
      <w:r>
        <w:rPr>
          <w:rFonts w:ascii="Arial" w:cs="Arial" w:eastAsia="Arial" w:hAnsi="Arial"/>
          <w:sz w:val="23"/>
          <w:szCs w:val="23"/>
          <w:color w:val="auto"/>
          <w:vertAlign w:val="superscript"/>
        </w:rPr>
        <w:t>rd</w:t>
      </w:r>
      <w:r>
        <w:rPr>
          <w:rFonts w:ascii="Arial" w:cs="Arial" w:eastAsia="Arial" w:hAnsi="Arial"/>
          <w:sz w:val="18"/>
          <w:szCs w:val="18"/>
          <w:i w:val="1"/>
          <w:iCs w:val="1"/>
          <w:color w:val="auto"/>
        </w:rPr>
        <w:t xml:space="preserve"> </w:t>
      </w:r>
      <w:r>
        <w:rPr>
          <w:rFonts w:ascii="Arial" w:cs="Arial" w:eastAsia="Arial" w:hAnsi="Arial"/>
          <w:sz w:val="18"/>
          <w:szCs w:val="18"/>
          <w:color w:val="auto"/>
        </w:rPr>
        <w:t>week, were</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declines due to the temporary closure of our stores to the public.</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declined $18.0 million, or 11.3%, due to the temporary closure of our stores to the public.</w:t>
      </w:r>
    </w:p>
    <w:p>
      <w:pPr>
        <w:spacing w:after="0" w:line="11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declined $10.8 million, or 4.4%, due to lower wholesale fulfillment, partially offset by growth in</w:t>
      </w:r>
      <w:r>
        <w:rPr>
          <w:rFonts w:ascii="Arial" w:cs="Arial" w:eastAsia="Arial" w:hAnsi="Arial"/>
          <w:sz w:val="18"/>
          <w:szCs w:val="18"/>
          <w:i w:val="1"/>
          <w:iCs w:val="1"/>
          <w:color w:val="auto"/>
        </w:rPr>
        <w:t xml:space="preserve"> </w:t>
      </w:r>
      <w:r>
        <w:rPr>
          <w:rFonts w:ascii="Arial" w:cs="Arial" w:eastAsia="Arial" w:hAnsi="Arial"/>
          <w:sz w:val="18"/>
          <w:szCs w:val="18"/>
          <w:color w:val="auto"/>
        </w:rPr>
        <w:t>our online retail business.</w:t>
      </w:r>
    </w:p>
    <w:p>
      <w:pPr>
        <w:spacing w:after="0" w:line="62" w:lineRule="exact"/>
        <w:rPr>
          <w:sz w:val="20"/>
          <w:szCs w:val="20"/>
          <w:color w:val="auto"/>
        </w:rPr>
      </w:pPr>
    </w:p>
    <w:p>
      <w:pPr>
        <w:jc w:val="both"/>
        <w:ind w:left="340"/>
        <w:spacing w:after="0" w:line="281" w:lineRule="auto"/>
        <w:rPr>
          <w:sz w:val="20"/>
          <w:szCs w:val="20"/>
          <w:color w:val="auto"/>
        </w:rPr>
      </w:pPr>
      <w:r>
        <w:rPr>
          <w:rFonts w:ascii="Arial" w:cs="Arial" w:eastAsia="Arial" w:hAnsi="Arial"/>
          <w:sz w:val="16"/>
          <w:szCs w:val="16"/>
          <w:i w:val="1"/>
          <w:iCs w:val="1"/>
          <w:color w:val="auto"/>
        </w:rPr>
        <w:t xml:space="preserve">Net revenue reconciliations. </w:t>
      </w:r>
      <w:r>
        <w:rPr>
          <w:rFonts w:ascii="Arial" w:cs="Arial" w:eastAsia="Arial" w:hAnsi="Arial"/>
          <w:sz w:val="16"/>
          <w:szCs w:val="16"/>
          <w:color w:val="auto"/>
        </w:rPr>
        <w:t>Reconciliations for fiscal year 2020 and fiscal year 2019 include increases in deferred revenue of $2.3 million and $5.1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and increases in unearned revenue of $4.8 million and $0.8 million, respectively. The increase in deferred revenue for fiscal year 2020 was driven by growth in eye care club membership sales; we believe that the increases in deferred revenue were limited somewhat by the temporary closure of our stores to the public. The increase in unearned revenue compared to the prior period is due to higher sales in the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week of the fiscal year. In 53-week fiscal years we have historically experienced higher volumes in the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week compared to the 52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week.</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applicable to revenue of $786.6 million for fiscal year 2020 decreased $19.9 million, or 2.5%, from $806.5 million for fiscal year 2019. As a percentage of net revenue, costs applicable to revenue decreased from 46.8% for fiscal year 2019 to 46.0% for fiscal year 2020. This decrease as a percentage of net revenue was driven by higher eyeglass margin, partially offset by increased contact lens mix and optometrist costs while our stores were temporarily closed to the public.</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of products as a percentage of net product sales decreased from 40.3% for fiscal year 2019 to 38.9% for fiscal year 2020, driven by higher eyeglass margin, partially offset by increased contact lens mix.</w:t>
      </w:r>
    </w:p>
    <w:p>
      <w:pPr>
        <w:spacing w:after="0" w:line="6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decreased from 28.9% for fiscal year 2019 to 28.0%</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year 2020 driven by higher eyeglass margin, partially offset by increased contact lens mix.</w:t>
      </w:r>
    </w:p>
    <w:p>
      <w:pPr>
        <w:spacing w:after="0" w:line="62"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i w:val="1"/>
          <w:iCs w:val="1"/>
          <w:color w:val="auto"/>
        </w:rPr>
        <w:t xml:space="preserve">Legacy segment costs of products. </w:t>
      </w:r>
      <w:r>
        <w:rPr>
          <w:rFonts w:ascii="Arial" w:cs="Arial" w:eastAsia="Arial" w:hAnsi="Arial"/>
          <w:sz w:val="16"/>
          <w:szCs w:val="16"/>
          <w:color w:val="auto"/>
        </w:rPr>
        <w:t>Costs of products as a percentage of net product sales increased from 46.2% for fiscal year 2019 to 47.8% for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2020. The increase was primarily driven by increased contact lens mix and a higher mix of non-managed care customer transactions versus 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Decreases in managed care mix increase costs of products as a percentage of net product sales and have a corresponding positive impact on costs of services as a percentage of net sales of services and plans in our Legacy segment.</w:t>
      </w:r>
    </w:p>
    <w:p>
      <w:pPr>
        <w:spacing w:after="0" w:line="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Costs of services and plans as a percentage of net sales of services and plans increased from 77.9% for fiscal year 2019 to 80.0% for fiscal year 2020. The increase was primarily driven by optometrist costs incurred during the temporary closure of our stores to the public.</w:t>
      </w:r>
    </w:p>
    <w:p>
      <w:pPr>
        <w:spacing w:after="0" w:line="6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services and plans. </w:t>
      </w:r>
      <w:r>
        <w:rPr>
          <w:rFonts w:ascii="Arial" w:cs="Arial" w:eastAsia="Arial" w:hAnsi="Arial"/>
          <w:sz w:val="18"/>
          <w:szCs w:val="18"/>
          <w:color w:val="auto"/>
        </w:rPr>
        <w:t>Costs of services and plans as a percentage of net sales of services and plans increased from 83.2%</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year 2019 to 86.0% for fiscal year 2020. The increase was driven by optometrist and technician costs incurred during the temporary closure of our stores to the public.</w:t>
      </w:r>
    </w:p>
    <w:p>
      <w:pPr>
        <w:spacing w:after="0" w:line="7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Legacy segment costs of services and plans. </w:t>
      </w:r>
      <w:r>
        <w:rPr>
          <w:rFonts w:ascii="Arial" w:cs="Arial" w:eastAsia="Arial" w:hAnsi="Arial"/>
          <w:sz w:val="18"/>
          <w:szCs w:val="18"/>
          <w:color w:val="auto"/>
        </w:rPr>
        <w:t>Costs of services and plans as a percentage of net sales of services and plans increased from 46.3%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2019 to 46.5% for fiscal year 2020. The increase was primarily driven by optometrist costs incurred during the temporary closure of our stores to the public.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SG&amp;A of $725.0 million for fiscal year 2020 decreased $19.5 million, or 2.6%, from fiscal year 2019. As a percentage of net revenue, SG&amp;A decreased from 43.2% for fiscal year 2019 to 42.4% for fiscal year 2020. This decrease as a percentage of net revenue was primarily driven by lower advertising investment partially offset by store and corporate payroll and occupancy costs incurred during the temporary closure of our stores to the public. SG&amp;A for fiscal year 2020 includes $8.6 million of incremental costs directly related to adapting the Company’s operations during the COVID-19 pandemic; of these costs, $0.6 million were reflected as adjustments for the Company’s presentation of non-GAAP measures below.</w:t>
      </w:r>
    </w:p>
    <w:p>
      <w:pPr>
        <w:spacing w:after="0" w:line="6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SG&amp;A. </w:t>
      </w:r>
      <w:r>
        <w:rPr>
          <w:rFonts w:ascii="Arial" w:cs="Arial" w:eastAsia="Arial" w:hAnsi="Arial"/>
          <w:sz w:val="18"/>
          <w:szCs w:val="18"/>
          <w:color w:val="auto"/>
        </w:rPr>
        <w:t>SG&amp;A as a percentage of net revenue decreased from 38.4% for fiscal year 2019 to 36.5% for fiscal year 2020. This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as a percentage of net revenue was primarily driven by lower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advertising investment partially offset by store payroll and occupancy costs incurred during the temporary closure of our stores to the public.</w:t>
      </w:r>
    </w:p>
    <w:p>
      <w:pPr>
        <w:spacing w:after="0" w:line="1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SG&amp;A as a percentage of net revenue increased from 35.1% for fiscal year 2019 to 36.5% for fiscal year 2020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store payroll costs incurred during the temporary closure of our stores to the public.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of $91.6 million for fiscal year 2020 increased $4.3 million, or 5.0%, from $87.2 million for fiscal year 2019 primarily driven by new store openings and investments in information technology and doctor equipment. Our property and equipment balance, net, decreased $25.5 million, or 6.9%, during fiscal year 2020, reflective of $76.2 million in purchases of property and equipment, $1.1 million in new finance leases, less $84.2 million in depreciation expense and $18.6 million in impairment and other adjustments.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recognized $22.0 million for impairment primarily of tangible long-lived assets and ROU assets associated with our retail stores in fiscal year 2020 compared to $8.9 million recognized in fiscal year 2019. Expenses recognized in fiscal year 2020 were related to impairments of long-lived tangible assets at our retail stores and right of use (“ROU”) assets related to our retail stores. The increase in store asset impairment charges during fiscal year 2020 was primarily related to our Owned &amp; Host segment and was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the historical performance of the stores before the temporary closure of our stores to the public; the effect of store closures and uncertainty in store revenues over the remaining useful life of the asset group as a result of the COVID-19 pandemic; and the remaining useful lives of the assets. The asset impairment expense for fiscal year 2020 also includes $1.1 million related to a write-off of certain software assets that were deemed to be obsolete. Asset impairment expenses were recognized in Corporate/Other.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net, of $48.3 million for fiscal year 2020 increased $15.0 million, or 45.1%, from $33.3 million for fiscal year 2019. The increase was primarily driven by losses related to immediate recognition of changes in fair value of ineffective hedges of $4.0 million and charges related to interest payments and amortization of debt discounts related to the 2025 Notes of $17.3 million that were partially offset by a reduction in our term loan and Revolving Credit Facility utilization.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income tax provision for fiscal year 2020 reflected our statutory federal and state rate of 25.5%, combined with a discrete benefit of $8.0 million associated primarily with the exercise of stock options. In comparison, the income tax benefit associated with fiscal year 2019, reflected income tax expense at our statutory federal and state rate of 25.5% offset by a $10.1 million income tax benefit resulting from stock option exercises.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define Adjusted Operating Income as net income, plus interest expense and income tax provision (benefit), further adjusted to exclude stock compensation expense, loss on extinguishment of debt, asset impairment, litigation settlement, secondary offering expenses, management realignment expenses, long-term incentive plan expenses, amortization of acquisition intangibles and other expenses. We define Operating Margin as Adjusted Operating Income as a percentage of net revenue. We define EBITDA as net income, plus interest expense, income tax provision (benefit) and depreciation and amortization. We define Adjusted EBITDA as net income, plus interest expense, income tax provision (benefit) and depreciation and amortization, further adjusted to exclude stock compensation expense, loss on extinguishment of debt, asset impairment, litigation settlement, secondary offering expenses, management realignment expenses, long-term incentive plan expenses, and other expenses. We define Adjusted EBITDA Margin as Adjusted EBITDA as a percentage of net revenue. We define Adjusted Diluted EPS as diluted earnings per share, adjusted for the per share impact of stock compensation expense,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of our 2025 Notes when not required under U.S. GAAP to be added back for diluted earnings per share, losses (gains) on change in fair value of derivatives, other expenses, and tax benefit of stock option exercises, less the tax effect of these adjustments.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2020, we introduced Adjusted Operating Income and Adjusted Operating Margin as measures of performance we planned to use in addition to Adjusted EBITDA, Adjusted EBITDA Margin and Adjusted Diluted EPS. We believe Adjusted Operating Income and Adjusted Operating Margin enhance an understanding of our performance by highlighting the results from ongoing operations and the profitability of our business. We continue to evaluate our use of the Company Non-GAAP measures in the context of the development of our business, and may introduce or discontinue certain measures in the future as we deem appropriate.</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consistent with our presentation of Adjusted Operating Income, we no longer exclude new store pre-opening expenses and non-cash rent from our presentation of Adjusted EBITDA and Adjusted Diluted EPS. New store pre-opening expenses totaled $3.4 million, $2.6 million and $3.3 million for the fiscal years 2021, 2020 and 2019, respectively; and non-cash rent totaled $1.3 million, $2.6 million and $3.2 million for fiscal years 2021, 2020 and 2019, respectively. The presentation of Adjusted EBITDA and Adjusted Diluted EPS for the fiscal year end 2019 has been recast to reflect these changes. See our Form 8-K filed with the SEC on February 26, 2020 for more information.</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EBITDA and the Company Non-GAAP Measures can vary substantially in size from one period to the next, and certain types of expenses are non-recurring in nature and consequently may not have been incurred in any of the periods presented below. 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w:t>
      </w:r>
    </w:p>
    <w:p>
      <w:pPr>
        <w:spacing w:after="0" w:line="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6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the interest expense, or the cash requirements necessary to service interest or principal payments, on our debt;</w:t>
      </w:r>
    </w:p>
    <w:p>
      <w:pPr>
        <w:ind w:left="66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period to period changes in taxes, income tax expense or the cash necessary to pay income taxes;</w:t>
      </w: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limitations, EBITDA and the Company Non-GAAP Measures should not be considered as measures of discretionary cash available to invest in business growth or to reduce indebtedness.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reconciles our Adjusted Operating Income, Adjusted Operating Margin, EBITDA, Adjusted EBITDA, Adjusted EBITDA Margin to net income; and Adjusted Diluted EPS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88"/>
              </w:rPr>
              <w:t>Fiscal Year 2021</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88"/>
              </w:rPr>
              <w:t>Fiscal Year 2020</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Fiscal Year 2019</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128,244</w:t>
            </w: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25,612</w:t>
            </w: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1"/>
              </w:rPr>
              <w:t>1.2 %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48,327</w:t>
            </w: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1"/>
              </w:rPr>
              <w:t>2.8 %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33,300</w:t>
            </w:r>
          </w:p>
        </w:tc>
        <w:tc>
          <w:tcPr>
            <w:tcW w:w="110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21,081</w:t>
            </w: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14,886</w:t>
            </w: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1"/>
              </w:rPr>
              <w:t>0.7 %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10,740</w:t>
            </w: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1"/>
              </w:rPr>
              <w:t>0.6 %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12,670</w:t>
            </w:r>
          </w:p>
        </w:tc>
        <w:tc>
          <w:tcPr>
            <w:tcW w:w="110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29"/>
        </w:trPr>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(c)</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4,427</w:t>
            </w: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1"/>
              </w:rPr>
              <w:t>0.2 %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22,004</w:t>
            </w: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1"/>
              </w:rPr>
              <w:t>1.3 %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8,894</w:t>
            </w:r>
          </w:p>
        </w:tc>
        <w:tc>
          <w:tcPr>
            <w:tcW w:w="110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(d)</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3"/>
                <w:szCs w:val="23"/>
                <w:color w:val="auto"/>
                <w:vertAlign w:val="superscript"/>
              </w:rPr>
              <w:t>(e)</w:t>
            </w:r>
          </w:p>
        </w:tc>
        <w:tc>
          <w:tcPr>
            <w:tcW w:w="260" w:type="dxa"/>
            <w:vAlign w:val="bottom"/>
          </w:tcPr>
          <w:p>
            <w:pPr>
              <w:spacing w:after="0"/>
              <w:rPr>
                <w:sz w:val="19"/>
                <w:szCs w:val="19"/>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3"/>
                <w:szCs w:val="23"/>
                <w:color w:val="auto"/>
                <w:vertAlign w:val="superscript"/>
              </w:rPr>
              <w:t>(f)</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3"/>
                <w:szCs w:val="23"/>
                <w:color w:val="auto"/>
                <w:vertAlign w:val="superscript"/>
              </w:rPr>
              <w:t>(g)</w:t>
            </w:r>
          </w:p>
        </w:tc>
        <w:tc>
          <w:tcPr>
            <w:tcW w:w="260" w:type="dxa"/>
            <w:vAlign w:val="bottom"/>
          </w:tcPr>
          <w:p>
            <w:pPr>
              <w:spacing w:after="0"/>
              <w:rPr>
                <w:sz w:val="19"/>
                <w:szCs w:val="19"/>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2,830</w:t>
            </w:r>
          </w:p>
        </w:tc>
        <w:tc>
          <w:tcPr>
            <w:tcW w:w="110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(h)</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29"/>
        </w:trPr>
        <w:tc>
          <w:tcPr>
            <w:tcW w:w="45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(k)</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6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0.1 %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6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0.2 %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0.4 %</w:t>
            </w:r>
          </w:p>
        </w:tc>
      </w:tr>
      <w:tr>
        <w:trPr>
          <w:trHeight w:val="23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4"/>
              </w:rPr>
              <w:t>Adjusted Operating Income / Adjusted Operating Margin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204,749</w:t>
            </w:r>
          </w:p>
        </w:tc>
        <w:tc>
          <w:tcPr>
            <w:tcW w:w="6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9.8 %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134,148</w:t>
            </w:r>
          </w:p>
        </w:tc>
        <w:tc>
          <w:tcPr>
            <w:tcW w:w="6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7.8 %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114,300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r>
    </w:tbl>
    <w:p>
      <w:pPr>
        <w:ind w:left="20"/>
        <w:spacing w:after="0" w:line="211" w:lineRule="auto"/>
        <w:rPr>
          <w:sz w:val="20"/>
          <w:szCs w:val="20"/>
          <w:color w:val="auto"/>
        </w:rPr>
      </w:pPr>
      <w:r>
        <w:rPr>
          <w:rFonts w:ascii="Arial" w:cs="Arial" w:eastAsia="Arial" w:hAnsi="Arial"/>
          <w:sz w:val="14"/>
          <w:szCs w:val="14"/>
          <w:i w:val="1"/>
          <w:iCs w:val="1"/>
          <w:color w:val="auto"/>
        </w:rPr>
        <w:t>Note: Fiscal years 2021 and 2019 include 52 weeks. Fiscal year 2020 includes 53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-80645</wp:posOffset>
            </wp:positionV>
            <wp:extent cx="6686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-80645</wp:posOffset>
            </wp:positionV>
            <wp:extent cx="6686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-80645</wp:posOffset>
            </wp:positionV>
            <wp:extent cx="6686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ind w:left="20"/>
        <w:spacing w:after="0" w:line="201" w:lineRule="auto"/>
        <w:rPr>
          <w:sz w:val="20"/>
          <w:szCs w:val="20"/>
          <w:color w:val="auto"/>
        </w:rPr>
      </w:pPr>
      <w:r>
        <w:rPr>
          <w:rFonts w:ascii="Arial" w:cs="Arial" w:eastAsia="Arial" w:hAnsi="Arial"/>
          <w:sz w:val="14"/>
          <w:szCs w:val="14"/>
          <w:i w:val="1"/>
          <w:iCs w:val="1"/>
          <w:color w:val="auto"/>
        </w:rPr>
        <w:t>Percentages reflect line item as a percentage of net revenue, adjusted for rounding.</w:t>
      </w:r>
    </w:p>
    <w:p>
      <w:pPr>
        <w:ind w:left="20"/>
        <w:spacing w:after="0"/>
        <w:rPr>
          <w:sz w:val="20"/>
          <w:szCs w:val="20"/>
          <w:color w:val="auto"/>
        </w:rPr>
      </w:pPr>
      <w:r>
        <w:rPr>
          <w:rFonts w:ascii="Arial" w:cs="Arial" w:eastAsia="Arial" w:hAnsi="Arial"/>
          <w:sz w:val="14"/>
          <w:szCs w:val="14"/>
          <w:i w:val="1"/>
          <w:iCs w:val="1"/>
          <w:color w:val="auto"/>
        </w:rPr>
        <w:t>Some of the percentage totals in the table above do not foot due to rounding differences.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456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right"/>
              <w:ind w:right="390"/>
              <w:spacing w:after="0"/>
              <w:rPr>
                <w:sz w:val="20"/>
                <w:szCs w:val="20"/>
                <w:color w:val="auto"/>
              </w:rPr>
            </w:pPr>
            <w:r>
              <w:rPr>
                <w:rFonts w:ascii="Arial" w:cs="Arial" w:eastAsia="Arial" w:hAnsi="Arial"/>
                <w:sz w:val="18"/>
                <w:szCs w:val="18"/>
                <w:color w:val="auto"/>
                <w:w w:val="91"/>
              </w:rPr>
              <w:t>Fiscal Year 2021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4"/>
          </w:tcPr>
          <w:p>
            <w:pPr>
              <w:jc w:val="right"/>
              <w:ind w:right="600"/>
              <w:spacing w:after="0"/>
              <w:rPr>
                <w:sz w:val="20"/>
                <w:szCs w:val="20"/>
                <w:color w:val="auto"/>
              </w:rPr>
            </w:pPr>
            <w:r>
              <w:rPr>
                <w:rFonts w:ascii="Arial" w:cs="Arial" w:eastAsia="Arial" w:hAnsi="Arial"/>
                <w:sz w:val="18"/>
                <w:szCs w:val="18"/>
                <w:color w:val="auto"/>
                <w:w w:val="93"/>
              </w:rPr>
              <w:t>Fiscal Year 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right"/>
              <w:ind w:right="390"/>
              <w:spacing w:after="0"/>
              <w:rPr>
                <w:sz w:val="20"/>
                <w:szCs w:val="20"/>
                <w:color w:val="auto"/>
              </w:rPr>
            </w:pPr>
            <w:r>
              <w:rPr>
                <w:rFonts w:ascii="Arial" w:cs="Arial" w:eastAsia="Arial" w:hAnsi="Arial"/>
                <w:sz w:val="18"/>
                <w:szCs w:val="18"/>
                <w:color w:val="auto"/>
                <w:w w:val="99"/>
              </w:rPr>
              <w:t>Fiscal Year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128,244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32,798</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25,612</w:t>
            </w:r>
          </w:p>
        </w:tc>
        <w:tc>
          <w:tcPr>
            <w:tcW w:w="108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48,327</w:t>
            </w:r>
          </w:p>
        </w:tc>
        <w:tc>
          <w:tcPr>
            <w:tcW w:w="108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33,300</w:t>
            </w:r>
          </w:p>
        </w:tc>
        <w:tc>
          <w:tcPr>
            <w:tcW w:w="110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21,081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97,089</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91,585</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87,244</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272,026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178,592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151,033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52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14,886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23"/>
                <w:szCs w:val="23"/>
                <w:color w:val="auto"/>
                <w:vertAlign w:val="superscript"/>
              </w:rPr>
              <w:t>(b)</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9,786</w:t>
            </w:r>
          </w:p>
        </w:tc>
        <w:tc>
          <w:tcPr>
            <w:tcW w:w="1100" w:type="dxa"/>
            <w:vAlign w:val="bottom"/>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(c)</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(d)</w:t>
            </w: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108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4,395</w:t>
            </w:r>
          </w:p>
        </w:tc>
        <w:tc>
          <w:tcPr>
            <w:tcW w:w="108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3"/>
                <w:szCs w:val="23"/>
                <w:color w:val="auto"/>
                <w:vertAlign w:val="superscript"/>
              </w:rPr>
              <w:t>(e)</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3"/>
                <w:szCs w:val="23"/>
                <w:color w:val="auto"/>
                <w:vertAlign w:val="superscript"/>
              </w:rPr>
              <w:t>(f)</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2,155</w:t>
            </w:r>
          </w:p>
        </w:tc>
        <w:tc>
          <w:tcPr>
            <w:tcW w:w="110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3"/>
                <w:szCs w:val="23"/>
                <w:color w:val="auto"/>
                <w:vertAlign w:val="superscript"/>
              </w:rPr>
              <w:t>(g)</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(k)</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1,511</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 Adjusted EBITDA Margin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294,350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218,307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194,139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gridSpan w:val="2"/>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5580" w:type="dxa"/>
            <w:vAlign w:val="bottom"/>
            <w:gridSpan w:val="5"/>
          </w:tcPr>
          <w:p>
            <w:pPr>
              <w:ind w:left="140"/>
              <w:spacing w:after="0" w:line="82" w:lineRule="exact"/>
              <w:rPr>
                <w:sz w:val="20"/>
                <w:szCs w:val="20"/>
                <w:color w:val="auto"/>
              </w:rPr>
            </w:pPr>
            <w:r>
              <w:rPr>
                <w:rFonts w:ascii="Arial" w:cs="Arial" w:eastAsia="Arial" w:hAnsi="Arial"/>
                <w:sz w:val="9"/>
                <w:szCs w:val="9"/>
                <w:i w:val="1"/>
                <w:iCs w:val="1"/>
                <w:color w:val="auto"/>
              </w:rPr>
              <w:t>Note: Fiscal years 2021 and 2019 include 52 weeks. Fiscal year 2020 includes 53 weeks.</w:t>
            </w: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80" w:type="dxa"/>
            <w:vAlign w:val="bottom"/>
            <w:gridSpan w:val="5"/>
          </w:tcPr>
          <w:p>
            <w:pPr>
              <w:ind w:left="140"/>
              <w:spacing w:after="0" w:line="135" w:lineRule="exact"/>
              <w:rPr>
                <w:sz w:val="20"/>
                <w:szCs w:val="20"/>
                <w:color w:val="auto"/>
              </w:rPr>
            </w:pPr>
            <w:r>
              <w:rPr>
                <w:rFonts w:ascii="Arial" w:cs="Arial" w:eastAsia="Arial" w:hAnsi="Arial"/>
                <w:sz w:val="14"/>
                <w:szCs w:val="14"/>
                <w:i w:val="1"/>
                <w:iCs w:val="1"/>
                <w:color w:val="auto"/>
              </w:rPr>
              <w:t>Percentages reflect line item as a percentage of net revenue, adjusted for rounding.</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80" w:type="dxa"/>
            <w:vAlign w:val="bottom"/>
            <w:gridSpan w:val="5"/>
          </w:tcPr>
          <w:p>
            <w:pPr>
              <w:ind w:left="140"/>
              <w:spacing w:after="0"/>
              <w:rPr>
                <w:sz w:val="20"/>
                <w:szCs w:val="20"/>
                <w:color w:val="auto"/>
              </w:rPr>
            </w:pPr>
            <w:r>
              <w:rPr>
                <w:rFonts w:ascii="Arial" w:cs="Arial" w:eastAsia="Arial" w:hAnsi="Arial"/>
                <w:sz w:val="14"/>
                <w:szCs w:val="14"/>
                <w:i w:val="1"/>
                <w:iCs w:val="1"/>
                <w:color w:val="auto"/>
                <w:w w:val="98"/>
              </w:rPr>
              <w:t>Some of the percentage totals in the table above do not foot due to rounding differences.</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5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2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7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Fiscal Year 2021</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color w:val="auto"/>
              </w:rPr>
              <w:t>Fiscal Year 2020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Fiscal Year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23"/>
                <w:szCs w:val="23"/>
                <w:color w:val="auto"/>
                <w:vertAlign w:val="superscript"/>
              </w:rPr>
              <w:t>(b)</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(c)</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(d)</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3"/>
                <w:szCs w:val="23"/>
                <w:color w:val="auto"/>
                <w:vertAlign w:val="superscript"/>
              </w:rPr>
              <w:t>(e)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3"/>
                <w:szCs w:val="23"/>
                <w:color w:val="auto"/>
                <w:vertAlign w:val="superscript"/>
              </w:rPr>
              <w:t>(f)</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Long-term incentive plan expense </w:t>
            </w:r>
            <w:r>
              <w:rPr>
                <w:rFonts w:ascii="Arial" w:cs="Arial" w:eastAsia="Arial" w:hAnsi="Arial"/>
                <w:sz w:val="23"/>
                <w:szCs w:val="23"/>
                <w:color w:val="auto"/>
                <w:vertAlign w:val="superscript"/>
              </w:rPr>
              <w:t>(g)</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(h)</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tcPr>
          <w:p>
            <w:pPr>
              <w:ind w:left="20"/>
              <w:spacing w:after="0" w:line="230" w:lineRule="exact"/>
              <w:rPr>
                <w:sz w:val="20"/>
                <w:szCs w:val="20"/>
                <w:color w:val="auto"/>
              </w:rPr>
            </w:pPr>
            <w:r>
              <w:rPr>
                <w:rFonts w:ascii="Arial" w:cs="Arial" w:eastAsia="Arial" w:hAnsi="Arial"/>
                <w:sz w:val="18"/>
                <w:szCs w:val="18"/>
                <w:color w:val="auto"/>
                <w:w w:val="91"/>
              </w:rPr>
              <w:t xml:space="preserve">Amortization of debt discounts and deferred financing costs </w:t>
            </w:r>
            <w:r>
              <w:rPr>
                <w:rFonts w:ascii="Arial" w:cs="Arial" w:eastAsia="Arial" w:hAnsi="Arial"/>
                <w:sz w:val="23"/>
                <w:szCs w:val="23"/>
                <w:color w:val="auto"/>
                <w:w w:val="91"/>
                <w:vertAlign w:val="superscript"/>
              </w:rPr>
              <w:t>(i)</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Losses (gains) on change in fair value of derivatives </w:t>
            </w:r>
            <w:r>
              <w:rPr>
                <w:rFonts w:ascii="Arial" w:cs="Arial" w:eastAsia="Arial" w:hAnsi="Arial"/>
                <w:sz w:val="23"/>
                <w:szCs w:val="23"/>
                <w:color w:val="auto"/>
                <w:vertAlign w:val="superscript"/>
              </w:rPr>
              <w:t>(j)</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(n)</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3"/>
                <w:szCs w:val="23"/>
                <w:color w:val="auto"/>
                <w:vertAlign w:val="superscript"/>
              </w:rPr>
              <w:t>(l)</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Borders>
              <w:bottom w:val="single" w:sz="8" w:color="CCEEFF"/>
            </w:tcBorders>
            <w:gridSpan w:val="3"/>
          </w:tcPr>
          <w:p>
            <w:pPr>
              <w:ind w:left="20"/>
              <w:spacing w:after="0" w:line="23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3"/>
                <w:szCs w:val="23"/>
                <w:color w:val="auto"/>
                <w:vertAlign w:val="superscript"/>
              </w:rPr>
              <w:t>(m)</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Adjusted Diluted EPS</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0.91</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b w:val="1"/>
                <w:bCs w:val="1"/>
                <w:color w:val="auto"/>
              </w:rPr>
              <w:t>Weighted average diluted shares outstanding</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45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96,134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82,793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81,683</w:t>
            </w:r>
          </w:p>
        </w:tc>
        <w:tc>
          <w:tcPr>
            <w:tcW w:w="0" w:type="dxa"/>
            <w:vAlign w:val="bottom"/>
          </w:tcPr>
          <w:p>
            <w:pPr>
              <w:spacing w:after="0"/>
              <w:rPr>
                <w:sz w:val="1"/>
                <w:szCs w:val="1"/>
                <w:color w:val="auto"/>
              </w:rPr>
            </w:pPr>
          </w:p>
        </w:tc>
      </w:tr>
    </w:tbl>
    <w:p>
      <w:pPr>
        <w:ind w:left="160"/>
        <w:spacing w:after="0" w:line="211" w:lineRule="auto"/>
        <w:rPr>
          <w:sz w:val="20"/>
          <w:szCs w:val="20"/>
          <w:color w:val="auto"/>
        </w:rPr>
      </w:pPr>
      <w:r>
        <w:rPr>
          <w:rFonts w:ascii="Arial" w:cs="Arial" w:eastAsia="Arial" w:hAnsi="Arial"/>
          <w:sz w:val="14"/>
          <w:szCs w:val="14"/>
          <w:i w:val="1"/>
          <w:iCs w:val="1"/>
          <w:color w:val="auto"/>
        </w:rPr>
        <w:t>Note: Fiscal years 2021 and 2019 include 52 weeks. Fiscal year 2020 includes 53 weeks.</w:t>
      </w:r>
    </w:p>
    <w:p>
      <w:pPr>
        <w:ind w:left="160"/>
        <w:spacing w:after="0"/>
        <w:rPr>
          <w:sz w:val="20"/>
          <w:szCs w:val="20"/>
          <w:color w:val="auto"/>
        </w:rPr>
      </w:pPr>
      <w:r>
        <w:rPr>
          <w:rFonts w:ascii="Arial" w:cs="Arial" w:eastAsia="Arial" w:hAnsi="Arial"/>
          <w:sz w:val="14"/>
          <w:szCs w:val="14"/>
          <w:i w:val="1"/>
          <w:iCs w:val="1"/>
          <w:color w:val="auto"/>
        </w:rPr>
        <w:t>Some of the totals in the table above do not foot due to rounding differences.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13" w:lineRule="exact"/>
        <w:rPr>
          <w:rFonts w:ascii="Arial" w:cs="Arial" w:eastAsia="Arial" w:hAnsi="Arial"/>
          <w:sz w:val="14"/>
          <w:szCs w:val="14"/>
          <w:color w:val="auto"/>
        </w:rPr>
      </w:pPr>
    </w:p>
    <w:p>
      <w:pPr>
        <w:ind w:left="400" w:hanging="392"/>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write-off of deferred financing fees related to the extinguishment of debt.</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write-off of primarily property, equipment and lease related assets on closed or underperforming stores.</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Expenses associated with settlement of certain litigation.</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Expenses related to our secondary public offerings.</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Expenses related to a non-recurring management realignment described on Form 8-K filed with the SEC on January 10, 2019.</w:t>
      </w:r>
    </w:p>
    <w:p>
      <w:pPr>
        <w:spacing w:after="0" w:line="1" w:lineRule="exact"/>
        <w:rPr>
          <w:rFonts w:ascii="Arial" w:cs="Arial" w:eastAsia="Arial" w:hAnsi="Arial"/>
          <w:sz w:val="14"/>
          <w:szCs w:val="14"/>
          <w:color w:val="auto"/>
        </w:rPr>
      </w:pPr>
    </w:p>
    <w:p>
      <w:pPr>
        <w:ind w:left="420" w:right="640" w:hanging="412"/>
        <w:spacing w:after="0" w:line="255" w:lineRule="auto"/>
        <w:tabs>
          <w:tab w:leader="none" w:pos="412"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Expenses pursuant to a long-term incentive plan for non-executive associates who were not participants in the management equity plan. This plan was effective in 2014 following the acquisition of the Company by affiliates of KKR &amp; Co. Inc. (the “KKR Acquisition”).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to the KKR Acquisition.</w:t>
      </w:r>
    </w:p>
    <w:p>
      <w:pPr>
        <w:spacing w:after="0" w:line="13" w:lineRule="exact"/>
        <w:rPr>
          <w:rFonts w:ascii="Arial" w:cs="Arial" w:eastAsia="Arial" w:hAnsi="Arial"/>
          <w:sz w:val="14"/>
          <w:szCs w:val="14"/>
          <w:color w:val="auto"/>
        </w:rPr>
      </w:pPr>
    </w:p>
    <w:p>
      <w:pPr>
        <w:jc w:val="both"/>
        <w:ind w:left="420" w:right="660" w:hanging="412"/>
        <w:spacing w:after="0" w:line="241" w:lineRule="auto"/>
        <w:tabs>
          <w:tab w:leader="none" w:pos="407"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long-term debt, including amortization of the conversion feature related to the 2025 Notes of $10.0 million for fiscal year 2020. We adjust for amortization of deferred financing costs related to the 2025 Notes only when adjusting these costs is not required in the calculation of diluted earnings per share in accordance with the if-converted method under U.S. GAAP. Amortization of debt discount and deferred financing costs total $2.1 million, $11.9 million and $1.3 million for the fiscal years 2021, 2020 and 2019, respectively.</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losses (gains) recognized in interest expense on change in fair value of de-designated hedges of $(3.3) million and $4.0 million for fiscal years 2021 and 2020.</w:t>
      </w:r>
    </w:p>
    <w:p>
      <w:pPr>
        <w:spacing w:after="0" w:line="1" w:lineRule="exact"/>
        <w:rPr>
          <w:rFonts w:ascii="Arial" w:cs="Arial" w:eastAsia="Arial" w:hAnsi="Arial"/>
          <w:sz w:val="14"/>
          <w:szCs w:val="14"/>
          <w:color w:val="auto"/>
        </w:rPr>
      </w:pPr>
    </w:p>
    <w:p>
      <w:pPr>
        <w:jc w:val="both"/>
        <w:ind w:left="420" w:right="640" w:hanging="412"/>
        <w:spacing w:after="0" w:line="241" w:lineRule="auto"/>
        <w:tabs>
          <w:tab w:leader="none" w:pos="412" w:val="left"/>
        </w:tabs>
        <w:numPr>
          <w:ilvl w:val="0"/>
          <w:numId w:val="32"/>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Operating Income, Adjusted Diluted EPS and Adjusted EBITDA) including our share of (gains) losses on equity method investments of $(2.4) million and $1.8 million for fiscal years 2021 and 2019, respectively; and other expenses and adjustments which are primarily related to excess payroll taxes on stock option exercises, executive severance and relocation.</w:t>
      </w:r>
    </w:p>
    <w:p>
      <w:pPr>
        <w:spacing w:after="0" w:line="1" w:lineRule="exact"/>
        <w:rPr>
          <w:rFonts w:ascii="Arial" w:cs="Arial" w:eastAsia="Arial" w:hAnsi="Arial"/>
          <w:sz w:val="14"/>
          <w:szCs w:val="14"/>
          <w:color w:val="auto"/>
        </w:rPr>
      </w:pPr>
    </w:p>
    <w:p>
      <w:pPr>
        <w:ind w:left="420" w:right="660" w:hanging="412"/>
        <w:spacing w:after="0" w:line="241" w:lineRule="auto"/>
        <w:tabs>
          <w:tab w:leader="none" w:pos="407" w:val="left"/>
        </w:tabs>
        <w:numPr>
          <w:ilvl w:val="0"/>
          <w:numId w:val="32"/>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related to stock option exercises to be recorded in earnings as discrete items in the reporting period in which they occur.</w:t>
      </w:r>
    </w:p>
    <w:p>
      <w:pPr>
        <w:ind w:left="400" w:hanging="392"/>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 w:lineRule="exact"/>
        <w:rPr>
          <w:rFonts w:ascii="Arial" w:cs="Arial" w:eastAsia="Arial" w:hAnsi="Arial"/>
          <w:sz w:val="14"/>
          <w:szCs w:val="14"/>
          <w:color w:val="auto"/>
        </w:rPr>
      </w:pPr>
    </w:p>
    <w:p>
      <w:pPr>
        <w:ind w:left="420" w:right="660" w:hanging="412"/>
        <w:spacing w:after="0" w:line="255" w:lineRule="auto"/>
        <w:tabs>
          <w:tab w:leader="none" w:pos="412"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other expenses in (k) above, including the impact of stranded tax effect of $(2.1) million for fiscal year 2021 associated with our interest rate swaps that matured in 2021.</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primary cash needs are for inventory, payroll, store rent, advertising, capital expenditures associated with new stores and updating existing stores, as well as information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based on excess cash flows. We continue to prioritize cash conservation and prudent use of cash, while safely conducting normal operations. The most significant components of our operating assets and liabilities are inventories, accounts receivable, prepaid expenses and other assets, accounts payable, deferred and unearned revenue and other payables and accrued expenses. While we have historically exercised prudence in our use of cash, the COVID-19 pandemic has required us to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credit facility will be sufficient to fund our working capital requirements, liquidity obligations, anticipated capital expenditures and payments due under our existing debt for the next 12 months and thereafter for the foreseeable future. Depending on our liquidity levels, conditions in the capital markets and other factors, we may from time to time consider the refinancing or issuance of debt, issuance of equity or other securities, the proceeds of which could provide additional liquidity for our operations, as well as modifications to our term loan where possible. However, our ability to maintain sufficient liquidity may be affected by numerous factors, many of which are outside of our control. We primarily fund our working capital needs using cash provided by operations. Our working capital requirements for inventory will increase as we continue to open additional stores.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fiscal year end 2021, we had $305.8 million in cash and cash equivalents and $293.6 million of availability under our revolving credit facility, which includes $6.4 million in outstanding letters of credit.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cash flows provided by (used for) operating activities, investing activities and financing activities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Fiscal Year 2021</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Fiscal Year 2020</w:t>
            </w:r>
          </w:p>
        </w:tc>
        <w:tc>
          <w:tcPr>
            <w:tcW w:w="160" w:type="dxa"/>
            <w:vAlign w:val="bottom"/>
          </w:tcPr>
          <w:p>
            <w:pPr>
              <w:spacing w:after="0"/>
              <w:rPr>
                <w:sz w:val="20"/>
                <w:szCs w:val="20"/>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w w:val="93"/>
              </w:rPr>
              <w:t>Fiscal Year 2019</w:t>
            </w:r>
          </w:p>
        </w:tc>
      </w:tr>
      <w:tr>
        <w:trPr>
          <w:trHeight w:val="210"/>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for):</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258,938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ind w:left="820"/>
              <w:spacing w:after="0"/>
              <w:rPr>
                <w:sz w:val="20"/>
                <w:szCs w:val="20"/>
                <w:color w:val="auto"/>
              </w:rPr>
            </w:pPr>
            <w:r>
              <w:rPr>
                <w:rFonts w:ascii="Arial" w:cs="Arial" w:eastAsia="Arial" w:hAnsi="Arial"/>
                <w:sz w:val="18"/>
                <w:szCs w:val="18"/>
                <w:color w:val="auto"/>
                <w:w w:val="98"/>
              </w:rPr>
              <w:t>234,981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165,081</w:t>
            </w:r>
          </w:p>
        </w:tc>
      </w:tr>
      <w:tr>
        <w:trPr>
          <w:trHeight w:val="230"/>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(92,897)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2"/>
              </w:rPr>
              <w:t>(76,410)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(100,631)</w:t>
            </w:r>
          </w:p>
        </w:tc>
      </w:tr>
      <w:tr>
        <w:trPr>
          <w:trHeight w:val="229"/>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(234,324)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8"/>
              </w:rPr>
              <w:t>176,281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(42,141)</w:t>
            </w:r>
          </w:p>
        </w:tc>
      </w:tr>
      <w:tr>
        <w:trPr>
          <w:trHeight w:val="23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(68,283)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8"/>
              </w:rPr>
              <w:t>334,852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22,309</w:t>
            </w: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Note: Fiscal years 2021 and 2019 include 52 weeks. Fiscal year 2020 includes 53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-98425</wp:posOffset>
            </wp:positionV>
            <wp:extent cx="32918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flows provided by operating activities increased by $24.0 million to $258.9 million, or 10.2%, during fiscal year 2021 from $235.0 million during fiscal year 2020 as a result of net income of $92.0 million, offset by a decrease in non-cash expense items of $13.2 million, and changes in net working capital and other assets and liabilities, which used an additional $54.8 million in cash compared to fiscal year 2020.</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Working capital was most significantly impacted by changes in inventories, accounts payable, other liabilities, and accounts receivable. Increases in inventory and decreases in accounts payable, which used $26.3 million and $24.6 million in year-over-year cash, respectively, were primarily due to increased purchases including inventory forward buys and other payments during 2021. Decreases in other liabilities used $17.8 million in year-over-year cash primarily due to decreases in compensation related accruals of $17.1 million including payment of CARES Act deferred employer payroll taxes and lease concessions and deferrals of $5.9 million, partially offset by lower payments of litigation settlements and increases in advertising and promotional efforts during the year. Offsetting these items were decreases in accounts receivable balances, which contributed $14.9 million in year-over-year cash, primarily due to year-over-year decreases in outstanding credit card receivables as a result of lower sales in the last week of fiscal year 2021 when compared to the same period of 2020.</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provided by operating activities increased by $69.9 million to $235.0 million, or 42.3%, during fiscal year 2020 from $165.1 million during fiscal year 2019. The increase in net cash provided by operating activities consisted of an increase in net income of $3.5 million, and an increase in non-cash expense items of $12.0 million including asset impairment charges of $13.1 million, amortization of debt discount and deferred financing costs of $10.6 million, depreciation and amortization of $4.3 million, deferred income tax expense of $2.1 million and losses recognized for the changes in fair value of derivatives of $4.0 million partially offset by a decrease in loss on extinguishment of debt of $9.8 million, decrease of stock compensation expense of $1.9 million, and decrease of $11.0 million in other non-cash expenses.</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Changes in net working capital and other assets and liabilities contributed an additional $54.5 million in cash compared to fiscal year 2019. Increases in other liabilities contributed $17.6 million in year-over-year cash primarily due to an increase in deferral of employer payroll taxes of $12.8 million as a result of the CARES Act, increases in compensation related accruals of $2.2 million due primarily to timing, increases of $3.1 million due to lease concessions and deferrals and other increases in miscellaneous accruals due to timing, partially offset by decreases in accrued advertising and payments of litigation settlements during the year. Increases in accounts payable contributed $26.9 million in year-over-year cash, primarily as a result of increased purchases and replenishing activity due to both store growth and increased sales in December of 2020 as compared to the same period of 2019 and increases in advertising. Decreases in inventory contributed $27.3 million in year-over-year cash, primarily due to no forward buys occurring after the first quarter of 2020.</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Offsetting these items were increases in other assets which used $14.0 million in year-over-year cash, consisting of $8.9 million of cloud hosted software asset development costs, $6.2 million in rent-related items and other prepaid balances. Additionally, accounts receivable balances used $6.8 million in year-over-year cash, primarily reflective of year-over-year increases in outstanding credit card receivables due to higher sales in the last week of 2020 as compared to the same period of 2019 and timing of credit card processing. Changes in deferred revenue contributed $2.8 million less cash when compared to 2019 driven by decreased sales of our eye care club membership and product protection plans. This was more than offset by a $3.9 million increase in year-over-year cash due to timing of unearned revenue.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cash used for investing activities increased by $16.5 million, to $92.9 million, during fiscal year 2021 from $76.4 million during fiscal year 2020. The increase was primarily due to new store openings, offset partially by proceeds of $2.4 million in connection with the sale of the Company’s equity method investee. Refer to Note 1. “Business and Significant Accounting Policies” for more information on the sale. We purchased $95.5 million in capital items during fiscal year 2021. Approximately 80% of our capital spend is related to our expected growth (i.e., new stores, optometric equipment, additional capacity in our optical laboratories and distribution centers, and our IT infrastructure, including omni-channel platform related investments).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for investing activities decreased by $24.2 million, to $76.4 million, during fiscal year 2020 from $100.6 million during fiscal year 2019. The decrease was primarily due to cash conservation measures during the temporary store closure period, which resulted in reduced store openings and lower IT investment for the full year.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for) Financing Activities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cash provided by (used for) financing activities decreased $410.6 million, from $176.3 million provision of cash to $234.3 million use of cash during fiscal year 2021. The decrease in cash provided by financing activities was primarily due to the prepayment of our term loan of $167.4 million and increases in purchases of treasury stock of $72.6 million in the current fiscal year compared to proceeds of $548.8 million from the issuance of the 2025 Notes and borrowings on our revolving credit facility partially offset by principal payments on long-term debt of $369.3 million during fiscal year 2020.</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(used for) financing activities increased $218.4 million, from $42.1 million use of cash to $176.3 million provision of cash during fiscal year 2020. The increase in cash provided by financing activities was primarily due to lower repayments on long-term debt of $222.6 million and decreased purchases of treasury stock of $25 million, offset by decreases in cash provided by borrowings on long-term debt of $17.8 million and an increase in cash used for payments of debt issuance costs of $9.5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amounts owed under our term loan and the 2025 Notes and the interest rate on such outstanding amounts, and the amount available for additional borrowing thereunder, as of the end of fiscal year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5"/>
              </w:rPr>
              <w:t xml:space="preserve">Interest Rate </w:t>
            </w:r>
            <w:r>
              <w:rPr>
                <w:rFonts w:ascii="Arial" w:cs="Arial" w:eastAsia="Arial" w:hAnsi="Arial"/>
                <w:sz w:val="23"/>
                <w:szCs w:val="23"/>
                <w:color w:val="auto"/>
                <w:w w:val="85"/>
                <w:vertAlign w:val="superscript"/>
              </w:rPr>
              <w:t>(2)</w:t>
            </w:r>
          </w:p>
        </w:tc>
        <w:tc>
          <w:tcPr>
            <w:tcW w:w="1780" w:type="dxa"/>
            <w:vAlign w:val="bottom"/>
            <w:gridSpan w:val="3"/>
            <w:vMerge w:val="restart"/>
          </w:tcPr>
          <w:p>
            <w:pPr>
              <w:ind w:left="80"/>
              <w:spacing w:after="0"/>
              <w:rPr>
                <w:sz w:val="20"/>
                <w:szCs w:val="20"/>
                <w:color w:val="auto"/>
              </w:rPr>
            </w:pPr>
            <w:r>
              <w:rPr>
                <w:rFonts w:ascii="Arial" w:cs="Arial" w:eastAsia="Arial" w:hAnsi="Arial"/>
                <w:sz w:val="18"/>
                <w:szCs w:val="18"/>
                <w:color w:val="auto"/>
              </w:rPr>
              <w:t>Amount Outstanding</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w w:val="97"/>
              </w:rPr>
              <w:t>Amount Available for</w:t>
            </w:r>
          </w:p>
        </w:tc>
        <w:tc>
          <w:tcPr>
            <w:tcW w:w="0" w:type="dxa"/>
            <w:vAlign w:val="bottom"/>
          </w:tcPr>
          <w:p>
            <w:pPr>
              <w:spacing w:after="0"/>
              <w:rPr>
                <w:sz w:val="1"/>
                <w:szCs w:val="1"/>
                <w:color w:val="auto"/>
              </w:rPr>
            </w:pPr>
          </w:p>
        </w:tc>
      </w:tr>
      <w:tr>
        <w:trPr>
          <w:trHeight w:val="230"/>
        </w:trPr>
        <w:tc>
          <w:tcPr>
            <w:tcW w:w="5960" w:type="dxa"/>
            <w:vAlign w:val="bottom"/>
            <w:gridSpan w:val="2"/>
            <w:vMerge w:val="continue"/>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780" w:type="dxa"/>
            <w:vAlign w:val="bottom"/>
            <w:gridSpan w:val="3"/>
            <w:vMerge w:val="continue"/>
          </w:tcPr>
          <w:p>
            <w:pPr>
              <w:spacing w:after="0"/>
              <w:rPr>
                <w:sz w:val="19"/>
                <w:szCs w:val="19"/>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color w:val="auto"/>
                <w:w w:val="98"/>
              </w:rPr>
              <w:t>Additional Borrowing</w:t>
            </w:r>
          </w:p>
        </w:tc>
        <w:tc>
          <w:tcPr>
            <w:tcW w:w="0" w:type="dxa"/>
            <w:vAlign w:val="bottom"/>
          </w:tcPr>
          <w:p>
            <w:pPr>
              <w:spacing w:after="0"/>
              <w:rPr>
                <w:sz w:val="1"/>
                <w:szCs w:val="1"/>
                <w:color w:val="auto"/>
              </w:rPr>
            </w:pP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 Notes, due May 15, 2025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Term loan, due July 18, 2024</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Variable</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Revolving credit facility, due July 18, 2024</w:t>
            </w:r>
            <w:r>
              <w:rPr>
                <w:rFonts w:ascii="Arial" w:cs="Arial" w:eastAsia="Arial" w:hAnsi="Arial"/>
                <w:sz w:val="23"/>
                <w:szCs w:val="23"/>
                <w:color w:val="auto"/>
                <w:vertAlign w:val="superscript"/>
              </w:rPr>
              <w:t>(1)</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Variable</w:t>
            </w:r>
          </w:p>
        </w:tc>
        <w:tc>
          <w:tcPr>
            <w:tcW w:w="5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293,619</w:t>
            </w:r>
          </w:p>
        </w:tc>
        <w:tc>
          <w:tcPr>
            <w:tcW w:w="0" w:type="dxa"/>
            <w:vAlign w:val="bottom"/>
          </w:tcPr>
          <w:p>
            <w:pPr>
              <w:spacing w:after="0"/>
              <w:rPr>
                <w:sz w:val="1"/>
                <w:szCs w:val="1"/>
                <w:color w:val="auto"/>
              </w:rPr>
            </w:pPr>
          </w:p>
        </w:tc>
      </w:tr>
      <w:tr>
        <w:trPr>
          <w:trHeight w:val="223"/>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552,500</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293,619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At January 1, 2022, the amount available under our revolving credit facility reflected a reduction of $6.4 million of letters of credit outstanding.</w:t>
      </w:r>
    </w:p>
    <w:p>
      <w:pPr>
        <w:spacing w:after="0" w:line="13" w:lineRule="exact"/>
        <w:rPr>
          <w:rFonts w:ascii="Arial" w:cs="Arial" w:eastAsia="Arial" w:hAnsi="Arial"/>
          <w:sz w:val="14"/>
          <w:szCs w:val="14"/>
          <w:color w:val="auto"/>
        </w:rPr>
      </w:pPr>
    </w:p>
    <w:p>
      <w:pPr>
        <w:jc w:val="both"/>
        <w:ind w:left="340" w:right="640" w:hanging="332"/>
        <w:spacing w:after="0" w:line="248" w:lineRule="auto"/>
        <w:tabs>
          <w:tab w:leader="none" w:pos="332"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interest rate on the term loan and revolving credit facility pursuant to the Credit Agreement is at an Applicable Margin of 1.25% for LIBOR Loans with LIBOR to not be lower than 0.00% in any period, and an Applicable Margin of 0.25% for ABR Loans, as of fiscal year end 2021. The 2025 Notes pay interest semi-annually in arrears on May 15 and November 15 of each year, commencing on November 15, 2020, at an annual rate of 2.50%.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 Authority</w:t>
      </w:r>
    </w:p>
    <w:p>
      <w:pPr>
        <w:spacing w:after="0" w:line="14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Effective November 8, 2021, the Company's Board of Directors authorized the Company to repurchase up to $50 million aggregate amount of shares of the Company's common stock. On November 29, 2021, the Company’s Board of Directors authorized an increase from $50 million to $100 million in aggregate amount of shares of the Company’s common stock that may be repurchased under the Company’s current share repurchase program. On February 23, 2022, our Board of Directors authorized a $100 million increase to the share repurchase authorization, for a total authorization of $200 million. Repurchases may be made from time to time in the Company’s discretion through one or more open market or privately negotiated transactions, and pursuant to pre-set trading plans meeting the requirements of all applicable securities laws and regulations. Shares may be repurchased under the program through December 30, 2023. The timing and amounts of any such repurchases will depend on a variety of factors, including the market price of the Company’s shares and general market and economic conditions. The Company expects to fund the share repurchases using cash on hand. During fiscal year 2021, the Company repurchased 1.4 million shares of its common stock for $69.9 million under the share repurchase program. After these repurchases, $130 million remains available under the share repurchase authorization.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2021</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2019</w:t>
            </w: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New stores (owned brands)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37,734</w:t>
            </w: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Laboratories, distribution centers and optometric equipment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20,900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19,882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19,690</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and other</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43,901</w:t>
            </w:r>
          </w:p>
        </w:tc>
      </w:tr>
      <w:tr>
        <w:trPr>
          <w:trHeight w:val="224"/>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95,515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76,823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101,325</w:t>
            </w:r>
          </w:p>
        </w:tc>
      </w:tr>
    </w:tbl>
    <w:p>
      <w:pPr>
        <w:spacing w:after="0" w:line="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Note: Fiscal years 2021 and 2019 include 52 weeks. Fiscal year 2020 includes 53 weeks.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capital expenditures in fiscal year 2022 to be approximately between $110 million and $115 million and to be used primarily in supporting the Company’s growth through investments in new stores and information technology improvements. We expect to fund capital expenditures with cash flows from operations, but may also use existing cash balances or funds available through our revolving credit facility.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of fiscal year end 2021, our current and long-term material cash requirements include the following commitments and contractual obligations: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4"/>
              </w:rPr>
              <w:t>Thereafter</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Total</w:t>
            </w:r>
          </w:p>
        </w:tc>
      </w:tr>
      <w:tr>
        <w:trPr>
          <w:trHeight w:val="213"/>
        </w:trPr>
        <w:tc>
          <w:tcPr>
            <w:tcW w:w="304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Term loan</w:t>
            </w:r>
            <w:r>
              <w:rPr>
                <w:rFonts w:ascii="Arial" w:cs="Arial" w:eastAsia="Arial" w:hAnsi="Arial"/>
                <w:sz w:val="21"/>
                <w:szCs w:val="21"/>
                <w:color w:val="auto"/>
                <w:vertAlign w:val="superscript"/>
              </w:rPr>
              <w:t>(a)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6"/>
        </w:trPr>
        <w:tc>
          <w:tcPr>
            <w:tcW w:w="30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2025 Notes</w:t>
            </w:r>
            <w:r>
              <w:rPr>
                <w:rFonts w:ascii="Arial" w:cs="Arial" w:eastAsia="Arial" w:hAnsi="Arial"/>
                <w:sz w:val="21"/>
                <w:szCs w:val="21"/>
                <w:color w:val="auto"/>
                <w:vertAlign w:val="superscript"/>
              </w:rPr>
              <w:t>(b)</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402,500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402,500</w:t>
            </w:r>
          </w:p>
        </w:tc>
      </w:tr>
      <w:tr>
        <w:trPr>
          <w:trHeight w:val="216"/>
        </w:trPr>
        <w:tc>
          <w:tcPr>
            <w:tcW w:w="30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Revolving credit facility</w:t>
            </w:r>
            <w:r>
              <w:rPr>
                <w:rFonts w:ascii="Arial" w:cs="Arial" w:eastAsia="Arial" w:hAnsi="Arial"/>
                <w:sz w:val="21"/>
                <w:szCs w:val="21"/>
                <w:color w:val="auto"/>
                <w:vertAlign w:val="superscript"/>
              </w:rPr>
              <w:t>(c)</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0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Estimated interest</w:t>
            </w:r>
            <w:r>
              <w:rPr>
                <w:rFonts w:ascii="Arial" w:cs="Arial" w:eastAsia="Arial" w:hAnsi="Arial"/>
                <w:sz w:val="21"/>
                <w:szCs w:val="21"/>
                <w:color w:val="auto"/>
                <w:vertAlign w:val="superscript"/>
              </w:rPr>
              <w:t>(d)</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12,808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12,808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40,578</w:t>
            </w:r>
          </w:p>
        </w:tc>
      </w:tr>
      <w:tr>
        <w:trPr>
          <w:trHeight w:val="216"/>
        </w:trPr>
        <w:tc>
          <w:tcPr>
            <w:tcW w:w="30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Noncancelable operating leases</w:t>
            </w:r>
            <w:r>
              <w:rPr>
                <w:rFonts w:ascii="Arial" w:cs="Arial" w:eastAsia="Arial" w:hAnsi="Arial"/>
                <w:sz w:val="21"/>
                <w:szCs w:val="21"/>
                <w:color w:val="auto"/>
                <w:vertAlign w:val="superscript"/>
              </w:rPr>
              <w:t>(e)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466,342</w:t>
            </w:r>
          </w:p>
        </w:tc>
      </w:tr>
      <w:tr>
        <w:trPr>
          <w:trHeight w:val="216"/>
        </w:trPr>
        <w:tc>
          <w:tcPr>
            <w:tcW w:w="30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Finance leases</w:t>
            </w:r>
            <w:r>
              <w:rPr>
                <w:rFonts w:ascii="Arial" w:cs="Arial" w:eastAsia="Arial" w:hAnsi="Arial"/>
                <w:sz w:val="21"/>
                <w:szCs w:val="21"/>
                <w:color w:val="auto"/>
                <w:vertAlign w:val="superscript"/>
              </w:rPr>
              <w:t>(f)</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34,106</w:t>
            </w:r>
          </w:p>
        </w:tc>
      </w:tr>
      <w:tr>
        <w:trPr>
          <w:trHeight w:val="216"/>
        </w:trPr>
        <w:tc>
          <w:tcPr>
            <w:tcW w:w="30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Other commitments</w:t>
            </w:r>
            <w:r>
              <w:rPr>
                <w:rFonts w:ascii="Arial" w:cs="Arial" w:eastAsia="Arial" w:hAnsi="Arial"/>
                <w:sz w:val="21"/>
                <w:szCs w:val="21"/>
                <w:color w:val="auto"/>
                <w:vertAlign w:val="superscript"/>
              </w:rPr>
              <w:t>(g)</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48,035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28,589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19,244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118,099</w:t>
            </w:r>
          </w:p>
        </w:tc>
      </w:tr>
      <w:tr>
        <w:trPr>
          <w:trHeight w:val="210"/>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144,968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132,120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261,026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498,839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56,203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118,469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1,211,625</w:t>
            </w: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Refer to Note 4. “Long-term Debt” to our consolidated financial statements included in Part II. Item 8 of this Form 10-K for more information on our term loan long-term debt.</w:t>
      </w:r>
    </w:p>
    <w:p>
      <w:pPr>
        <w:spacing w:after="0" w:line="13" w:lineRule="exact"/>
        <w:rPr>
          <w:rFonts w:ascii="Arial" w:cs="Arial" w:eastAsia="Arial" w:hAnsi="Arial"/>
          <w:sz w:val="14"/>
          <w:szCs w:val="14"/>
          <w:color w:val="auto"/>
        </w:rPr>
      </w:pPr>
    </w:p>
    <w:p>
      <w:pPr>
        <w:ind w:left="420" w:right="660" w:hanging="412"/>
        <w:spacing w:after="0" w:line="241" w:lineRule="auto"/>
        <w:tabs>
          <w:tab w:leader="none" w:pos="412"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Refer to Note 4. “Long-term Debt” for more information on the 2025 Notes and Note 13. “Earnings Per Share” for the treatment of earnings per share in relation to the 2025 Notes.</w:t>
      </w:r>
    </w:p>
    <w:p>
      <w:pPr>
        <w:ind w:left="420" w:hanging="412"/>
        <w:spacing w:after="0"/>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Refer to Note 4. “Long-term Debt” for more information on our revolving credit facility.</w:t>
      </w:r>
    </w:p>
    <w:p>
      <w:pPr>
        <w:spacing w:after="0" w:line="1" w:lineRule="exact"/>
        <w:rPr>
          <w:rFonts w:ascii="Arial" w:cs="Arial" w:eastAsia="Arial" w:hAnsi="Arial"/>
          <w:sz w:val="14"/>
          <w:szCs w:val="14"/>
          <w:color w:val="auto"/>
        </w:rPr>
      </w:pPr>
    </w:p>
    <w:p>
      <w:pPr>
        <w:jc w:val="both"/>
        <w:ind w:left="420" w:right="660" w:hanging="412"/>
        <w:spacing w:after="0" w:line="241" w:lineRule="auto"/>
        <w:tabs>
          <w:tab w:leader="none" w:pos="412"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have estimated our interest payments on our term loan based on our current interest elections described in “Liquidity and Capital Resources.” Amounts and timing may be different from our estimated interest payments due to potential voluntary prepayments, borrowings and interest rate fluctuations. Expected obligations on our hedging instruments are excluded from estimated interest presented in the table above.</w:t>
      </w:r>
    </w:p>
    <w:p>
      <w:pPr>
        <w:spacing w:after="0" w:line="1" w:lineRule="exact"/>
        <w:rPr>
          <w:rFonts w:ascii="Arial" w:cs="Arial" w:eastAsia="Arial" w:hAnsi="Arial"/>
          <w:sz w:val="14"/>
          <w:szCs w:val="14"/>
          <w:color w:val="auto"/>
        </w:rPr>
      </w:pPr>
    </w:p>
    <w:p>
      <w:pPr>
        <w:jc w:val="both"/>
        <w:ind w:left="420" w:right="640" w:hanging="412"/>
        <w:spacing w:after="0" w:line="260" w:lineRule="auto"/>
        <w:tabs>
          <w:tab w:leader="none" w:pos="417" w:val="left"/>
        </w:tabs>
        <w:numPr>
          <w:ilvl w:val="0"/>
          <w:numId w:val="34"/>
        </w:numPr>
        <w:rPr>
          <w:rFonts w:ascii="Arial" w:cs="Arial" w:eastAsia="Arial" w:hAnsi="Arial"/>
          <w:sz w:val="13"/>
          <w:szCs w:val="13"/>
          <w:color w:val="auto"/>
        </w:rPr>
      </w:pPr>
      <w:r>
        <w:rPr>
          <w:rFonts w:ascii="Arial" w:cs="Arial" w:eastAsia="Arial" w:hAnsi="Arial"/>
          <w:sz w:val="13"/>
          <w:szCs w:val="13"/>
          <w:color w:val="auto"/>
        </w:rPr>
        <w:t>We lease our retail stores, optometric examination offices, distribution centers, office space and all of our optical laboratories with the exception of our St. Cloud, Minnesota lab, which we own. The vast majority of our leases are classified as operating leases under current accounting guidance. Although rent expense on operating leases is recorded in SG&amp;A on a straight-line basis over the term of the lease, contractual obligations above represent required cash payments. Our lease arrangements require us to pay executory costs such as insurance, real estate taxes and common area maintenance and some of our leases are based on a percentage of sales. These expenses are generally variable, not included above, and were approximately $30.6 million during fiscal year ended 2021. Refer to Note 8. “Leases” for our current and long-term lease payment obligations.</w:t>
      </w:r>
    </w:p>
    <w:p>
      <w:pPr>
        <w:jc w:val="both"/>
        <w:ind w:left="420" w:right="660" w:hanging="412"/>
        <w:spacing w:after="0" w:line="241" w:lineRule="auto"/>
        <w:tabs>
          <w:tab w:leader="none" w:pos="415" w:val="left"/>
        </w:tabs>
        <w:numPr>
          <w:ilvl w:val="0"/>
          <w:numId w:val="34"/>
        </w:numPr>
        <w:rPr>
          <w:rFonts w:ascii="Arial" w:cs="Arial" w:eastAsia="Arial" w:hAnsi="Arial"/>
          <w:sz w:val="14"/>
          <w:szCs w:val="14"/>
          <w:color w:val="auto"/>
        </w:rPr>
      </w:pPr>
      <w:r>
        <w:rPr>
          <w:rFonts w:ascii="Arial" w:cs="Arial" w:eastAsia="Arial" w:hAnsi="Arial"/>
          <w:sz w:val="14"/>
          <w:szCs w:val="14"/>
          <w:color w:val="auto"/>
        </w:rPr>
        <w:t>For leases classified as finance leases, the finance lease asset is recorded as property and equipment and a corresponding amount is recorded as a long-term debt obligation in the Consolidated Balance Sheets at the net present value of the minimum lease payments to be made over the lease term for new finance leases. We allocate each lease payment between a reduction of the lease obligation and interest expense using the effective interest method. Finance lease amounts above represent required contractual cash payments in the periods presented. Refer to Note 8. “Leases” for our current and long-term lease payment obligations.</w:t>
      </w:r>
    </w:p>
    <w:p>
      <w:pPr>
        <w:spacing w:after="0" w:line="1" w:lineRule="exact"/>
        <w:rPr>
          <w:rFonts w:ascii="Arial" w:cs="Arial" w:eastAsia="Arial" w:hAnsi="Arial"/>
          <w:sz w:val="14"/>
          <w:szCs w:val="14"/>
          <w:color w:val="auto"/>
        </w:rPr>
      </w:pPr>
    </w:p>
    <w:p>
      <w:pPr>
        <w:ind w:left="420" w:right="660" w:hanging="412"/>
        <w:spacing w:after="0" w:line="255" w:lineRule="auto"/>
        <w:tabs>
          <w:tab w:leader="none" w:pos="412" w:val="left"/>
        </w:tabs>
        <w:numPr>
          <w:ilvl w:val="0"/>
          <w:numId w:val="34"/>
        </w:numPr>
        <w:rPr>
          <w:rFonts w:ascii="Arial" w:cs="Arial" w:eastAsia="Arial" w:hAnsi="Arial"/>
          <w:sz w:val="14"/>
          <w:szCs w:val="14"/>
          <w:color w:val="auto"/>
        </w:rPr>
      </w:pPr>
      <w:r>
        <w:rPr>
          <w:rFonts w:ascii="Arial" w:cs="Arial" w:eastAsia="Arial" w:hAnsi="Arial"/>
          <w:sz w:val="14"/>
          <w:szCs w:val="14"/>
          <w:color w:val="auto"/>
        </w:rPr>
        <w:t>Other commitments include minimum purchase commitments with certain trade vendors and contractual agreements to purchase goods or services in the ordinary course of business.</w:t>
      </w:r>
    </w:p>
    <w:p>
      <w:pPr>
        <w:spacing w:after="0" w:line="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lease commitments and contractual obligations, our material cash requirements also include operating expenses such as payroll, store rent, and advertising expenses, which we expect to fund primarily with cash on hand and cash expected to be generated from operations.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follow U.S. GAAP in making the determination as to whether or not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our consolidated financial statements. We are not a party to any other off-balance sheet arrangements.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the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evaluated the accounting policies used in the preparation of the Company’s consolidated financial statements and related notes and believe those policies to be reasonable and appropriate. Certain of these accounting policies require the application of significant judgment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More information on all of our significant accounting policies can be found in Note 1. “Business and Significant Accounting Policies,” to our consolidated financial statements included in Part II. Item 8. of this Form 10-K, as well as in certain other notes to the consolidated financial statements as indicated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our America’s Best brand, our signature offer is two pairs of eyeglasses and a free eye exam for one low price. Since an eye exam is a key component in the ability for acceptable prescription eyewear to be delivered to a customer, we concluded that the eye exam service, while capable of being distinct from the eyeglass product delivery, was not distinct in the context of the two-pair offer. As a result, we do not allocate revenue to the eye exam associated with the two-pair offer, and we record all revenue associated with the offer in net product sales when the customer has received and accepted the merchandise.</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revenue across our product protection plan and club membership contract portfolio based on the value delivered to the customers relative to the remaining services promised under the programs. We determine the value delivered based on the expected timing and amount of customer usage of benefits over the terms of the contracts. A 100 basis point change in our estimate of value delivered to customers compared to expected customer usage of benefits would have affected revenues in fiscal year 2021 by approximately $2 million; this amount would have been recognized at different times over the contract period.</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Unearned revenue at the end of a reporting period is estimated based on processing and delivery times throughout the current month and generally ranges from approximately seven to 10 days. All unearned revenue at the end of a reporting period is recognized in the next fiscal period. A one day increase in our estimate of the average days needed to process delivery would have affected revenues in fiscal year 2021 by approximately $4 million, which would ultimately have been recorded in the next fiscal year.</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considers its revenue from managed care customers to include variable consideration and estimates such amounts associated with managed care customer revenues using the history of concessions provided and cash receipts from managed care providers; a 100 basis point change in our rate of concessions granted would have reduced our revenues in fiscal year 2021 by approximately $2 million.</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7. “Revenue from Contracts With Customers” in our audited consolidated financial statements included in Part II. Item 8. of this Form 10-K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P&amp;E and ROU assets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evaluating store-level property and equipment and ROU assets for recoverability and impairment, we may consider multiple factors including financial performance of the stores, regional and local business climates, future plans for the store operations and other qualitative factors. We estimate the fair value of the asset group using an income approach based on discounted cash flows, which requires estimates and assumptions of forecasted store revenue growth rates and store profitability. We consider market-based indications of prevailing rental rates, lease incentives and discount rates for retail space when estimating the fair value of ROU assets. Developing the estimates and assumptions used in our recovery and impairment evaluations require significant judgment. The cash flows used in estimating fair value were discounted using a rate of 7.5% in fiscal year 2021.</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$346.4 million of property and equipment, net, and ROU assets of $354.9 million as of January 1, 2022. Changes in estimates and assumptions used in our impairment testing of property and equipment could result in future impairment losses, which could be material.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Intangible Assets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calculate the fair value of our reporting units using the income approach based on discounted cash flows analysis whereby estimated after-tax cash flows are discounted using a weighted average cost of capital. The cash flows used in the analysis are based on financial forecasts developed internally by management and require significant judgment. Significant unobservable inputs used in the fair value measurement of the reporting units include revenue growth rates, payroll and other expense growth rates, capital expenditures and discount rates. These assumptions are sensitive to future changes in the business profitability, changes in our business strategy, customer concentration risk and external market conditions, among other factors. See Note 3. “Goodwill and Intangible Assets” to our consolidated financial statements included in Part II. Item 8. of this Form 10-K for further detail on goodwill impairment.</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January 1, 2022, we had $777.6 million of goodwill, $240.5 million of non-amortizing intangible assets, and $42.0 million of other intangible assets, net of accumulated amortization. Changes in estimates and assumptions used in our impairment testing could result in future impairment losses, which could be material. Significant judgments and assumptions are required in our impairment evaluations.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impairment analysis for goodwill, fair value exceeded carrying value by at least 30% for all of our reporting units. Future changes in reporting unit’s business profitability, expected cash flows, changes in business strategy and external market conditions, among other factors, could require us to record an impairment charge for goodwill. A 100 basis point increase in discount rates used to estimate the fair value of the Company’s reporting units would not result in an impairment of the Company’s goodwill balance at fiscal year-end.</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evaluating indefinite-lived, non-amortizing trademarks and trade names for impairment, we use the relief-from-royalty method to estimate fair value, whereby an estimated royalty rate is determined based on comparable licensing arrangements, which is then applied to the revenue projections for the subject asset. The estimated fair value is calculated using a discounted cash flow analysis. We record an impairment charge as the excess of carrying value over estimated fair value. A 100 basis point increase in discount rates used to estimate the fair value of the Company’s trademarks and trade names would not result in an impairment at fiscal year-end.</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impairment indicators related to finite-lived, amortizing intangible assets are present, we estimate cash flows expected to be generated over the remaining useful lives of the related assets based on current projections. If the projected net undiscounted cash flows are less than the carrying value of the related assets, we then measure impairment based on a discounted cash flow model and record an impairment charge as the excess of carrying value over the estimated fair value. We did not test any finite-lived intangible assets for impairment in fiscal year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Calculations and assessments of uncertain tax positions involve estimates and complex judgments because the ultimate tax outcomes are uncertain and future events are unpredictable. Our net deferred liability balance as of January 1, 2022 was $82.8 million. Changes in assumptions in our estimates could result in material changes to these balances. See Note 6. “Income Taxes” to our consolidated financial statements included in Part II. Item 8 of this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Inventory shrinkage is estimated and recorded throughout the period in cost of sales based on historical results and current inventory levels. Inventory values are adjusted for estimated obsolescence and written down to net realizable value (“NRV”) based on estimates of current and anticipated demand, customer preference, merchandise age, planned promotional activities, compliance with contact lens vendor return policies, and estimates of future retail sales prices. Actual shrinkage is recorded throughout the year based upon periodic physical counts. As of January 1, 2022, our total inventory balance was $123.7 million. A 10% increase in the obsolescence and shrinkage reserves will not have a material impact on our financial position. See Note 2. “Business and Significant Accounting Policies” to our consolidated financial statements included in Part II. Item 8 of this Form 10-K.</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on recently issued accounting pronouncements, see Note 1. “Business and Significant Accounting Policies” to our consolidated financial statements included in Part II. Item 8 of this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market risk exposure from changes in interest rates. When appropriate, we use derivative financial instruments to mitigate the risk from such exposure. A discussion of our accounting policies for derivative financial instruments is included in Note 9. “Fair Value Measurement” and Note 12. “Interest Rate Derivatives” to our consolidated financial statements included in Part II. Item 8 of this Form 10-K.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Our interest rate collar is intended to mitigate some of the effects of increases in interest rates.</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fiscal year 2021, $150.0 million of term loan borrowings were subject to variable interest rates, with a weighted average borrowing rate of 2.5%. An increase to market rates of 1.0% as of January 1, 2022 would not result in a material increase to interest expense. Assuming a decrease to market rates of 1.0%, the resulting impact to interest expense related to the interest rate derivative would be approximately $8 million.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0600" w:type="dxa"/>
            <w:vAlign w:val="bottom"/>
            <w:gridSpan w:val="11"/>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10600" w:type="dxa"/>
            <w:vAlign w:val="bottom"/>
            <w:gridSpan w:val="11"/>
          </w:tcPr>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380" w:type="dxa"/>
            <w:vAlign w:val="bottom"/>
            <w:gridSpan w:val="7"/>
          </w:tcPr>
          <w:p>
            <w:pPr>
              <w:ind w:left="60"/>
              <w:spacing w:after="0"/>
              <w:rPr>
                <w:sz w:val="20"/>
                <w:szCs w:val="20"/>
                <w:color w:val="auto"/>
              </w:rPr>
            </w:pPr>
            <w:r>
              <w:rPr>
                <w:rFonts w:ascii="Arial" w:cs="Arial" w:eastAsia="Arial" w:hAnsi="Arial"/>
                <w:sz w:val="18"/>
                <w:szCs w:val="18"/>
                <w:b w:val="1"/>
                <w:bCs w:val="1"/>
                <w:color w:val="auto"/>
              </w:rPr>
              <w:t>INDEX TO CONSOLIDATED FINANCIAL STATEMENTS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580" w:type="dxa"/>
            <w:vAlign w:val="bottom"/>
            <w:gridSpan w:val="10"/>
          </w:tcPr>
          <w:p>
            <w:pPr>
              <w:spacing w:after="0" w:line="190" w:lineRule="exact"/>
              <w:rPr>
                <w:rFonts w:ascii="Arial" w:cs="Arial" w:eastAsia="Arial" w:hAnsi="Arial"/>
                <w:sz w:val="18"/>
                <w:szCs w:val="18"/>
                <w:color w:val="0000FF"/>
              </w:rPr>
            </w:pPr>
            <w:hyperlink w:anchor="page72">
              <w:r>
                <w:rPr>
                  <w:rFonts w:ascii="Arial" w:cs="Arial" w:eastAsia="Arial" w:hAnsi="Arial"/>
                  <w:sz w:val="18"/>
                  <w:szCs w:val="18"/>
                  <w:color w:val="0000FF"/>
                </w:rPr>
                <w:t xml:space="preserve">Report of Independent Registered Public Accounting Firm (PCAOB ID No. </w:t>
              </w:r>
            </w:hyperlink>
            <w:r>
              <w:rPr>
                <w:rFonts w:ascii="Arial" w:cs="Arial" w:eastAsia="Arial" w:hAnsi="Arial"/>
                <w:sz w:val="18"/>
                <w:szCs w:val="18"/>
                <w:color w:val="000000"/>
              </w:rPr>
              <w:t>34</w:t>
            </w:r>
            <w:hyperlink w:anchor="page72">
              <w:r>
                <w:rPr>
                  <w:rFonts w:ascii="Arial" w:cs="Arial" w:eastAsia="Arial" w:hAnsi="Arial"/>
                  <w:sz w:val="18"/>
                  <w:szCs w:val="18"/>
                  <w:u w:val="single" w:color="auto"/>
                  <w:color w:val="0000FF"/>
                </w:rPr>
                <w:t>)</w:t>
              </w:r>
            </w:hyperlink>
          </w:p>
        </w:tc>
        <w:tc>
          <w:tcPr>
            <w:tcW w:w="620" w:type="dxa"/>
            <w:vAlign w:val="bottom"/>
            <w:gridSpan w:val="3"/>
          </w:tcPr>
          <w:p>
            <w:pPr>
              <w:jc w:val="right"/>
              <w:spacing w:after="0" w:line="190" w:lineRule="exact"/>
              <w:rPr>
                <w:rFonts w:ascii="Arial" w:cs="Arial" w:eastAsia="Arial" w:hAnsi="Arial"/>
                <w:sz w:val="18"/>
                <w:szCs w:val="18"/>
                <w:color w:val="0000FF"/>
              </w:rPr>
            </w:pPr>
            <w:hyperlink w:anchor="page72">
              <w:r>
                <w:rPr>
                  <w:rFonts w:ascii="Arial" w:cs="Arial" w:eastAsia="Arial" w:hAnsi="Arial"/>
                  <w:sz w:val="18"/>
                  <w:szCs w:val="18"/>
                  <w:color w:val="0000FF"/>
                </w:rPr>
                <w:t>72</w:t>
              </w:r>
            </w:hyperlink>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520" w:type="dxa"/>
            <w:vAlign w:val="bottom"/>
            <w:tcBorders>
              <w:top w:val="single" w:sz="8" w:color="0000FF"/>
            </w:tcBorders>
            <w:gridSpan w:val="6"/>
          </w:tcPr>
          <w:p>
            <w:pPr>
              <w:spacing w:after="0"/>
              <w:rPr>
                <w:rFonts w:ascii="Arial" w:cs="Arial" w:eastAsia="Arial" w:hAnsi="Arial"/>
                <w:sz w:val="18"/>
                <w:szCs w:val="18"/>
                <w:color w:val="0000FF"/>
                <w:w w:val="94"/>
              </w:rPr>
            </w:pPr>
            <w:hyperlink w:anchor="page74">
              <w:r>
                <w:rPr>
                  <w:rFonts w:ascii="Arial" w:cs="Arial" w:eastAsia="Arial" w:hAnsi="Arial"/>
                  <w:sz w:val="18"/>
                  <w:szCs w:val="18"/>
                  <w:color w:val="0000FF"/>
                  <w:w w:val="94"/>
                </w:rPr>
                <w:t xml:space="preserve">Consolidated Balance Sheets as of January </w:t>
              </w:r>
            </w:hyperlink>
            <w:r>
              <w:rPr>
                <w:rFonts w:ascii="Arial" w:cs="Arial" w:eastAsia="Arial" w:hAnsi="Arial"/>
                <w:sz w:val="18"/>
                <w:szCs w:val="18"/>
                <w:color w:val="0000FF"/>
                <w:w w:val="94"/>
              </w:rPr>
              <w:t xml:space="preserve">1, 2022 </w:t>
            </w:r>
            <w:hyperlink w:anchor="page74">
              <w:r>
                <w:rPr>
                  <w:rFonts w:ascii="Arial" w:cs="Arial" w:eastAsia="Arial" w:hAnsi="Arial"/>
                  <w:sz w:val="18"/>
                  <w:szCs w:val="18"/>
                  <w:color w:val="0000FF"/>
                  <w:w w:val="94"/>
                </w:rPr>
                <w:t>and January 2, 2021</w:t>
              </w:r>
            </w:hyperlink>
          </w:p>
        </w:tc>
        <w:tc>
          <w:tcPr>
            <w:tcW w:w="5060" w:type="dxa"/>
            <w:vAlign w:val="bottom"/>
            <w:gridSpan w:val="4"/>
          </w:tcPr>
          <w:p>
            <w:pPr>
              <w:spacing w:after="0"/>
              <w:rPr>
                <w:sz w:val="24"/>
                <w:szCs w:val="24"/>
                <w:color w:val="auto"/>
              </w:rPr>
            </w:pPr>
          </w:p>
        </w:tc>
        <w:tc>
          <w:tcPr>
            <w:tcW w:w="440" w:type="dxa"/>
            <w:vAlign w:val="bottom"/>
            <w:gridSpan w:val="2"/>
          </w:tcPr>
          <w:p>
            <w:pPr>
              <w:spacing w:after="0"/>
              <w:rPr>
                <w:sz w:val="24"/>
                <w:szCs w:val="24"/>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74">
              <w:r>
                <w:rPr>
                  <w:rFonts w:ascii="Arial" w:cs="Arial" w:eastAsia="Arial" w:hAnsi="Arial"/>
                  <w:sz w:val="18"/>
                  <w:szCs w:val="18"/>
                  <w:color w:val="0000FF"/>
                  <w:w w:val="79"/>
                </w:rPr>
                <w:t>74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580" w:type="dxa"/>
            <w:vAlign w:val="bottom"/>
            <w:gridSpan w:val="10"/>
          </w:tcPr>
          <w:p>
            <w:pPr>
              <w:spacing w:after="0"/>
              <w:rPr>
                <w:rFonts w:ascii="Arial" w:cs="Arial" w:eastAsia="Arial" w:hAnsi="Arial"/>
                <w:sz w:val="18"/>
                <w:szCs w:val="18"/>
                <w:color w:val="0000FF"/>
                <w:w w:val="91"/>
              </w:rPr>
            </w:pPr>
            <w:hyperlink w:anchor="page75">
              <w:r>
                <w:rPr>
                  <w:rFonts w:ascii="Arial" w:cs="Arial" w:eastAsia="Arial" w:hAnsi="Arial"/>
                  <w:sz w:val="18"/>
                  <w:szCs w:val="18"/>
                  <w:color w:val="0000FF"/>
                  <w:w w:val="91"/>
                </w:rPr>
                <w:t>Consolidated Statements of Operations and Comprehensive Income for the Fiscal Years Ended January 1, 2022, January 2, 2021 and December</w:t>
              </w:r>
            </w:hyperlink>
          </w:p>
        </w:tc>
        <w:tc>
          <w:tcPr>
            <w:tcW w:w="440" w:type="dxa"/>
            <w:vAlign w:val="bottom"/>
            <w:gridSpan w:val="2"/>
            <w:vMerge w:val="restart"/>
          </w:tcPr>
          <w:p>
            <w:pPr>
              <w:spacing w:after="0"/>
              <w:rPr>
                <w:sz w:val="24"/>
                <w:szCs w:val="24"/>
                <w:color w:val="auto"/>
              </w:rPr>
            </w:pPr>
          </w:p>
        </w:tc>
        <w:tc>
          <w:tcPr>
            <w:tcW w:w="180" w:type="dxa"/>
            <w:vAlign w:val="bottom"/>
            <w:vMerge w:val="restart"/>
          </w:tcPr>
          <w:p>
            <w:pPr>
              <w:jc w:val="right"/>
              <w:spacing w:after="0"/>
              <w:rPr>
                <w:rFonts w:ascii="Arial" w:cs="Arial" w:eastAsia="Arial" w:hAnsi="Arial"/>
                <w:sz w:val="18"/>
                <w:szCs w:val="18"/>
                <w:color w:val="0000FF"/>
                <w:w w:val="79"/>
              </w:rPr>
            </w:pPr>
            <w:hyperlink w:anchor="page75">
              <w:r>
                <w:rPr>
                  <w:rFonts w:ascii="Arial" w:cs="Arial" w:eastAsia="Arial" w:hAnsi="Arial"/>
                  <w:sz w:val="18"/>
                  <w:szCs w:val="18"/>
                  <w:color w:val="0000FF"/>
                  <w:w w:val="79"/>
                </w:rPr>
                <w:t>75</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75">
              <w:r>
                <w:rPr>
                  <w:rFonts w:ascii="Arial" w:cs="Arial" w:eastAsia="Arial" w:hAnsi="Arial"/>
                  <w:sz w:val="18"/>
                  <w:szCs w:val="18"/>
                  <w:color w:val="0000FF"/>
                  <w:w w:val="88"/>
                </w:rPr>
                <w:t>28, 2019</w:t>
              </w:r>
            </w:hyperlink>
          </w:p>
        </w:tc>
        <w:tc>
          <w:tcPr>
            <w:tcW w:w="62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4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8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580" w:type="dxa"/>
            <w:vAlign w:val="bottom"/>
            <w:gridSpan w:val="10"/>
          </w:tcPr>
          <w:p>
            <w:pPr>
              <w:spacing w:after="0"/>
              <w:rPr>
                <w:rFonts w:ascii="Arial" w:cs="Arial" w:eastAsia="Arial" w:hAnsi="Arial"/>
                <w:sz w:val="18"/>
                <w:szCs w:val="18"/>
                <w:color w:val="0000FF"/>
                <w:w w:val="97"/>
              </w:rPr>
            </w:pPr>
            <w:hyperlink w:anchor="page76">
              <w:r>
                <w:rPr>
                  <w:rFonts w:ascii="Arial" w:cs="Arial" w:eastAsia="Arial" w:hAnsi="Arial"/>
                  <w:sz w:val="18"/>
                  <w:szCs w:val="18"/>
                  <w:color w:val="0000FF"/>
                  <w:w w:val="97"/>
                </w:rPr>
                <w:t xml:space="preserve">Consolidated Statements of Stockholders’ Equity for the Fiscal Years Ended </w:t>
              </w:r>
            </w:hyperlink>
            <w:hyperlink w:anchor="page74">
              <w:r>
                <w:rPr>
                  <w:rFonts w:ascii="Arial" w:cs="Arial" w:eastAsia="Arial" w:hAnsi="Arial"/>
                  <w:sz w:val="18"/>
                  <w:szCs w:val="18"/>
                  <w:color w:val="0000FF"/>
                  <w:w w:val="97"/>
                </w:rPr>
                <w:t xml:space="preserve">January 1, 2022, </w:t>
              </w:r>
            </w:hyperlink>
            <w:hyperlink w:anchor="page75">
              <w:r>
                <w:rPr>
                  <w:rFonts w:ascii="Arial" w:cs="Arial" w:eastAsia="Arial" w:hAnsi="Arial"/>
                  <w:sz w:val="18"/>
                  <w:szCs w:val="18"/>
                  <w:color w:val="0000FF"/>
                  <w:w w:val="97"/>
                </w:rPr>
                <w:t>January 2, 2021 and December 28, 2019</w:t>
              </w:r>
            </w:hyperlink>
          </w:p>
        </w:tc>
        <w:tc>
          <w:tcPr>
            <w:tcW w:w="620" w:type="dxa"/>
            <w:vAlign w:val="bottom"/>
            <w:gridSpan w:val="3"/>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680" w:type="dxa"/>
            <w:vAlign w:val="bottom"/>
            <w:tcBorders>
              <w:top w:val="single" w:sz="8" w:color="0000FF"/>
            </w:tcBorders>
            <w:gridSpan w:val="8"/>
          </w:tcPr>
          <w:p>
            <w:pPr>
              <w:spacing w:after="0"/>
              <w:rPr>
                <w:rFonts w:ascii="Arial" w:cs="Arial" w:eastAsia="Arial" w:hAnsi="Arial"/>
                <w:sz w:val="18"/>
                <w:szCs w:val="18"/>
                <w:color w:val="0000FF"/>
                <w:w w:val="95"/>
              </w:rPr>
            </w:pPr>
            <w:hyperlink w:anchor="page77">
              <w:r>
                <w:rPr>
                  <w:rFonts w:ascii="Arial" w:cs="Arial" w:eastAsia="Arial" w:hAnsi="Arial"/>
                  <w:sz w:val="18"/>
                  <w:szCs w:val="18"/>
                  <w:color w:val="0000FF"/>
                  <w:w w:val="95"/>
                </w:rPr>
                <w:t xml:space="preserve">Consolidated Statements of Cash Flows for the Fiscal Years Ended </w:t>
              </w:r>
            </w:hyperlink>
            <w:hyperlink w:anchor="page74">
              <w:r>
                <w:rPr>
                  <w:rFonts w:ascii="Arial" w:cs="Arial" w:eastAsia="Arial" w:hAnsi="Arial"/>
                  <w:sz w:val="18"/>
                  <w:szCs w:val="18"/>
                  <w:color w:val="0000FF"/>
                  <w:w w:val="95"/>
                </w:rPr>
                <w:t xml:space="preserve">January 1, 2022, </w:t>
              </w:r>
            </w:hyperlink>
            <w:hyperlink w:anchor="page75">
              <w:r>
                <w:rPr>
                  <w:rFonts w:ascii="Arial" w:cs="Arial" w:eastAsia="Arial" w:hAnsi="Arial"/>
                  <w:sz w:val="18"/>
                  <w:szCs w:val="18"/>
                  <w:color w:val="0000FF"/>
                  <w:w w:val="95"/>
                </w:rPr>
                <w:t>January 2, 2021 and December 28, 2019</w:t>
              </w:r>
            </w:hyperlink>
          </w:p>
        </w:tc>
        <w:tc>
          <w:tcPr>
            <w:tcW w:w="90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77</w:t>
              </w:r>
            </w:hyperlink>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0"/>
              </w:rPr>
            </w:pPr>
            <w:hyperlink w:anchor="page78">
              <w:r>
                <w:rPr>
                  <w:rFonts w:ascii="Arial" w:cs="Arial" w:eastAsia="Arial" w:hAnsi="Arial"/>
                  <w:sz w:val="18"/>
                  <w:szCs w:val="18"/>
                  <w:color w:val="0000FF"/>
                  <w:w w:val="90"/>
                </w:rPr>
                <w:t>Notes to Consolidated Financial Statements</w:t>
              </w:r>
            </w:hyperlink>
          </w:p>
        </w:tc>
        <w:tc>
          <w:tcPr>
            <w:tcW w:w="5800" w:type="dxa"/>
            <w:vAlign w:val="bottom"/>
            <w:tcBorders>
              <w:top w:val="single" w:sz="8" w:color="0000FF"/>
            </w:tcBorders>
            <w:gridSpan w:val="4"/>
          </w:tcPr>
          <w:p>
            <w:pPr>
              <w:spacing w:after="0"/>
              <w:rPr>
                <w:sz w:val="24"/>
                <w:szCs w:val="24"/>
                <w:color w:val="auto"/>
              </w:rPr>
            </w:pPr>
          </w:p>
        </w:tc>
        <w:tc>
          <w:tcPr>
            <w:tcW w:w="158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78">
              <w:r>
                <w:rPr>
                  <w:rFonts w:ascii="Arial" w:cs="Arial" w:eastAsia="Arial" w:hAnsi="Arial"/>
                  <w:sz w:val="18"/>
                  <w:szCs w:val="18"/>
                  <w:color w:val="0000FF"/>
                  <w:w w:val="79"/>
                </w:rPr>
                <w:t>78</w:t>
              </w:r>
            </w:hyperlink>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400" w:type="dxa"/>
            <w:vAlign w:val="bottom"/>
            <w:gridSpan w:val="4"/>
          </w:tcPr>
          <w:p>
            <w:pPr>
              <w:spacing w:after="0"/>
              <w:rPr>
                <w:rFonts w:ascii="Arial" w:cs="Arial" w:eastAsia="Arial" w:hAnsi="Arial"/>
                <w:sz w:val="18"/>
                <w:szCs w:val="18"/>
                <w:color w:val="0000FF"/>
                <w:w w:val="91"/>
              </w:rPr>
            </w:pPr>
            <w:hyperlink w:anchor="page110">
              <w:r>
                <w:rPr>
                  <w:rFonts w:ascii="Arial" w:cs="Arial" w:eastAsia="Arial" w:hAnsi="Arial"/>
                  <w:sz w:val="18"/>
                  <w:szCs w:val="18"/>
                  <w:color w:val="0000FF"/>
                  <w:w w:val="91"/>
                </w:rPr>
                <w:t>Schedule I – Condensed Financial Information of Registrant</w:t>
              </w:r>
            </w:hyperlink>
          </w:p>
        </w:tc>
        <w:tc>
          <w:tcPr>
            <w:tcW w:w="6180" w:type="dxa"/>
            <w:vAlign w:val="bottom"/>
            <w:gridSpan w:val="6"/>
          </w:tcPr>
          <w:p>
            <w:pPr>
              <w:spacing w:after="0"/>
              <w:rPr>
                <w:sz w:val="24"/>
                <w:szCs w:val="24"/>
                <w:color w:val="auto"/>
              </w:rPr>
            </w:pPr>
          </w:p>
        </w:tc>
        <w:tc>
          <w:tcPr>
            <w:tcW w:w="620" w:type="dxa"/>
            <w:vAlign w:val="bottom"/>
            <w:gridSpan w:val="3"/>
          </w:tcPr>
          <w:p>
            <w:pPr>
              <w:jc w:val="right"/>
              <w:spacing w:after="0"/>
              <w:rPr>
                <w:rFonts w:ascii="Arial" w:cs="Arial" w:eastAsia="Arial" w:hAnsi="Arial"/>
                <w:sz w:val="18"/>
                <w:szCs w:val="18"/>
                <w:color w:val="0000FF"/>
              </w:rPr>
            </w:pPr>
            <w:hyperlink w:anchor="page110">
              <w:r>
                <w:rPr>
                  <w:rFonts w:ascii="Arial" w:cs="Arial" w:eastAsia="Arial" w:hAnsi="Arial"/>
                  <w:sz w:val="18"/>
                  <w:szCs w:val="18"/>
                  <w:color w:val="0000FF"/>
                </w:rPr>
                <w:t>110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National Vision Holdings, Inc. and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National Vision Holdings, Inc. and subsidiaries (the “Company”) as of January 1, 2022 and January 2, 2021, the related consolidated statements of operations and comprehensive income, stockholders’ equity, and cash flows, for each of the three years in the period ended January 1, 2022, and the related notes and the schedule listed in the Index at Item 15 (collectively referred to as the “financial statements”). In our opinion, the financial statements present fairly, in all material respects, the financial position of the Company as of January 1, 2022 and January 2, 2021, and the results of its operations and its cash flows for each of the three years in the period ended January 1, 2022, in conformity with accounting principles generally accepted in the United States of America.</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January 1, 2022, based on criteria established in Internal Control - Integrated Framework (2013) issued by the Committee of Sponsoring Organizations of the Treadway Commission and our report dated February 27, 2022, expressed an unqualified opinion on the Company’s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discussed in Note 1 to the financial statements, the Company has changed its method of accounting for debt with conversion options for the year ended January 1, 2022 due to the adoption of Accounting Standards Update No. 2020-06, </w:t>
      </w:r>
      <w:r>
        <w:rPr>
          <w:rFonts w:ascii="Arial" w:cs="Arial" w:eastAsia="Arial" w:hAnsi="Arial"/>
          <w:sz w:val="18"/>
          <w:szCs w:val="18"/>
          <w:i w:val="1"/>
          <w:iCs w:val="1"/>
          <w:color w:val="auto"/>
        </w:rPr>
        <w:t>Debt—Debt with Conversion and Other Options (Subtopic 470-20) and</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Hedging—Contracts in Entity’s Own Equity (Subtopic 815-40): Accounting for Convertible Instruments and Contracts in an Entity’s Own Equity</w:t>
      </w:r>
      <w:r>
        <w:rPr>
          <w:rFonts w:ascii="Arial" w:cs="Arial" w:eastAsia="Arial" w:hAnsi="Arial"/>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0" w:lineRule="exact"/>
        <w:rPr>
          <w:sz w:val="20"/>
          <w:szCs w:val="20"/>
          <w:color w:val="auto"/>
        </w:rPr>
      </w:pPr>
    </w:p>
    <w:p>
      <w:pPr>
        <w:ind w:right="4000"/>
        <w:spacing w:after="0" w:line="375" w:lineRule="auto"/>
        <w:rPr>
          <w:sz w:val="20"/>
          <w:szCs w:val="20"/>
          <w:color w:val="auto"/>
        </w:rPr>
      </w:pPr>
      <w:r>
        <w:rPr>
          <w:rFonts w:ascii="Arial" w:cs="Arial" w:eastAsia="Arial" w:hAnsi="Arial"/>
          <w:sz w:val="18"/>
          <w:szCs w:val="18"/>
          <w:b w:val="1"/>
          <w:bCs w:val="1"/>
          <w:i w:val="1"/>
          <w:iCs w:val="1"/>
          <w:color w:val="auto"/>
        </w:rPr>
        <w:t xml:space="preserve">Goodwill — Legacy Segment Reporting Unit — Refer to Notes 1 and 3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evaluation of goodwill for impairment involves the comparison of the fair value of each reporting unit to its carrying value. The Company used the income approach, which is based on a discounted cash flow analysis and calculated the fair value of reporting units by estimating after-tax cash flows discounted using a weighted average cost of capital discount rate. The determination of fair value using the discounted cash flow method requires management to make significant estimates and assumptions related to the discount rate. Changes in these assumptions could have a significant impact on either the fair value, the amount of any goodwill impairment charge, or both. The goodwill balance was $777.6 million as of January 1, 2022, of which $60.1 million was allocated to the Legacy Segment Reporting Unit. The fair value of the Legacy Segment Reporting Unit exceeded its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carrying value as of the measurement date and, therefore, no impairment was recognized. The Legacy Segment Reporting Unit’s operations are sensitive to customer concentration.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identified goodwill for the Legacy Segment Reporting Unit as a critical audit matter because of the significant judgments made by management to estimate the fair value of the reporting unit and the difference between its fair value and carrying value. This required a high degree of auditor judgment and an increased extent of effort, including the need to involve our fair value specialists, when performing audit procedures to evaluate the reasonableness of management’s estimates and assumptions related to selection of the discount rate, specifically due to the customer concentration within the reporting unit.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audit procedures related to the discount rate used by management to estimate the fair value of the Legacy Segment Reporting Unit included the following, among others:</w:t>
      </w:r>
    </w:p>
    <w:p>
      <w:pPr>
        <w:spacing w:after="0" w:line="62" w:lineRule="exact"/>
        <w:rPr>
          <w:sz w:val="20"/>
          <w:szCs w:val="20"/>
          <w:color w:val="auto"/>
        </w:rPr>
      </w:pPr>
    </w:p>
    <w:p>
      <w:pPr>
        <w:ind w:left="660" w:hanging="328"/>
        <w:spacing w:after="0" w:line="25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goodwill impairment evaluation, including those over the determination of the fair value and related to management’s selection of the discount rate.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(1) valuation methodology and (2) the selected discount rate by:</w:t>
      </w:r>
    </w:p>
    <w:p>
      <w:pPr>
        <w:ind w:left="980"/>
        <w:spacing w:after="0"/>
        <w:rPr>
          <w:rFonts w:ascii="Arial" w:cs="Arial" w:eastAsia="Arial" w:hAnsi="Arial"/>
          <w:sz w:val="18"/>
          <w:szCs w:val="18"/>
          <w:color w:val="auto"/>
        </w:rPr>
      </w:pPr>
      <w:r>
        <w:rPr>
          <w:rFonts w:ascii="Arial" w:cs="Arial" w:eastAsia="Arial" w:hAnsi="Arial"/>
          <w:sz w:val="17"/>
          <w:szCs w:val="17"/>
          <w:color w:val="auto"/>
        </w:rPr>
        <w:t>–   Testing the source information underlying the determination of the discount rate and the mathematical accuracy of the calculation.</w:t>
      </w:r>
    </w:p>
    <w:p>
      <w:pPr>
        <w:spacing w:after="0" w:line="2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Developing a range of independent estimates and comparing those to the discount rate selected by management.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FF"/>
            </w:tcBorders>
          </w:tcPr>
          <w:p>
            <w:pPr>
              <w:spacing w:after="0"/>
              <w:rPr>
                <w:sz w:val="24"/>
                <w:szCs w:val="24"/>
                <w:color w:val="auto"/>
              </w:rPr>
            </w:pPr>
          </w:p>
        </w:tc>
        <w:tc>
          <w:tcPr>
            <w:tcW w:w="7800" w:type="dxa"/>
            <w:vAlign w:val="bottom"/>
            <w:gridSpan w:val="4"/>
          </w:tcPr>
          <w:p>
            <w:pPr>
              <w:jc w:val="center"/>
              <w:ind w:left="81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520" w:type="dxa"/>
            <w:vAlign w:val="bottom"/>
          </w:tcPr>
          <w:p>
            <w:pPr>
              <w:jc w:val="center"/>
              <w:ind w:left="3070"/>
              <w:spacing w:after="0"/>
              <w:rPr>
                <w:sz w:val="20"/>
                <w:szCs w:val="20"/>
                <w:color w:val="auto"/>
              </w:rPr>
            </w:pPr>
            <w:r>
              <w:rPr>
                <w:rFonts w:ascii="Arial" w:cs="Arial" w:eastAsia="Arial" w:hAnsi="Arial"/>
                <w:sz w:val="18"/>
                <w:szCs w:val="18"/>
                <w:b w:val="1"/>
                <w:bCs w:val="1"/>
                <w:color w:val="auto"/>
                <w:w w:val="87"/>
              </w:rPr>
              <w:t>Consolidated Balance Sheets</w:t>
            </w:r>
          </w:p>
        </w:tc>
        <w:tc>
          <w:tcPr>
            <w:tcW w:w="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6000" w:type="dxa"/>
            <w:vAlign w:val="bottom"/>
            <w:gridSpan w:val="2"/>
          </w:tcPr>
          <w:p>
            <w:pPr>
              <w:jc w:val="center"/>
              <w:ind w:left="2590"/>
              <w:spacing w:after="0"/>
              <w:rPr>
                <w:sz w:val="20"/>
                <w:szCs w:val="20"/>
                <w:color w:val="auto"/>
              </w:rPr>
            </w:pPr>
            <w:r>
              <w:rPr>
                <w:rFonts w:ascii="Arial" w:cs="Arial" w:eastAsia="Arial" w:hAnsi="Arial"/>
                <w:sz w:val="18"/>
                <w:szCs w:val="18"/>
                <w:b w:val="1"/>
                <w:bCs w:val="1"/>
                <w:color w:val="auto"/>
                <w:w w:val="91"/>
              </w:rPr>
              <w:t>As of January 1, 2022 and January 2, 2021</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5520" w:type="dxa"/>
            <w:vAlign w:val="bottom"/>
          </w:tcPr>
          <w:p>
            <w:pPr>
              <w:jc w:val="center"/>
              <w:ind w:left="3070"/>
              <w:spacing w:after="0"/>
              <w:rPr>
                <w:sz w:val="20"/>
                <w:szCs w:val="20"/>
                <w:color w:val="auto"/>
              </w:rPr>
            </w:pPr>
            <w:r>
              <w:rPr>
                <w:rFonts w:ascii="Arial" w:cs="Arial" w:eastAsia="Arial" w:hAnsi="Arial"/>
                <w:sz w:val="18"/>
                <w:szCs w:val="18"/>
                <w:i w:val="1"/>
                <w:iCs w:val="1"/>
                <w:color w:val="auto"/>
                <w:w w:val="89"/>
              </w:rPr>
              <w:t>In Thousands, Except Par Value</w:t>
            </w: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8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480" w:type="dxa"/>
            <w:vAlign w:val="bottom"/>
          </w:tcPr>
          <w:p>
            <w:pPr>
              <w:spacing w:after="0"/>
              <w:rPr>
                <w:sz w:val="24"/>
                <w:szCs w:val="24"/>
                <w:color w:val="auto"/>
              </w:rPr>
            </w:pPr>
          </w:p>
        </w:tc>
        <w:tc>
          <w:tcPr>
            <w:tcW w:w="1800" w:type="dxa"/>
            <w:vAlign w:val="bottom"/>
            <w:gridSpan w:val="2"/>
          </w:tcPr>
          <w:p>
            <w:pPr>
              <w:jc w:val="center"/>
              <w:ind w:right="60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24"/>
                <w:szCs w:val="24"/>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135"/>
        </w:trPr>
        <w:tc>
          <w:tcPr>
            <w:tcW w:w="68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800" w:type="dxa"/>
            <w:vAlign w:val="bottom"/>
            <w:gridSpan w:val="2"/>
            <w:vMerge w:val="restart"/>
          </w:tcPr>
          <w:p>
            <w:pPr>
              <w:jc w:val="center"/>
              <w:ind w:right="600"/>
              <w:spacing w:after="0"/>
              <w:rPr>
                <w:sz w:val="20"/>
                <w:szCs w:val="20"/>
                <w:color w:val="auto"/>
              </w:rPr>
            </w:pPr>
            <w:r>
              <w:rPr>
                <w:rFonts w:ascii="Arial" w:cs="Arial" w:eastAsia="Arial" w:hAnsi="Arial"/>
                <w:sz w:val="18"/>
                <w:szCs w:val="18"/>
                <w:color w:val="auto"/>
                <w:w w:val="89"/>
              </w:rPr>
              <w:t>January 1, 2022</w:t>
            </w:r>
          </w:p>
        </w:tc>
        <w:tc>
          <w:tcPr>
            <w:tcW w:w="300" w:type="dxa"/>
            <w:vAlign w:val="bottom"/>
          </w:tcPr>
          <w:p>
            <w:pPr>
              <w:spacing w:after="0"/>
              <w:rPr>
                <w:sz w:val="11"/>
                <w:szCs w:val="11"/>
                <w:color w:val="auto"/>
              </w:rPr>
            </w:pPr>
          </w:p>
        </w:tc>
        <w:tc>
          <w:tcPr>
            <w:tcW w:w="1860" w:type="dxa"/>
            <w:vAlign w:val="bottom"/>
            <w:vMerge w:val="restart"/>
          </w:tcPr>
          <w:p>
            <w:pPr>
              <w:jc w:val="right"/>
              <w:ind w:right="41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95"/>
        </w:trPr>
        <w:tc>
          <w:tcPr>
            <w:tcW w:w="128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305,800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373,903</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57,989</w:t>
            </w:r>
          </w:p>
        </w:tc>
        <w:tc>
          <w:tcPr>
            <w:tcW w:w="0" w:type="dxa"/>
            <w:vAlign w:val="bottom"/>
          </w:tcPr>
          <w:p>
            <w:pPr>
              <w:spacing w:after="0"/>
              <w:rPr>
                <w:sz w:val="1"/>
                <w:szCs w:val="1"/>
                <w:color w:val="auto"/>
              </w:rPr>
            </w:pPr>
          </w:p>
        </w:tc>
      </w:tr>
      <w:tr>
        <w:trPr>
          <w:trHeight w:val="229"/>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123,669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111,274</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w:t>
            </w:r>
          </w:p>
        </w:tc>
        <w:tc>
          <w:tcPr>
            <w:tcW w:w="0" w:type="dxa"/>
            <w:vAlign w:val="bottom"/>
          </w:tcPr>
          <w:p>
            <w:pPr>
              <w:spacing w:after="0"/>
              <w:rPr>
                <w:sz w:val="1"/>
                <w:szCs w:val="1"/>
                <w:color w:val="auto"/>
              </w:rPr>
            </w:pPr>
          </w:p>
        </w:tc>
      </w:tr>
      <w:tr>
        <w:trPr>
          <w:trHeight w:val="223"/>
        </w:trPr>
        <w:tc>
          <w:tcPr>
            <w:tcW w:w="6800" w:type="dxa"/>
            <w:vAlign w:val="bottom"/>
            <w:gridSpan w:val="2"/>
          </w:tcPr>
          <w:p>
            <w:pPr>
              <w:ind w:left="480"/>
              <w:spacing w:after="0"/>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514,576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566,650</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346,436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341,293</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777,613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Trademarks and trade names</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29"/>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Other intangible assets, net</w:t>
            </w:r>
          </w:p>
        </w:tc>
        <w:tc>
          <w:tcPr>
            <w:tcW w:w="4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42,020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49,511</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Right of use assets</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340,141</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17,743</w:t>
            </w: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4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1,778,515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1,766,848</w:t>
            </w:r>
          </w:p>
        </w:tc>
        <w:tc>
          <w:tcPr>
            <w:tcW w:w="0" w:type="dxa"/>
            <w:vAlign w:val="bottom"/>
          </w:tcPr>
          <w:p>
            <w:pPr>
              <w:spacing w:after="0"/>
              <w:rPr>
                <w:sz w:val="1"/>
                <w:szCs w:val="1"/>
                <w:color w:val="auto"/>
              </w:rPr>
            </w:pPr>
          </w:p>
        </w:tc>
      </w:tr>
      <w:tr>
        <w:trPr>
          <w:trHeight w:val="223"/>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2,293,091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2,333,498</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64,861</w:t>
            </w:r>
          </w:p>
        </w:tc>
        <w:tc>
          <w:tcPr>
            <w:tcW w:w="0" w:type="dxa"/>
            <w:vAlign w:val="bottom"/>
          </w:tcPr>
          <w:p>
            <w:pPr>
              <w:spacing w:after="0"/>
              <w:rPr>
                <w:sz w:val="1"/>
                <w:szCs w:val="1"/>
                <w:color w:val="auto"/>
              </w:rPr>
            </w:pPr>
          </w:p>
        </w:tc>
      </w:tr>
      <w:tr>
        <w:trPr>
          <w:trHeight w:val="230"/>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Other payables and accrued expenses</w:t>
            </w:r>
          </w:p>
        </w:tc>
        <w:tc>
          <w:tcPr>
            <w:tcW w:w="4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119,323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110,309</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32,657</w:t>
            </w:r>
          </w:p>
        </w:tc>
        <w:tc>
          <w:tcPr>
            <w:tcW w:w="0" w:type="dxa"/>
            <w:vAlign w:val="bottom"/>
          </w:tcPr>
          <w:p>
            <w:pPr>
              <w:spacing w:after="0"/>
              <w:rPr>
                <w:sz w:val="1"/>
                <w:szCs w:val="1"/>
                <w:color w:val="auto"/>
              </w:rPr>
            </w:pPr>
          </w:p>
        </w:tc>
      </w:tr>
      <w:tr>
        <w:trPr>
          <w:trHeight w:val="229"/>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Deferred revenue</w:t>
            </w:r>
          </w:p>
        </w:tc>
        <w:tc>
          <w:tcPr>
            <w:tcW w:w="4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65,325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58,899</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Current operating lease obligations</w:t>
            </w:r>
          </w:p>
        </w:tc>
        <w:tc>
          <w:tcPr>
            <w:tcW w:w="4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58,356</w:t>
            </w: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328,680</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651,763</w:t>
            </w:r>
          </w:p>
        </w:tc>
        <w:tc>
          <w:tcPr>
            <w:tcW w:w="0" w:type="dxa"/>
            <w:vAlign w:val="bottom"/>
          </w:tcPr>
          <w:p>
            <w:pPr>
              <w:spacing w:after="0"/>
              <w:rPr>
                <w:sz w:val="1"/>
                <w:szCs w:val="1"/>
                <w:color w:val="auto"/>
              </w:rPr>
            </w:pPr>
          </w:p>
        </w:tc>
      </w:tr>
      <w:tr>
        <w:trPr>
          <w:trHeight w:val="230"/>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Non-current operating lease obligations</w:t>
            </w:r>
          </w:p>
        </w:tc>
        <w:tc>
          <w:tcPr>
            <w:tcW w:w="4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342,241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327,371</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Deferred revenue</w:t>
            </w:r>
          </w:p>
        </w:tc>
        <w:tc>
          <w:tcPr>
            <w:tcW w:w="4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23,166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20,828</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Deferred income taxes, net</w:t>
            </w:r>
          </w:p>
        </w:tc>
        <w:tc>
          <w:tcPr>
            <w:tcW w:w="4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80,939</w:t>
            </w: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non-current liabilities</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119,182</w:t>
            </w:r>
          </w:p>
        </w:tc>
        <w:tc>
          <w:tcPr>
            <w:tcW w:w="0" w:type="dxa"/>
            <w:vAlign w:val="bottom"/>
          </w:tcPr>
          <w:p>
            <w:pPr>
              <w:spacing w:after="0"/>
              <w:rPr>
                <w:sz w:val="1"/>
                <w:szCs w:val="1"/>
                <w:color w:val="auto"/>
              </w:rPr>
            </w:pPr>
          </w:p>
        </w:tc>
      </w:tr>
      <w:tr>
        <w:trPr>
          <w:trHeight w:val="230"/>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(See Note 11)</w:t>
            </w:r>
          </w:p>
        </w:tc>
        <w:tc>
          <w:tcPr>
            <w:tcW w:w="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0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4"/>
              </w:rPr>
              <w:t>Common stock, $0.01 par value; 200,000 shares authorized; 83,840 and 82,183 shares</w:t>
            </w:r>
          </w:p>
        </w:tc>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0"/>
              </w:rPr>
              <w:t>issued as of January 1, 2022 and January 2, 2021, respectively; 81,405 and 81,239 shares</w:t>
            </w:r>
          </w:p>
        </w:tc>
        <w:tc>
          <w:tcPr>
            <w:tcW w:w="48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outstanding as of January 1, 2022 and January 2, 2021, respectively</w:t>
            </w:r>
          </w:p>
        </w:tc>
        <w:tc>
          <w:tcPr>
            <w:tcW w:w="48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795,697</w:t>
            </w:r>
          </w:p>
        </w:tc>
        <w:tc>
          <w:tcPr>
            <w:tcW w:w="0" w:type="dxa"/>
            <w:vAlign w:val="bottom"/>
          </w:tcPr>
          <w:p>
            <w:pPr>
              <w:spacing w:after="0"/>
              <w:rPr>
                <w:sz w:val="1"/>
                <w:szCs w:val="1"/>
                <w:color w:val="auto"/>
              </w:rPr>
            </w:pPr>
          </w:p>
        </w:tc>
      </w:tr>
      <w:tr>
        <w:trPr>
          <w:trHeight w:val="230"/>
        </w:trPr>
        <w:tc>
          <w:tcPr>
            <w:tcW w:w="6800" w:type="dxa"/>
            <w:vAlign w:val="bottom"/>
            <w:gridSpan w:val="2"/>
          </w:tcPr>
          <w:p>
            <w:pPr>
              <w:ind w:left="22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142,880</w:t>
            </w:r>
          </w:p>
        </w:tc>
        <w:tc>
          <w:tcPr>
            <w:tcW w:w="0" w:type="dxa"/>
            <w:vAlign w:val="bottom"/>
          </w:tcPr>
          <w:p>
            <w:pPr>
              <w:spacing w:after="0"/>
              <w:rPr>
                <w:sz w:val="1"/>
                <w:szCs w:val="1"/>
                <w:color w:val="auto"/>
              </w:rPr>
            </w:pPr>
          </w:p>
        </w:tc>
      </w:tr>
      <w:tr>
        <w:trPr>
          <w:trHeight w:val="175"/>
        </w:trPr>
        <w:tc>
          <w:tcPr>
            <w:tcW w:w="680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1"/>
              </w:rPr>
              <w:t>Treasury stock, at cost; 2,435 and 944 shares as of January 1, 2022 and January 2, 2021,</w:t>
            </w:r>
          </w:p>
        </w:tc>
        <w:tc>
          <w:tcPr>
            <w:tcW w:w="48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(101,791)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(28,496)</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respectively</w:t>
            </w:r>
          </w:p>
        </w:tc>
        <w:tc>
          <w:tcPr>
            <w:tcW w:w="4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925,980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906,502</w:t>
            </w:r>
          </w:p>
        </w:tc>
        <w:tc>
          <w:tcPr>
            <w:tcW w:w="0" w:type="dxa"/>
            <w:vAlign w:val="bottom"/>
          </w:tcPr>
          <w:p>
            <w:pPr>
              <w:spacing w:after="0"/>
              <w:rPr>
                <w:sz w:val="1"/>
                <w:szCs w:val="1"/>
                <w:color w:val="auto"/>
              </w:rPr>
            </w:pPr>
          </w:p>
        </w:tc>
      </w:tr>
      <w:tr>
        <w:trPr>
          <w:trHeight w:val="223"/>
        </w:trPr>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2,293,091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2,333,498</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2021 includes 52 weeks. Fiscal year 2020 includes 53 weeks.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For the Years Ended January 1, 2022, January 2, 2021 and December 28, 2019</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2021</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2019</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Net product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1,718,344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1,418,283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1,426,136</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sales of 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298,195</w:t>
            </w:r>
          </w:p>
        </w:tc>
      </w:tr>
      <w:tr>
        <w:trPr>
          <w:trHeight w:val="223"/>
        </w:trPr>
        <w:tc>
          <w:tcPr>
            <w:tcW w:w="5940" w:type="dxa"/>
            <w:vAlign w:val="bottom"/>
          </w:tcPr>
          <w:p>
            <w:pPr>
              <w:ind w:left="340"/>
              <w:spacing w:after="0"/>
              <w:rPr>
                <w:sz w:val="20"/>
                <w:szCs w:val="20"/>
                <w:color w:val="auto"/>
              </w:rPr>
            </w:pPr>
            <w:r>
              <w:rPr>
                <w:rFonts w:ascii="Arial" w:cs="Arial" w:eastAsia="Arial" w:hAnsi="Arial"/>
                <w:sz w:val="18"/>
                <w:szCs w:val="18"/>
                <w:color w:val="auto"/>
              </w:rPr>
              <w:t>Total net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2,079,525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1,711,760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1,724,331</w:t>
            </w: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Costs applicable to revenue (exclusive of 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633,116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551,783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574,351</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232,168</w:t>
            </w:r>
          </w:p>
        </w:tc>
      </w:tr>
      <w:tr>
        <w:trPr>
          <w:trHeight w:val="223"/>
        </w:trPr>
        <w:tc>
          <w:tcPr>
            <w:tcW w:w="5940" w:type="dxa"/>
            <w:vAlign w:val="bottom"/>
          </w:tcPr>
          <w:p>
            <w:pPr>
              <w:ind w:left="340"/>
              <w:spacing w:after="0"/>
              <w:rPr>
                <w:sz w:val="20"/>
                <w:szCs w:val="20"/>
                <w:color w:val="auto"/>
              </w:rPr>
            </w:pPr>
            <w:r>
              <w:rPr>
                <w:rFonts w:ascii="Arial" w:cs="Arial" w:eastAsia="Arial" w:hAnsi="Arial"/>
                <w:sz w:val="18"/>
                <w:szCs w:val="18"/>
                <w:color w:val="auto"/>
              </w:rPr>
              <w:t>Total costs applicable to revenue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904,779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786,624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806,519</w:t>
            </w: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900,798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724,985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744,488</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87,244</w:t>
            </w: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Asset impairment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22,004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8,894</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r>
      <w:tr>
        <w:trPr>
          <w:trHeight w:val="223"/>
        </w:trPr>
        <w:tc>
          <w:tcPr>
            <w:tcW w:w="5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999,809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844,237</w:t>
            </w:r>
          </w:p>
        </w:tc>
      </w:tr>
      <w:tr>
        <w:trPr>
          <w:trHeight w:val="223"/>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73,575</w:t>
            </w: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25,612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48,327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33,300</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149,325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38,680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30,489</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128,244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32,798</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5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29"/>
        </w:trPr>
        <w:tc>
          <w:tcPr>
            <w:tcW w:w="594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78,608</w:t>
            </w: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96,134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82,793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81,683</w:t>
            </w:r>
          </w:p>
        </w:tc>
      </w:tr>
      <w:tr>
        <w:trPr>
          <w:trHeight w:val="216"/>
        </w:trPr>
        <w:tc>
          <w:tcPr>
            <w:tcW w:w="5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32,798</w:t>
            </w: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Unrealized gain (loss) on hedge instruments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(1,350)</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provision (benefit) of unrealized gain (loss) on hedge instruments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130,704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31,794</w:t>
            </w:r>
          </w:p>
        </w:tc>
      </w:tr>
      <w:tr>
        <w:trPr>
          <w:trHeight w:val="21"/>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years 2021 and 2019 include 52 weeks. Fiscal year 2020 includes 53 weeks.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 xml:space="preserve">National Vision Holdings, Inc. and Subsidiaries Consolidated Statements of Stockholders’ Equity For the Years Ended January 1, 2022, January 2, 2021 and December 28, 2019 </w:t>
      </w:r>
      <w:r>
        <w:rPr>
          <w:rFonts w:ascii="Arial" w:cs="Arial" w:eastAsia="Arial" w:hAnsi="Arial"/>
          <w:sz w:val="18"/>
          <w:szCs w:val="18"/>
          <w:i w:val="1"/>
          <w:iCs w:val="1"/>
          <w:color w:val="auto"/>
        </w:rPr>
        <w:t>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680" w:type="dxa"/>
            <w:vAlign w:val="bottom"/>
            <w:gridSpan w:val="3"/>
          </w:tcPr>
          <w:p>
            <w:pPr>
              <w:jc w:val="right"/>
              <w:ind w:right="19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restart"/>
          </w:tcPr>
          <w:p>
            <w:pPr>
              <w:jc w:val="center"/>
              <w:ind w:right="70"/>
              <w:spacing w:after="0" w:line="176" w:lineRule="exact"/>
              <w:rPr>
                <w:sz w:val="20"/>
                <w:szCs w:val="20"/>
                <w:color w:val="auto"/>
              </w:rPr>
            </w:pPr>
            <w:r>
              <w:rPr>
                <w:rFonts w:ascii="Arial" w:cs="Arial" w:eastAsia="Arial" w:hAnsi="Arial"/>
                <w:sz w:val="18"/>
                <w:szCs w:val="18"/>
                <w:color w:val="auto"/>
                <w:w w:val="98"/>
              </w:rPr>
              <w:t>Additional</w:t>
            </w:r>
          </w:p>
        </w:tc>
        <w:tc>
          <w:tcPr>
            <w:tcW w:w="120" w:type="dxa"/>
            <w:vAlign w:val="bottom"/>
          </w:tcPr>
          <w:p>
            <w:pPr>
              <w:spacing w:after="0"/>
              <w:rPr>
                <w:sz w:val="4"/>
                <w:szCs w:val="4"/>
                <w:color w:val="auto"/>
              </w:rPr>
            </w:pPr>
          </w:p>
        </w:tc>
        <w:tc>
          <w:tcPr>
            <w:tcW w:w="1320" w:type="dxa"/>
            <w:vAlign w:val="bottom"/>
            <w:vMerge w:val="restart"/>
          </w:tcPr>
          <w:p>
            <w:pPr>
              <w:jc w:val="center"/>
              <w:ind w:right="10"/>
              <w:spacing w:after="0" w:line="176" w:lineRule="exact"/>
              <w:rPr>
                <w:sz w:val="20"/>
                <w:szCs w:val="20"/>
                <w:color w:val="auto"/>
              </w:rPr>
            </w:pPr>
            <w:r>
              <w:rPr>
                <w:rFonts w:ascii="Arial" w:cs="Arial" w:eastAsia="Arial" w:hAnsi="Arial"/>
                <w:sz w:val="18"/>
                <w:szCs w:val="18"/>
                <w:color w:val="auto"/>
                <w:w w:val="93"/>
              </w:rPr>
              <w:t>Other</w:t>
            </w:r>
          </w:p>
        </w:tc>
        <w:tc>
          <w:tcPr>
            <w:tcW w:w="200" w:type="dxa"/>
            <w:vAlign w:val="bottom"/>
          </w:tcPr>
          <w:p>
            <w:pPr>
              <w:spacing w:after="0"/>
              <w:rPr>
                <w:sz w:val="4"/>
                <w:szCs w:val="4"/>
                <w:color w:val="auto"/>
              </w:rPr>
            </w:pPr>
          </w:p>
        </w:tc>
        <w:tc>
          <w:tcPr>
            <w:tcW w:w="108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Retained</w:t>
            </w:r>
          </w:p>
        </w:tc>
        <w:tc>
          <w:tcPr>
            <w:tcW w:w="140" w:type="dxa"/>
            <w:vAlign w:val="bottom"/>
          </w:tcPr>
          <w:p>
            <w:pPr>
              <w:spacing w:after="0"/>
              <w:rPr>
                <w:sz w:val="4"/>
                <w:szCs w:val="4"/>
                <w:color w:val="auto"/>
              </w:rPr>
            </w:pPr>
          </w:p>
        </w:tc>
        <w:tc>
          <w:tcPr>
            <w:tcW w:w="860" w:type="dxa"/>
            <w:vAlign w:val="bottom"/>
            <w:vMerge w:val="restart"/>
          </w:tcPr>
          <w:p>
            <w:pPr>
              <w:jc w:val="right"/>
              <w:ind w:right="90"/>
              <w:spacing w:after="0"/>
              <w:rPr>
                <w:sz w:val="20"/>
                <w:szCs w:val="20"/>
                <w:color w:val="auto"/>
              </w:rPr>
            </w:pPr>
            <w:r>
              <w:rPr>
                <w:rFonts w:ascii="Arial" w:cs="Arial" w:eastAsia="Arial" w:hAnsi="Arial"/>
                <w:sz w:val="18"/>
                <w:szCs w:val="18"/>
                <w:color w:val="auto"/>
                <w:w w:val="92"/>
              </w:rPr>
              <w:t>Treasury</w:t>
            </w:r>
          </w:p>
        </w:tc>
        <w:tc>
          <w:tcPr>
            <w:tcW w:w="120" w:type="dxa"/>
            <w:vAlign w:val="bottom"/>
          </w:tcPr>
          <w:p>
            <w:pPr>
              <w:spacing w:after="0"/>
              <w:rPr>
                <w:sz w:val="4"/>
                <w:szCs w:val="4"/>
                <w:color w:val="auto"/>
              </w:rPr>
            </w:pPr>
          </w:p>
        </w:tc>
        <w:tc>
          <w:tcPr>
            <w:tcW w:w="1160" w:type="dxa"/>
            <w:vAlign w:val="bottom"/>
            <w:vMerge w:val="restart"/>
          </w:tcPr>
          <w:p>
            <w:pPr>
              <w:jc w:val="right"/>
              <w:ind w:right="390"/>
              <w:spacing w:after="0" w:line="176"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02"/>
        </w:trPr>
        <w:tc>
          <w:tcPr>
            <w:tcW w:w="3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840" w:type="dxa"/>
            <w:vAlign w:val="bottom"/>
            <w:vMerge w:val="restart"/>
          </w:tcPr>
          <w:p>
            <w:pPr>
              <w:jc w:val="right"/>
              <w:ind w:right="9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5"/>
                <w:szCs w:val="15"/>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4"/>
              </w:rPr>
              <w:t>Paid-In</w:t>
            </w:r>
          </w:p>
        </w:tc>
        <w:tc>
          <w:tcPr>
            <w:tcW w:w="120" w:type="dxa"/>
            <w:vAlign w:val="bottom"/>
          </w:tcPr>
          <w:p>
            <w:pPr>
              <w:spacing w:after="0"/>
              <w:rPr>
                <w:sz w:val="15"/>
                <w:szCs w:val="15"/>
                <w:color w:val="auto"/>
              </w:rPr>
            </w:pPr>
          </w:p>
        </w:tc>
        <w:tc>
          <w:tcPr>
            <w:tcW w:w="13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8"/>
              </w:rPr>
              <w:t>Comprehensive</w:t>
            </w:r>
          </w:p>
        </w:tc>
        <w:tc>
          <w:tcPr>
            <w:tcW w:w="2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70"/>
              <w:spacing w:after="0" w:line="176" w:lineRule="exact"/>
              <w:rPr>
                <w:sz w:val="20"/>
                <w:szCs w:val="20"/>
                <w:color w:val="auto"/>
              </w:rPr>
            </w:pPr>
            <w:r>
              <w:rPr>
                <w:rFonts w:ascii="Arial" w:cs="Arial" w:eastAsia="Arial" w:hAnsi="Arial"/>
                <w:sz w:val="18"/>
                <w:szCs w:val="18"/>
                <w:color w:val="auto"/>
                <w:w w:val="90"/>
              </w:rPr>
              <w:t>Stockholders’</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Capital</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Loss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Earnings</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Stock</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29, 2018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743,154</w:t>
            </w:r>
          </w:p>
        </w:tc>
        <w:tc>
          <w:tcPr>
            <w:tcW w:w="0" w:type="dxa"/>
            <w:vAlign w:val="bottom"/>
          </w:tcPr>
          <w:p>
            <w:pPr>
              <w:spacing w:after="0"/>
              <w:rPr>
                <w:sz w:val="1"/>
                <w:szCs w:val="1"/>
                <w:color w:val="auto"/>
              </w:rPr>
            </w:pPr>
          </w:p>
        </w:tc>
      </w:tr>
      <w:tr>
        <w:trPr>
          <w:trHeight w:val="175"/>
        </w:trPr>
        <w:tc>
          <w:tcPr>
            <w:tcW w:w="3500" w:type="dxa"/>
            <w:vAlign w:val="bottom"/>
          </w:tcPr>
          <w:p>
            <w:pPr>
              <w:ind w:left="140"/>
              <w:spacing w:after="0" w:line="176" w:lineRule="exact"/>
              <w:rPr>
                <w:sz w:val="20"/>
                <w:szCs w:val="20"/>
                <w:color w:val="auto"/>
              </w:rPr>
            </w:pPr>
            <w:r>
              <w:rPr>
                <w:rFonts w:ascii="Arial" w:cs="Arial" w:eastAsia="Arial" w:hAnsi="Arial"/>
                <w:sz w:val="18"/>
                <w:szCs w:val="18"/>
                <w:color w:val="auto"/>
                <w:w w:val="99"/>
              </w:rPr>
              <w:t>Cumulative effect of change in accounting</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principle</w:t>
            </w: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Balances at December 30, 2018 - as adjusted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672,503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74,334</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742,648</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Issuance of common stock</w:t>
            </w:r>
          </w:p>
        </w:tc>
        <w:tc>
          <w:tcPr>
            <w:tcW w:w="840" w:type="dxa"/>
            <w:vAlign w:val="bottom"/>
          </w:tcPr>
          <w:p>
            <w:pPr>
              <w:jc w:val="right"/>
              <w:spacing w:after="0"/>
              <w:rPr>
                <w:sz w:val="20"/>
                <w:szCs w:val="20"/>
                <w:color w:val="auto"/>
              </w:rPr>
            </w:pPr>
            <w:r>
              <w:rPr>
                <w:rFonts w:ascii="Arial" w:cs="Arial" w:eastAsia="Arial" w:hAnsi="Arial"/>
                <w:sz w:val="18"/>
                <w:szCs w:val="18"/>
                <w:color w:val="auto"/>
              </w:rPr>
              <w:t>2,357</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15,067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15,090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Purchase of treasury stock</w:t>
            </w:r>
          </w:p>
        </w:tc>
        <w:tc>
          <w:tcPr>
            <w:tcW w:w="84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(25,646)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(25,646)</w:t>
            </w: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Unrealized gain (loss) on hedge instruments,</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 tax</w:t>
            </w: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32,798</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32,798</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28,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700,121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107,132</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776,437</w:t>
            </w:r>
          </w:p>
        </w:tc>
        <w:tc>
          <w:tcPr>
            <w:tcW w:w="0" w:type="dxa"/>
            <w:vAlign w:val="bottom"/>
          </w:tcPr>
          <w:p>
            <w:pPr>
              <w:spacing w:after="0"/>
              <w:rPr>
                <w:sz w:val="1"/>
                <w:szCs w:val="1"/>
                <w:color w:val="auto"/>
              </w:rPr>
            </w:pPr>
          </w:p>
        </w:tc>
      </w:tr>
      <w:tr>
        <w:trPr>
          <w:trHeight w:val="176"/>
        </w:trPr>
        <w:tc>
          <w:tcPr>
            <w:tcW w:w="3500" w:type="dxa"/>
            <w:vAlign w:val="bottom"/>
          </w:tcPr>
          <w:p>
            <w:pPr>
              <w:ind w:left="140"/>
              <w:spacing w:after="0" w:line="176" w:lineRule="exact"/>
              <w:rPr>
                <w:sz w:val="20"/>
                <w:szCs w:val="20"/>
                <w:color w:val="auto"/>
              </w:rPr>
            </w:pPr>
            <w:r>
              <w:rPr>
                <w:rFonts w:ascii="Arial" w:cs="Arial" w:eastAsia="Arial" w:hAnsi="Arial"/>
                <w:sz w:val="18"/>
                <w:szCs w:val="18"/>
                <w:color w:val="auto"/>
                <w:w w:val="99"/>
              </w:rPr>
              <w:t>Cumulative effect of change in accounting</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principle</w:t>
            </w: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Balances at December 29, 2019 - as adjusted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700,121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106,603</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775,908</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Issuance of common stock</w:t>
            </w:r>
          </w:p>
        </w:tc>
        <w:tc>
          <w:tcPr>
            <w:tcW w:w="840" w:type="dxa"/>
            <w:vAlign w:val="bottom"/>
          </w:tcPr>
          <w:p>
            <w:pPr>
              <w:jc w:val="right"/>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13,575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13,591</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Purchase of treasury stock</w:t>
            </w: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Conversion option related to convertible</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71,385</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71,385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senior notes, net of allocated costs and tax</w:t>
            </w: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140"/>
              <w:spacing w:after="0" w:line="176" w:lineRule="exact"/>
              <w:rPr>
                <w:sz w:val="20"/>
                <w:szCs w:val="20"/>
                <w:color w:val="auto"/>
              </w:rPr>
            </w:pPr>
            <w:r>
              <w:rPr>
                <w:rFonts w:ascii="Arial" w:cs="Arial" w:eastAsia="Arial" w:hAnsi="Arial"/>
                <w:sz w:val="18"/>
                <w:szCs w:val="18"/>
                <w:color w:val="auto"/>
                <w:w w:val="93"/>
              </w:rPr>
              <w:t>Unrealized gain (loss) on hedge instruments,</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Balances at January 2, 2021</w:t>
            </w:r>
          </w:p>
        </w:tc>
        <w:tc>
          <w:tcPr>
            <w:tcW w:w="840" w:type="dxa"/>
            <w:vAlign w:val="bottom"/>
          </w:tcPr>
          <w:p>
            <w:pPr>
              <w:jc w:val="right"/>
              <w:spacing w:after="0"/>
              <w:rPr>
                <w:sz w:val="20"/>
                <w:szCs w:val="20"/>
                <w:color w:val="auto"/>
              </w:rPr>
            </w:pPr>
            <w:r>
              <w:rPr>
                <w:rFonts w:ascii="Arial" w:cs="Arial" w:eastAsia="Arial" w:hAnsi="Arial"/>
                <w:sz w:val="18"/>
                <w:szCs w:val="18"/>
                <w:color w:val="auto"/>
              </w:rPr>
              <w:t>81,239</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795,697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(4,400)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142,880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(28,496)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906,502</w:t>
            </w: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Cumulative effect of change in accounting</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(71,385)</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7,271</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(64,114)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principle</w:t>
            </w: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Balances at January 3, 2021 - as adjusted</w:t>
            </w:r>
          </w:p>
        </w:tc>
        <w:tc>
          <w:tcPr>
            <w:tcW w:w="840" w:type="dxa"/>
            <w:vAlign w:val="bottom"/>
          </w:tcPr>
          <w:p>
            <w:pPr>
              <w:jc w:val="right"/>
              <w:spacing w:after="0"/>
              <w:rPr>
                <w:sz w:val="20"/>
                <w:szCs w:val="20"/>
                <w:color w:val="auto"/>
              </w:rPr>
            </w:pPr>
            <w:r>
              <w:rPr>
                <w:rFonts w:ascii="Arial" w:cs="Arial" w:eastAsia="Arial" w:hAnsi="Arial"/>
                <w:sz w:val="18"/>
                <w:szCs w:val="18"/>
                <w:color w:val="auto"/>
              </w:rPr>
              <w:t>81,239</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724,312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(4,400)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150,151</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(28,496)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842,388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11,482</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Stock based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14,701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14,701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treasury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(73,295)</w:t>
            </w:r>
          </w:p>
        </w:tc>
        <w:tc>
          <w:tcPr>
            <w:tcW w:w="0" w:type="dxa"/>
            <w:vAlign w:val="bottom"/>
          </w:tcPr>
          <w:p>
            <w:pPr>
              <w:spacing w:after="0"/>
              <w:rPr>
                <w:sz w:val="1"/>
                <w:szCs w:val="1"/>
                <w:color w:val="auto"/>
              </w:rPr>
            </w:pPr>
          </w:p>
        </w:tc>
      </w:tr>
      <w:tr>
        <w:trPr>
          <w:trHeight w:val="175"/>
        </w:trPr>
        <w:tc>
          <w:tcPr>
            <w:tcW w:w="3500" w:type="dxa"/>
            <w:vAlign w:val="bottom"/>
          </w:tcPr>
          <w:p>
            <w:pPr>
              <w:ind w:left="140"/>
              <w:spacing w:after="0" w:line="176" w:lineRule="exact"/>
              <w:rPr>
                <w:sz w:val="20"/>
                <w:szCs w:val="20"/>
                <w:color w:val="auto"/>
              </w:rPr>
            </w:pPr>
            <w:r>
              <w:rPr>
                <w:rFonts w:ascii="Arial" w:cs="Arial" w:eastAsia="Arial" w:hAnsi="Arial"/>
                <w:sz w:val="18"/>
                <w:szCs w:val="18"/>
                <w:color w:val="auto"/>
                <w:w w:val="93"/>
              </w:rPr>
              <w:t>Unrealized gain (loss) on hedge instruments,</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2,460</w:t>
            </w: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128,244</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128,244</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Balances at January 1, 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81,405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750,478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278,395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(101,791)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925,980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years 2021 and 2019 include 52 weeks. Fiscal year 2020 includes 53 weeks.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 xml:space="preserve">National Vision Holdings, Inc. and Subsidiaries Consolidated Statements of Cash Flows For the Years Ended January 1, 2022, January 2, 2021 and December 28, 2019 </w:t>
      </w:r>
      <w:r>
        <w:rPr>
          <w:rFonts w:ascii="Arial" w:cs="Arial" w:eastAsia="Arial" w:hAnsi="Arial"/>
          <w:sz w:val="18"/>
          <w:szCs w:val="18"/>
          <w:i w:val="1"/>
          <w:iCs w:val="1"/>
          <w:color w:val="auto"/>
        </w:rPr>
        <w:t>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color w:val="auto"/>
              </w:rPr>
              <w:t>Fiscal Year 2021</w:t>
            </w: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color w:val="auto"/>
              </w:rPr>
              <w:t>Fiscal Year 2020</w:t>
            </w:r>
          </w:p>
        </w:tc>
        <w:tc>
          <w:tcPr>
            <w:tcW w:w="160" w:type="dxa"/>
            <w:vAlign w:val="bottom"/>
          </w:tcPr>
          <w:p>
            <w:pPr>
              <w:spacing w:after="0"/>
              <w:rPr>
                <w:sz w:val="18"/>
                <w:szCs w:val="18"/>
                <w:color w:val="auto"/>
              </w:rPr>
            </w:pPr>
          </w:p>
        </w:tc>
        <w:tc>
          <w:tcPr>
            <w:tcW w:w="1400" w:type="dxa"/>
            <w:vAlign w:val="bottom"/>
          </w:tcPr>
          <w:p>
            <w:pPr>
              <w:jc w:val="right"/>
              <w:ind w:right="159"/>
              <w:spacing w:after="0"/>
              <w:rPr>
                <w:sz w:val="20"/>
                <w:szCs w:val="20"/>
                <w:color w:val="auto"/>
              </w:rPr>
            </w:pPr>
            <w:r>
              <w:rPr>
                <w:rFonts w:ascii="Arial" w:cs="Arial" w:eastAsia="Arial" w:hAnsi="Arial"/>
                <w:sz w:val="16"/>
                <w:szCs w:val="16"/>
                <w:color w:val="auto"/>
                <w:w w:val="94"/>
              </w:rPr>
              <w:t>Fiscal Year 2019</w:t>
            </w:r>
          </w:p>
        </w:tc>
      </w:tr>
      <w:tr>
        <w:trPr>
          <w:trHeight w:val="19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128,244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36,277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32,798</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97,089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91,585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87,244</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22,004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8,894</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expense (benefit)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Stock based compensation expense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14,886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10,740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12,670</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Losses (gains) on change in fair value of derivatives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Inventory adjustments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4,352</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9,786</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16,078</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(13,697)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(6,925)</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(15,886)</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Operating lease right of use assets and liabilities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(716)</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5,939</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24,079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(2,860)</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and unearned revenue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5,829</w:t>
            </w:r>
          </w:p>
        </w:tc>
      </w:tr>
      <w:tr>
        <w:trPr>
          <w:trHeight w:val="213"/>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26,539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8,967</w:t>
            </w: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258,938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234,981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165,081</w:t>
            </w:r>
          </w:p>
        </w:tc>
      </w:tr>
      <w:tr>
        <w:trPr>
          <w:trHeight w:val="193"/>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property and equipment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(101,325)</w:t>
            </w:r>
          </w:p>
        </w:tc>
      </w:tr>
      <w:tr>
        <w:trPr>
          <w:trHeight w:val="213"/>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for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(92,897)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(76,410)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(100,631)</w:t>
            </w:r>
          </w:p>
        </w:tc>
      </w:tr>
      <w:tr>
        <w:trPr>
          <w:trHeight w:val="193"/>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Borrowings on long-term debt, net of discounts</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548,769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566,550</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Repayments on long-term debt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(167,375)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(369,269)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(591,925)</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14,767</w:t>
            </w:r>
          </w:p>
        </w:tc>
      </w:tr>
      <w:tr>
        <w:trPr>
          <w:trHeight w:val="213"/>
        </w:trPr>
        <w:tc>
          <w:tcPr>
            <w:tcW w:w="6320" w:type="dxa"/>
            <w:vAlign w:val="bottom"/>
          </w:tcPr>
          <w:p>
            <w:pPr>
              <w:ind w:left="220"/>
              <w:spacing w:after="0"/>
              <w:rPr>
                <w:sz w:val="20"/>
                <w:szCs w:val="20"/>
                <w:color w:val="auto"/>
              </w:rPr>
            </w:pPr>
            <w:r>
              <w:rPr>
                <w:rFonts w:ascii="Arial" w:cs="Arial" w:eastAsia="Arial" w:hAnsi="Arial"/>
                <w:sz w:val="16"/>
                <w:szCs w:val="16"/>
                <w:color w:val="auto"/>
              </w:rPr>
              <w:t>Purchase of treasury stock</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(73,295)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(25,646)</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(2,930)</w:t>
            </w:r>
          </w:p>
        </w:tc>
      </w:tr>
      <w:tr>
        <w:trPr>
          <w:trHeight w:val="213"/>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Payments on finance lease obligations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w:t>
            </w:r>
          </w:p>
        </w:tc>
      </w:tr>
      <w:tr>
        <w:trPr>
          <w:trHeight w:val="21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for)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(234,324)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176,281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(42,141)</w:t>
            </w:r>
          </w:p>
        </w:tc>
      </w:tr>
      <w:tr>
        <w:trPr>
          <w:trHeight w:val="206"/>
        </w:trPr>
        <w:tc>
          <w:tcPr>
            <w:tcW w:w="632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(68,283)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334,852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22,309</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375,159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17,998</w:t>
            </w:r>
          </w:p>
        </w:tc>
      </w:tr>
      <w:tr>
        <w:trPr>
          <w:trHeight w:val="206"/>
        </w:trPr>
        <w:tc>
          <w:tcPr>
            <w:tcW w:w="63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306,876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375,159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40,307</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6"/>
        </w:trPr>
        <w:tc>
          <w:tcPr>
            <w:tcW w:w="6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33,935</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Cash paid for taxes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10,428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684</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accrued at the end of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9,059</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years 2021 and 2019 include 52 weeks. Fiscal year 2020 includes 53 weeks.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National Vision Holdings, Inc. (“NVHI,” the “Company,” “we,” “our,” or “us”) is a holding company whose operating subsidiaries include its indirect wholly owned subsidiary, National Vision, Inc. (“NVI”) and NVI’s direct wholly owned subsidiaries. We are a leading value retailer of eyeglasses and contact lenses in the United States. We operated 1,278 and 1,205 retail optical locations in the United States and its territories as of the fiscal years ended January 1, 2022 and January 2, 2021, respectively, through our five store brands, including America’s Best Contacts and Eyeglasses (“America’s Best”), Eyeglass World, Vista Optical locations on select U.S. Army/Air Force military bases (“Military”) and within select Fred Meyer stores, and our management &amp; services arrangement with Walmart (“Legacy”).</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sell contact lenses and optical accessory products to retail customers through proprietary retail web sites and web sites on behalf of certain independent retailers and insurance companies. We also distribute contact lenses to Walmart and Sam’s Club store locations.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operate a specialized health maintenance organization (“HMO”) that is licensed as a single-service health plan under California law. The HMO issues individual vision plans in connection with our America’s Best operations in California, and provides, or arranges for the provision of, optometric services at the offices next to certain Walmart stores throughout California.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operate on a retail fiscal calendar that results in a given fiscal year consisting of a 52- or 53-week period ending on the Saturday closest to December</w:t>
      </w:r>
    </w:p>
    <w:p>
      <w:pPr>
        <w:spacing w:after="0" w:line="46" w:lineRule="exact"/>
        <w:rPr>
          <w:sz w:val="20"/>
          <w:szCs w:val="20"/>
          <w:color w:val="auto"/>
        </w:rPr>
      </w:pPr>
    </w:p>
    <w:p>
      <w:pPr>
        <w:ind w:left="300" w:hanging="292"/>
        <w:spacing w:after="0"/>
        <w:tabs>
          <w:tab w:leader="none" w:pos="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a 52-week fiscal year, each quarter contains 13 weeks of operations; in a 53-week fiscal year, each of the first, second and third quarters include</w:t>
      </w:r>
    </w:p>
    <w:p>
      <w:pPr>
        <w:spacing w:after="0" w:line="32" w:lineRule="exact"/>
        <w:rPr>
          <w:rFonts w:ascii="Arial" w:cs="Arial" w:eastAsia="Arial" w:hAnsi="Arial"/>
          <w:sz w:val="16"/>
          <w:szCs w:val="16"/>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weeks of operations and the fourth quarter includes 14 weeks of operations.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References herein to “fiscal year 2021,” and “fiscal year 2019,” relate to the 52 weeks ended January 1, 2022 and December 28, 2019, respectively, and references to “fiscal year 2020,” relate to the 53 weeks ended January 2, 2021. Unless otherwise stated, references to years in this report relate to fiscal years rather than calendar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The consolidated financial statements include our accounts and those of our subsidiaries, all of which are wholly-owned. All intercompany balances and transactions have been eliminated in consolidation. Certain fiscal year 2020 and fiscal year 2019 amounts within the Consolidated Statements of Cash Flows, Consolidated Statements of Operations and footnotes to the financial statements have been reclassified to conform to the fiscal year 2021 presentation.</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consolidated certain entities meeting the definition of a variable interest entity (“VIE”) as the Company concluded that it is the primary beneficiary of the entities under the provisions of Accounting Standards Codification 810, Consolidation. At January 1, 2022, the variable interest entities include 30 professional corporations. The total assets of the consolidated VIEs included in the accompanying Consolidated Balance Sheets as of year-end 2021 and 2020, were $6.0 million and $5.9 million, respectively, and the total liabilities of the consolidated VIEs were $6.8 million and $11.4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Public Offerings and Share Repurchases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7, 2019, the Company entered into an Underwriting Agreement by and among the Company, KKR Vision Aggregator L.P. (the “Selling Stockholder”), and Goldman Sachs &amp; Co. LLC, as underwriter (the “Underwriter”), relating to an underwritten offering of 9,149,908 shares of the Company’s common stock, par value $0.01 per share. The offering was completed on August 12, 2019. In connection with the offering, our Board of Directors authorized, and the Company completed, a repurchase of 819,134 shares out of the 9,149,908 shares of common stock subject to the offering from the Underwriter at $30.52 per share, which was the price the Underwriter purchased the shares from the Selling Stockholder in the offering. The Company did not receive any proceeds from the offering. As a result of this underwritten offering and concurrent share repurchase, the Selling Stockholder no longer owned any shares of our common stock.</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secondary offering constituted a vesting event whereby a final portion of the performance-based options vested and the remaining portion of unvested performance options awarded under the 2014 Stock Incentive Plan was forfeited. As a result of the offering, we incurred $4.2 million of non-cash stock-based compensation expense and additionally recorded $2.8 million in long-term cash incentive compensation expense and $0.4 million in offering related SG&amp;A expenses for fiscal year 2019.</w:t>
      </w:r>
    </w:p>
    <w:p>
      <w:pPr>
        <w:spacing w:after="0" w:line="6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Effective November 8, 2021, the Company's Board of Directors authorized the Company to repurchase up to $50 million aggregate amount of shares of the Company's common stock. On November 29, 2021, the Company’s Board of Directors authorized an increase from $50 million to $100 million in aggregate amount of shares of the Company’s common stock that may be repurchased under the Company’s current share repurchase program. On February 23, 2022, our Board of Directors authorized a $100 million increase to the share repurchase authorization, for a total authorization of $200 million. Repurchases may be made from time to time in the Company’s discretion through one or more open market or privately negotiated transactions, and pursuant to pre-set trading plans meeting the requirements of all applicable securities laws and regulations. Shares may be repurchased under the program through December 30, 2023. The timing and amounts of any such repurchases will depend on a variety of factors, including the market price of the Company’s shares and general market and economic conditions. The Company expects to fund the share repurchases using cash on hand. During fiscal year 2021, the Company repurchased 1.4 million shares of its common stock for $69.9 million under the share repurchase program. After</w:t>
      </w:r>
    </w:p>
    <w:p>
      <w:pPr>
        <w:spacing w:after="0" w:line="4"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these repurchases, $130 million remains available under the share repurchase authorization. Repurchased shares are reflected in Treasury stock on the Consolidated Balance Sheets.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year 2019, KKR Capital Markets LLC acted as a lead arranger with respect to debt issuance and refinancing transactions, and received $1.0 million in fees, in connection therewith.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27, 2020, the Coronavirus Aid, Relief, and Economic Security (“CARES”) Act was enacted in response to the COVID-19 pandemic. The CARES Act, among other things, accelerates a company’s ability to recover Alternative Minimum Tax (“AMT”) refundable credits that otherwise could have been claimed in 2020 and 2021, to 2018 and 2019, with an option to elect recovery of the full credit amount for 2018. The Company has elected to apply the AMT refundable credit provision of the CARES Act and has reclassified $1.3 million of AMT credits from Deferred income taxes, net as of December 28, 2019 to Prepaid expenses and other assets as of January 2, 2021. The CARES Act also includes a technical correction wherein qualified improvement property placed in service in 2018 and after is eligible for 100% bonus depreciation. This provision of the CARES Act resulted in an increase in our NOL carry-forwards with an offsetting increase in our gross deferred tax liability relating to property and equipment of approximately $25.0 million ($6.4 million tax impact) as of January 2, 2021. In addition, as a result of the employee retention credits made available under the CARES Act for U.S. associates the Company recognized $0.4 million as a reduction to costs of products, $6.2 million as a reduction to costs of services and plans, and $4.4 million as a reduction to SG&amp;A during fiscal year 2020. The Company recognizes government grants for which there is a reasonable assurance of compliance with grant conditions and receipt of credits. We elected to offset credits recognized under the CARES against payroll taxes that would otherwise be payable.</w:t>
      </w:r>
    </w:p>
    <w:p>
      <w:pPr>
        <w:spacing w:after="0" w:line="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the CARES Act, the Consolidated Appropriations Act, 2021, H.R. 133 was signed into law on December 27, 2020 and, among other things, allows for 100% deductibility of meals and entertainment expenses for the tax years ending in 2021 and 2022.</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consists of currency and demand deposits with financial institutions and money market funds. We consider all highly liquid investments with an original maturity of three months or less at the date of purchase to be cash equivalents. We also review cash balances on a bank by bank basis to identify book overdrafts. Book overdrafts occur when the amount of outstanding checks exceed the cash deposited at a bank. We reclassify book overdrafts, if any, to Accounts payable in the accompanying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Accounts receivable associated with revenues consist primarily of trade receivables and credit card receivables. Trade receivables consist primarily of receivables from managed care payors and receivables from major retailers. While we have relationships with almost all vision care insurers in the United States and with all of the major carriers, currently, a relatively small number of payors comprise the majority of our managed care revenues, subjecting us to concentration risk. Accounts receivable are reduced by allowances for credit losses. Estimates of our allowance for credit losses are based on our historical and current operating, billing, and collection trends, as well as current conditions and reasonable and supportable forecasts about the future. Accounts receivable are written off after all collection attempts have been exhausted. Credit loss expense recognized on our receivables, which is presented</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SG&amp;A expenses in the Company’s Consolidated Statements of Operations, was approximately $0.8 million, $0.7 million and $8.2 million for the fiscal years 2021, 2020 and 2019,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cost of inventory is determined using the weighted average cost method. Inventories at retail stores consist of finished goods and are valued at the lower of cost or estimated net realizable value (“NRV”). Manufactured inventories are valued using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contact lens vendor return acceptance activity, and estimates of future retail sales prices. Shrinkage is estimated and recorded throughout the period in cost of sales based on historical results and current inventory levels. Actual shrinkage is recorded throughout the year based upon periodic physical counts. See Note 2. “Details of Certain Balance Sheet Accounts” for further details.</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inventory consists primarily of contact lenses, eyeglass frames and unprocessed eyeglass lenses. A significant portion of our inventory is supplied by a small number of key vendors. During fiscal year 2021, 92% of contact lens expenditures were with three vendors and 90% of lens expenditures were with one vendor. This exposes us to vendor concentration risk. We are less exposed to a supplier risk for our eyeglass frames as only 57% of frame expenditures were with two vendors.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Property and equipment (“P&amp;E”) is stated at cost less accumulated depreciation. Depreciation associated with P&amp;E is included in Depreciation and amortization in the accompanying Consolidated Statements of Operations. When we retire or otherwise dispose of P&amp;E, we remove the cost and related accumulated depreciation from our accounts and recognize any gain or loss on the sale of such assets in SG&amp;A in the Consolidated Statements of Operations. We capitalize major replacements and remodeling, and recognize expenditures for maintenance and repairs in SG&amp;A.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spacing w:after="0"/>
              <w:rPr>
                <w:sz w:val="20"/>
                <w:szCs w:val="20"/>
                <w:color w:val="auto"/>
              </w:rPr>
            </w:pPr>
            <w:r>
              <w:rPr>
                <w:rFonts w:ascii="Arial" w:cs="Arial" w:eastAsia="Arial" w:hAnsi="Arial"/>
                <w:sz w:val="18"/>
                <w:szCs w:val="18"/>
                <w:color w:val="auto"/>
                <w:w w:val="97"/>
              </w:rPr>
              <w:t>We depreciate P&amp;E for financial accounting purposes using the straight-line method over the following estimated useful lives:</w:t>
            </w:r>
          </w:p>
        </w:tc>
        <w:tc>
          <w:tcPr>
            <w:tcW w:w="1500" w:type="dxa"/>
            <w:vAlign w:val="bottom"/>
          </w:tcPr>
          <w:p>
            <w:pPr>
              <w:spacing w:after="0"/>
              <w:rPr>
                <w:sz w:val="20"/>
                <w:szCs w:val="20"/>
                <w:color w:val="auto"/>
              </w:rPr>
            </w:pPr>
          </w:p>
        </w:tc>
      </w:tr>
      <w:tr>
        <w:trPr>
          <w:trHeight w:val="121"/>
        </w:trPr>
        <w:tc>
          <w:tcPr>
            <w:tcW w:w="974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years</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Equipment</w:t>
            </w:r>
          </w:p>
        </w:tc>
        <w:tc>
          <w:tcPr>
            <w:tcW w:w="1500" w:type="dxa"/>
            <w:vAlign w:val="bottom"/>
          </w:tcPr>
          <w:p>
            <w:pPr>
              <w:jc w:val="right"/>
              <w:spacing w:after="0"/>
              <w:rPr>
                <w:sz w:val="20"/>
                <w:szCs w:val="20"/>
                <w:color w:val="auto"/>
              </w:rPr>
            </w:pPr>
            <w:r>
              <w:rPr>
                <w:rFonts w:ascii="Arial" w:cs="Arial" w:eastAsia="Arial" w:hAnsi="Arial"/>
                <w:sz w:val="18"/>
                <w:szCs w:val="18"/>
                <w:color w:val="auto"/>
              </w:rPr>
              <w:t>3 - 7 years</w:t>
            </w:r>
          </w:p>
        </w:tc>
      </w:tr>
      <w:tr>
        <w:trPr>
          <w:trHeight w:val="229"/>
        </w:trPr>
        <w:tc>
          <w:tcPr>
            <w:tcW w:w="9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Information technology hardware and software </w:t>
            </w:r>
            <w:r>
              <w:rPr>
                <w:rFonts w:ascii="Arial" w:cs="Arial" w:eastAsia="Arial" w:hAnsi="Arial"/>
                <w:sz w:val="23"/>
                <w:szCs w:val="23"/>
                <w:color w:val="auto"/>
                <w:vertAlign w:val="superscript"/>
              </w:rPr>
              <w:t>(a)</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500" w:type="dxa"/>
            <w:vAlign w:val="bottom"/>
          </w:tcPr>
          <w:p>
            <w:pPr>
              <w:jc w:val="right"/>
              <w:spacing w:after="0"/>
              <w:rPr>
                <w:sz w:val="20"/>
                <w:szCs w:val="20"/>
                <w:color w:val="auto"/>
              </w:rPr>
            </w:pPr>
            <w:r>
              <w:rPr>
                <w:rFonts w:ascii="Arial" w:cs="Arial" w:eastAsia="Arial" w:hAnsi="Arial"/>
                <w:sz w:val="18"/>
                <w:szCs w:val="18"/>
                <w:color w:val="auto"/>
              </w:rPr>
              <w:t>6 years</w:t>
            </w:r>
          </w:p>
        </w:tc>
      </w:tr>
      <w:tr>
        <w:trPr>
          <w:trHeight w:val="230"/>
        </w:trPr>
        <w:tc>
          <w:tcPr>
            <w:tcW w:w="9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Leasehold improvements</w:t>
            </w:r>
            <w:r>
              <w:rPr>
                <w:rFonts w:ascii="Arial" w:cs="Arial" w:eastAsia="Arial" w:hAnsi="Arial"/>
                <w:sz w:val="23"/>
                <w:szCs w:val="23"/>
                <w:color w:val="auto"/>
                <w:vertAlign w:val="superscript"/>
              </w:rPr>
              <w:t>(b)</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5 - 10 years</w:t>
            </w:r>
          </w:p>
        </w:tc>
      </w:tr>
      <w:tr>
        <w:trPr>
          <w:trHeight w:val="224"/>
        </w:trPr>
        <w:tc>
          <w:tcPr>
            <w:tcW w:w="9740" w:type="dxa"/>
            <w:vAlign w:val="bottom"/>
          </w:tcPr>
          <w:p>
            <w:pPr>
              <w:ind w:left="20"/>
              <w:spacing w:after="0" w:line="224" w:lineRule="exact"/>
              <w:rPr>
                <w:sz w:val="20"/>
                <w:szCs w:val="20"/>
                <w:color w:val="auto"/>
              </w:rPr>
            </w:pPr>
            <w:r>
              <w:rPr>
                <w:rFonts w:ascii="Arial" w:cs="Arial" w:eastAsia="Arial" w:hAnsi="Arial"/>
                <w:sz w:val="18"/>
                <w:szCs w:val="18"/>
                <w:color w:val="auto"/>
              </w:rPr>
              <w:t xml:space="preserve">P&amp;E under finance leases </w:t>
            </w:r>
            <w:r>
              <w:rPr>
                <w:rFonts w:ascii="Arial" w:cs="Arial" w:eastAsia="Arial" w:hAnsi="Arial"/>
                <w:sz w:val="23"/>
                <w:szCs w:val="23"/>
                <w:color w:val="auto"/>
                <w:vertAlign w:val="superscript"/>
              </w:rPr>
              <w:t>(b)</w:t>
            </w:r>
          </w:p>
        </w:tc>
        <w:tc>
          <w:tcPr>
            <w:tcW w:w="150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182"/>
        </w:trPr>
        <w:tc>
          <w:tcPr>
            <w:tcW w:w="9740" w:type="dxa"/>
            <w:vAlign w:val="bottom"/>
          </w:tcPr>
          <w:p>
            <w:pPr>
              <w:ind w:left="20"/>
              <w:spacing w:after="0"/>
              <w:rPr>
                <w:sz w:val="20"/>
                <w:szCs w:val="20"/>
                <w:color w:val="auto"/>
              </w:rPr>
            </w:pPr>
            <w:r>
              <w:rPr>
                <w:rFonts w:ascii="Arial" w:cs="Arial" w:eastAsia="Arial" w:hAnsi="Arial"/>
                <w:sz w:val="14"/>
                <w:szCs w:val="14"/>
                <w:color w:val="auto"/>
              </w:rPr>
              <w:t>____________</w:t>
            </w:r>
          </w:p>
        </w:tc>
        <w:tc>
          <w:tcPr>
            <w:tcW w:w="1500" w:type="dxa"/>
            <w:vAlign w:val="bottom"/>
          </w:tcPr>
          <w:p>
            <w:pPr>
              <w:spacing w:after="0"/>
              <w:rPr>
                <w:sz w:val="15"/>
                <w:szCs w:val="15"/>
                <w:color w:val="auto"/>
              </w:rPr>
            </w:pPr>
          </w:p>
        </w:tc>
      </w:tr>
    </w:tbl>
    <w:p>
      <w:pPr>
        <w:spacing w:after="0" w:line="61" w:lineRule="exact"/>
        <w:rPr>
          <w:sz w:val="20"/>
          <w:szCs w:val="20"/>
          <w:color w:val="auto"/>
        </w:rPr>
      </w:pPr>
    </w:p>
    <w:p>
      <w:pPr>
        <w:ind w:left="360" w:right="40" w:hanging="334"/>
        <w:spacing w:after="0" w:line="236" w:lineRule="auto"/>
        <w:tabs>
          <w:tab w:leader="none" w:pos="357"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Costs of developing or obtaining software for internal use, such as direct costs of materials or services and internal payroll costs related to the software development projects, are capitalized to information technology hardware and software.</w:t>
      </w:r>
    </w:p>
    <w:p>
      <w:pPr>
        <w:spacing w:after="0" w:line="20" w:lineRule="exact"/>
        <w:rPr>
          <w:rFonts w:ascii="Arial" w:cs="Arial" w:eastAsia="Arial" w:hAnsi="Arial"/>
          <w:sz w:val="14"/>
          <w:szCs w:val="14"/>
          <w:color w:val="auto"/>
        </w:rPr>
      </w:pPr>
    </w:p>
    <w:p>
      <w:pPr>
        <w:ind w:left="360" w:right="260" w:hanging="334"/>
        <w:spacing w:after="0" w:line="236" w:lineRule="auto"/>
        <w:tabs>
          <w:tab w:leader="none" w:pos="352" w:val="left"/>
        </w:tabs>
        <w:numPr>
          <w:ilvl w:val="0"/>
          <w:numId w:val="38"/>
        </w:numPr>
        <w:rPr>
          <w:rFonts w:ascii="Arial" w:cs="Arial" w:eastAsia="Arial" w:hAnsi="Arial"/>
          <w:sz w:val="14"/>
          <w:szCs w:val="14"/>
          <w:color w:val="auto"/>
        </w:rPr>
      </w:pPr>
      <w:r>
        <w:rPr>
          <w:rFonts w:ascii="Arial" w:cs="Arial" w:eastAsia="Arial" w:hAnsi="Arial"/>
          <w:sz w:val="14"/>
          <w:szCs w:val="14"/>
          <w:color w:val="auto"/>
        </w:rPr>
        <w:t>Depreciation of leasehold improvements is recognized over the shorter of the estimated useful life of the asset or the term of the lease. The term of the lease includes renewal options for additional periods if the exercise of the renewal is considered to be reasonably assured.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Indefinite-lived intangible assets include goodwill and our trademarks and tradenames; we evaluate these assets annually for impairment, or more frequently if events and circumstances indicate that it is more likely than not that goodwill is impaired. Our annual testing date for impairment of goodwill and indefinite-lived intangible assets is the first day of the fourth fiscal quarter, which for fiscal years 2021 and 2020 was October 3, 2021, and September 27, 2020, respectively. Costs to renew intangible assets are expensed as incurred.</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Finite-lived, amortizing intangible assets primarily consist of our contracts and relationships with certain retailers and our customer database tool. We amortize finite-lived intangible assets on a straight-line basis over their estimated useful lives, ranging from four to 23 years. Amortization expense associated with finite-lived intangible assets is included in Depreciation and amortization in the accompanying Consolidated Statements of Operations.</w:t>
      </w:r>
    </w:p>
    <w:p>
      <w:pPr>
        <w:spacing w:after="0" w:line="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Goodwill is impaired if a reporting unit’s carrying value exceeds its fair value, and impairment is calculated as the excess between carrying value over fair value. We consider each of our operating segments to be reporting units. We estimate the fair value of our reporting units using the income approach, which is based on a discounted cash flow analysis and calculate the fair value of reporting units by estimating after-tax cash flows discounted using a weighted average cost of capital. The cash flows used in the analysis are based on financial forecasts developed internally by management and require significant judgment. The significant unobservable inputs used in the fair value measurement of the reporting units are revenue growth rate, cost of sales, payroll expense growth rate and other store expenses growth rate. These assumptions are sensitive to future changes in the business profitability, changes in our business strategy and external market conditions, among other factors. A decrease to the long term revenue growth rate assumption or an increase to the expense growth rate assumptions could require us to record goodwill impairment charges.</w:t>
      </w:r>
    </w:p>
    <w:p>
      <w:pPr>
        <w:spacing w:after="0" w:line="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If impairment indicators related to amortizing intangible assets are present, we estimate cash flows expected to be generated over the remaining useful lives of the related assets based on current projections. If the projected net undiscounted cash flows are less than the carrying value of the related assets, we then measure impairment based on a discounted cash flow model and record an impairment charge as the excess of carrying value over estimated fair value.</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the relief-from-royalty method to estimate fair value of our trademarks and tradenames, which involves estimating a royalty rate based on comparable licensing arrangements, applying that rate to the revenue projections for the subject asset, and then estimating fair value using a discounted cash flow analysis. We record an impairment charge as the excess of carrying value over estimated fair value.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Note 3. “Goodwill and Intangible Assets” for further detail on impairment of goodwill and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previously had an investment in a private start-up company whose principal business is licensing software to eyeglass retailers. During fiscal year 2021, the Company’s equity method investee was acquired by a third party and in connection therewith the Company sold all of its ownership interests and received $2.4 million upon the consummation of the sale. These proceeds were included in Other in the investing section of the Consolidated Statements of Cash Flows for fiscal year 2021. As a result of this transaction, and as the carrying value of the investment was zero, the Company recorded a gain on sale of equity method investment of $2.4 million in Other expense (income), net on the Consolidated Statements of Operations for fiscal year 2021. In connection with the transaction, the Company is a party to an earnout agreement whereby we may be entitled to variable earnout payments based upon the achievement by the investee of certain performance metrics over a one year period. The Company will recognize income for payments received under the earnout once they are realized or realizable.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of Assets and Liabilities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accounts for certain assets and liabilities at fair value. The Company generally uses a market approach, when practicable, in valuing financial instruments. For certain assets the Company may also use a valuation technique consistent with the income approach whereby future cash flows are converted to a single discounted amount. The carrying value of the Company’s cash equivalents and restricted cash, accounts receivables, accounts payable and other payables and accrued expenses, approximate fair value due to their short-term nature.</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Non-financial assets such as P&amp;E, ROU assets and intangible assets are subject to nonrecurring fair value measurements if impairment indicators are present. Factors we consider important that could trigger an impairment review include a significant under-performance compared to expected operating results, a significant or adverse change in customer business climate, and a significant negative industry or economic trend.</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“Long-lived Asset Impairment” section below and Note 9. “Fair Value Measurement” for the Company’s recurring and non-recurring fair value measurements.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 and Loan Discounts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incurred in connection with long-term debt which are paid directly to the Company’s lenders and to third parties are presented as reductions to our long-term debt balance, except for the costs related to our revolving credit facility which are presented as assets. These costs are amortized over the term of the related financing agreement and included in Interest expense, net in the accompanying Consolidated Statements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Liabilities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primarily self-insured for workers’ compensation, associate health benefits and general liability claims. We record self-insurance liabilities based on claims filed, including the development of those claims and an estimate of claims incurred but not yet reported. Should a different amount of claims occur compared to what was estimated, or costs of the claims increase or decrease beyond what was anticipated, liabilities may need to be adjusted accordingly. We periodically update our estimates and record such adjustments in the period in which such determination is made. Self-insurance liabilities are recorded on an undiscounted basis in the accompanying Consolidated Balance Sheets. Refer to the following table and Note 2. “Details of Certain Balance Sheet Accounts” for further details.</w:t>
      </w:r>
    </w:p>
    <w:p>
      <w:pPr>
        <w:spacing w:after="0" w:line="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reinsure worker’s compensation and medical claims above our retention levels with a highly rated financial institution that can be expected to fully perform under the terms of the arrangement. Estimated recoveries from reinsurance as of fiscal year end 2021 and 2020 are shown in the following table.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440" w:type="dxa"/>
            <w:vAlign w:val="bottom"/>
            <w:gridSpan w:val="2"/>
            <w:vMerge w:val="restart"/>
          </w:tcPr>
          <w:p>
            <w:pPr>
              <w:ind w:left="20"/>
              <w:spacing w:after="0"/>
              <w:rPr>
                <w:sz w:val="20"/>
                <w:szCs w:val="20"/>
                <w:color w:val="auto"/>
              </w:rPr>
            </w:pPr>
            <w:r>
              <w:rPr>
                <w:rFonts w:ascii="Arial" w:cs="Arial" w:eastAsia="Arial" w:hAnsi="Arial"/>
                <w:sz w:val="18"/>
                <w:szCs w:val="18"/>
                <w:color w:val="auto"/>
              </w:rPr>
              <w:t>Balance Sheet Classification</w:t>
            </w:r>
          </w:p>
        </w:tc>
        <w:tc>
          <w:tcPr>
            <w:tcW w:w="300" w:type="dxa"/>
            <w:vAlign w:val="bottom"/>
          </w:tcPr>
          <w:p>
            <w:pPr>
              <w:spacing w:after="0"/>
              <w:rPr>
                <w:sz w:val="17"/>
                <w:szCs w:val="17"/>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As of</w:t>
            </w:r>
          </w:p>
        </w:tc>
        <w:tc>
          <w:tcPr>
            <w:tcW w:w="280" w:type="dxa"/>
            <w:vAlign w:val="bottom"/>
          </w:tcPr>
          <w:p>
            <w:pPr>
              <w:spacing w:after="0"/>
              <w:rPr>
                <w:sz w:val="17"/>
                <w:szCs w:val="17"/>
                <w:color w:val="auto"/>
              </w:rPr>
            </w:pPr>
          </w:p>
        </w:tc>
        <w:tc>
          <w:tcPr>
            <w:tcW w:w="1740" w:type="dxa"/>
            <w:vAlign w:val="bottom"/>
          </w:tcPr>
          <w:p>
            <w:pPr>
              <w:jc w:val="right"/>
              <w:ind w:right="71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3620" w:type="dxa"/>
            <w:vAlign w:val="bottom"/>
            <w:vMerge w:val="continue"/>
          </w:tcPr>
          <w:p>
            <w:pPr>
              <w:spacing w:after="0"/>
              <w:rPr>
                <w:sz w:val="19"/>
                <w:szCs w:val="19"/>
                <w:color w:val="auto"/>
              </w:rPr>
            </w:pPr>
          </w:p>
        </w:tc>
        <w:tc>
          <w:tcPr>
            <w:tcW w:w="34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January 1, 2022</w:t>
            </w:r>
          </w:p>
        </w:tc>
        <w:tc>
          <w:tcPr>
            <w:tcW w:w="280" w:type="dxa"/>
            <w:vAlign w:val="bottom"/>
          </w:tcPr>
          <w:p>
            <w:pPr>
              <w:spacing w:after="0"/>
              <w:rPr>
                <w:sz w:val="19"/>
                <w:szCs w:val="19"/>
                <w:color w:val="auto"/>
              </w:rPr>
            </w:pPr>
          </w:p>
        </w:tc>
        <w:tc>
          <w:tcPr>
            <w:tcW w:w="1740" w:type="dxa"/>
            <w:vAlign w:val="bottom"/>
          </w:tcPr>
          <w:p>
            <w:pPr>
              <w:jc w:val="right"/>
              <w:ind w:right="350"/>
              <w:spacing w:after="0"/>
              <w:rPr>
                <w:sz w:val="20"/>
                <w:szCs w:val="20"/>
                <w:color w:val="auto"/>
              </w:rPr>
            </w:pPr>
            <w:r>
              <w:rPr>
                <w:rFonts w:ascii="Arial" w:cs="Arial" w:eastAsia="Arial" w:hAnsi="Arial"/>
                <w:sz w:val="18"/>
                <w:szCs w:val="18"/>
                <w:color w:val="auto"/>
                <w:w w:val="99"/>
              </w:rPr>
              <w:t>January 2, 2021</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portion</w:t>
            </w:r>
          </w:p>
        </w:tc>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Prepaid Expenses and Other Current Assets</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Non-current portion</w:t>
            </w:r>
          </w:p>
        </w:tc>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estimated recoveries from reinsurance</w:t>
            </w:r>
          </w:p>
        </w:tc>
        <w:tc>
          <w:tcPr>
            <w:tcW w:w="3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uses interest rate derivatives to manage the exposure of its LIBOR-based debt to fluctuations in interest rates. If our derivatives are designated as cash flow hedges, we formally document our hedge relationships, including identification of the hedging instruments and the hedged items, as well as our risk management objectives and strategies for undertaking the hedge transactions. We record all interest rate derivatives in our Consolidated Balance Sheets on a gross basis at fair value. Fair value represents estimated amounts we would receive or pay upon a termination of interest rate derivatives prior to their scheduled expiration dates. The fair value was based on information that is model-driven and whose inputs were observable (Level 2 inputs) such as LIBOR forward rates. We do not hold or enter into financial instruments for trading or speculative purposes.</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gain or loss resulting from fair value adjustments for highly effective cash flow hedges is recorded in Accumulated other comprehensive loss (“AOCL”) in the accompanying Consolidated Balance Sheets until the hedged item is recognized as interest expense in the Consolidated Statements of Operations. The gain or loss resulting from fair value adjustments of derivatives not deemed to be highly effective cash flow hedges is recognized in interest expense immediately. We perform periodic assessments of the effectiveness of our derivative contracts designated as hedges.</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manage credit risk associated with our interest rate hedging program, we select as counterparties major financial institutions with investment grade credit ratings. The impact of credit risk, as well as the ability of each party to fulfill its obligations under our derivative financial instruments, is considered in determining the fair value of the contracts. We do not have any credit risk-related contingent features or collateral requirements associated with our derivative contracts. See Note 12. “Interest Rate Derivatives” for further details.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AOCL is defined as the change in equity of a business enterprise during a period from transactions and other events and circumstances from non-owner sources. Accumulated other comprehensive loss, net of income tax, is entirely composed of the cumulative unrealized loss on our previously effective hedging instruments. See Note 15. “Accumulated Other Comprehensive Loss” for details of reclassifications out of AOCL.</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product sales include sales of prescription and non-prescription eyewear, contact lenses and related accessories to retail customers (including those covered by managed care) and sales of inventory in which our customer is another retail entity. Net sales of services and plans include sales of eye exams, eye care club membership fees, product protection plans (i.e. warranties) and HMO vision plan fees. Net sales of services and plans also include fees we earn for managing certain Vision Centers located in Walmart stores and performing laboratory processing services for our Legacy partner.</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our America’s Best brand, our signature offer is two pairs of eyeglasses and a free eye exam for one low price (“two-pair offer”). Since an eye exam is a key component in the ability for acceptable prescription eyewear to be delivered to a customer, we concluded that the eye exam service, while capable of being distinct from the eyeglass product delivery, was not distinct in the context of the two-pair offer. As a result, we do not allocate revenue to the eye exam associated with the two-pair offer, and we record all revenue associated with the offer in Owned &amp; Host net product sales when the customer has received and accepted the merchandise.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retail customers generally make payments for prescription eyewear products at the time they place an order. Amounts we collect in advance for undelivered merchandise are reported as Unearned revenue in the accompanying Consolidated Balance Sheets. Unearned revenue at the end of a reporting period is estimated based on processing and delivery times throughout the current month which generally range from approximately seven to 10 days; all unearned revenue at the end of a reporting period is recognized in the next fiscal period.</w:t>
      </w:r>
    </w:p>
    <w:p>
      <w:pPr>
        <w:spacing w:after="0" w:line="79"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Revenue is recognized net of sales taxes and returns and include amounts billed to customers related to shipping and handling costs. The returns allowance is based on historical return patterns. Provisions for estimated returns are established and the expected costs continue to be recognized as reductions to revenue when the products are sold. Shipping and handling costs are accounted for as fulfillment costs and are included in costs applicable to revenue.</w:t>
      </w:r>
    </w:p>
    <w:p>
      <w:pPr>
        <w:spacing w:after="0" w:line="5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considerations of $10.2 million and $7.5 million during the fiscal years 2021 and 2020,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7. “Revenue from Contracts With Customers” for further details of our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Costs applicable to revenue consist primarily of cost of products sold and costs of administering services and plans. Costs of products sold include (i) costs to procure non-prescription eyewear, contacts and accessories which we purchase and sell in their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 care club memberships, HMO vision plan fees, eye care practitioner and eye exam technician payroll, taxes and benefits and optometric and other service costs. Depreciation and amortization are excluded from costs applicable to revenue and are presented separately on the accompanying Consolidated Statements of Operations.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component of the Company’s procurement program, the Company frequently enters into contracts with its vendors that provide for payments of rebates or other allowances. These vendor payments are reflected when earned or as progress is made toward earning the rebate or allowance and, depending on the terms of the agreement with the vendor, are treated either as a reduction of the carrying value of the inventory and a resultant reduction of cost of products. Rebates that have been earned but not yet received are recognized as an increase to Accounts receivable, net or a reduction to Accounts payable, depending on the nature of the agreement with the vendor, until the payment has been received.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SG&amp;A includes store associate (including optician) payroll, taxes and benefits, occupancy and other store expenses, advertising and promotion, field services, and corporate support. Advertising and promotion costs, including online marketing arrangements, newspaper, direct mail, television and radio, are recorded in SG&amp;A and expensed at the time the advertising first occurs. Production costs of future media advertising and related promotional campaigns are deferred until the advertising events occur. Non-capital expenditures associated with opening new stores, including rent, marketing expenses, travel and relocation costs, and training costs, are recorded in SG&amp;A as incurred. Certain vendor contracts provide for marketing co-op allowances, such allowances are reflected when earned or as progress is made toward earning the allowance and are treated as a reduction of SG&amp;A.</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60"/>
        <w:spacing w:after="0" w:line="375" w:lineRule="auto"/>
        <w:rPr>
          <w:sz w:val="20"/>
          <w:szCs w:val="20"/>
          <w:color w:val="auto"/>
        </w:rPr>
      </w:pPr>
      <w:r>
        <w:rPr>
          <w:rFonts w:ascii="Arial" w:cs="Arial" w:eastAsia="Arial" w:hAnsi="Arial"/>
          <w:sz w:val="18"/>
          <w:szCs w:val="18"/>
          <w:color w:val="auto"/>
        </w:rPr>
        <w:t xml:space="preserve">Advertising expenses were $149.6 million, $86.5 million and $113.3 million for fiscal years 2021, 2020 and 2019, respectively. </w:t>
      </w:r>
      <w:r>
        <w:rPr>
          <w:rFonts w:ascii="Arial" w:cs="Arial" w:eastAsia="Arial" w:hAnsi="Arial"/>
          <w:sz w:val="18"/>
          <w:szCs w:val="18"/>
          <w:i w:val="1"/>
          <w:iCs w:val="1"/>
          <w:color w:val="auto"/>
        </w:rPr>
        <w:t>Leases</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lease our stores, distribution centers, corporate offices, and most of our laboratories. These leases generally have noncancelable lease terms of between five and 10 years, with an option to renew for additional terms of one to 10 years or more. The lease term includes renewal option periods when the renewal is deemed reasonably certain after considering the value of the leasehold improvements at the end of the noncancelable lease period. Most leases for our stores provide for a minimum rent and typically include escalating rent over time with the exception of Military for which lease payments are variable and based on a percentage of sales. For Vista Optical locations in Fred Meyer stores, we pay the greater of fixed rent or a percentage of sales after certain minimum thresholds are achieved. The Company’s leases generally require us to pay insurance, real estate taxes and common area maintenance expenses, substantially all of which are variable and not included in the measurement of the lease liability. Our lease arrangements frequently include tenant improvement allowances (TIAs), which are contractual amounts received or receivable from a lessor for improvements made to leased properties by the Company. For operating leases, TIAs are treated as a reduction of the lease payments used to measure the ROU assets in the accompanying Consolidated Balance Sheet as of fiscal year 2021 and are amortized as a reduction in rental expense over the life of the respective leases. Our lease agreements do not contain any material residual value guarantees or material restrictive covenants. With respect to lease accounting guidance, the Company’s management &amp; services agreement with its Legacy partner does not contain a lease arrangement.</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lease liability is measured at the present value of future lease payments over the lease term less TIAs receivable, and the ROU asset is measured at the lease liability amount, adjusted for prepaid lease payments, TIAs received and the lessee’s initial direct costs. As the rate implicit in the Company’s leases is not easily determinable, the Company’s incremental borrowing rate is used in calculating the present value of the sum of the lease payments. Factors incorporated into the calculation of the lease incremental borrowing rate include lease term, borrowing rates on the Company’s long-term debt, fixed rates on interest rate swaps, LIBOR margins for issuers of similar credit rating to NVI and effect of collateralization.</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finance leases, a lease ROU asset is recorded as property and equipment and corresponding amounts are recorded as finance lease debt obligations at the net present value of the minimum lease payments to be made over the lease term for new finance leases.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measure stock-based compensation cost, which consists of grants of stock options, restricted stock units (“RSUs”), performance stock units (“PSUs”), and restricted stock awards (“RSAs”) to associates and non-associate directors, based on the estimated grant date fair value of the awards. We recognize compensation expense for all awards containing only a service requirement over the requisite service period using a straight-line recognition method. Our PSUs contain both a service requirement and a performance requirement. We recognize expense for the proportionate share of the total fair value of PSUs related to the vesting period that has already lapsed for the shares expected to vest, which expectation is based on an evaluation of expected performance against predefined performance criteria and may also result in reversals of expense. The remaining fair value of the shares expected to vest is expensed on a straight-line basis over the balance of the vesting period. We account for forfeitures as they occur. See Note 5. “Stock Incentive Plan” for further details related to our stock-based compensation plans.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 Impairment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Non-financial assets such as P&amp;E, right of use (“ROU”) assets and intangible assets are subject to nonrecurring fair value measurements if impairment indicators are present. We evaluate impairment of long-lived tangible and ROU store assets at the store level, which is the lowest level at which independent cash flows can be identified, when events or conditions indicate the carrying values of such assets may not be recoverable. In making this evaluation, we may consider multiple factors including financial performance of the stores, regional and local business climates, industry or economic trends, future plans for the store operations and other qualitative factors. If the store’s projected undiscounted net cash flows expected to be generated by the related assets over the life of the primary asset within the asset group are less than the carrying value of the subject assets, we determine an estimate of the fair value of the asset group using an income approach based on discounted cash flows, which require estimates and assumptions related to forecasted store revenue growth rates and store profitability. If the fair value of the asset group is less than its carrying value, the loss is allocated to the long-lived assets of the group on a pro rata basis using the relative carrying amounts of those assets, except that the loss allocated to an individual long lived asset of the group shall not reduce the carrying amount of that asset below its fair value. We consider market-based indications of prevailing rental rates for retail space, market participant discount rates, and lease incentives when estimating the fair values of ROU assets.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assess non-store long-lived assets, including capitalized software costs in use or under development, for impairment if events or changes in circumstances indicate that the carrying value of those assets may not be recoverable. The asset impairments recognized in fiscal years 2021 and 2020 include $0.8 million and $1.1 million, respectively, related to a write-off of certain capitalized software costs that were deemed to be obsolete due to a decision to cease further development. During fiscal year 2019 there was no impairment of non-store long-lived assets or capitalized software costs.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deferred income taxes based on the asset and liability method. The Company must make certain estimates and judgments in determining income tax expense. We are required to determine the aggregate amount of income tax expense to accrue and the amount which will be currently payable or refundable based upon tax statutes of each jurisdiction in which the Company does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 in the accompanying Consolidated Balance Sheets.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valuation allowance is recorded if it is more likely than not that some portion of a deferred tax asset will not be realized. Valuation allowances are released as positive evidence of future taxable income sufficient to realize the underlying deferred tax assets becomes available.</w:t>
      </w:r>
    </w:p>
    <w:p>
      <w:pPr>
        <w:spacing w:after="0" w:line="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establish a liability for tax positions for which there is uncertainty as to whether the position will ultimately be sustained. We assess our tax positions by determining whether it is more likely than not that the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 See Note 6. “Income Taxes” for further details.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Pronouncements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Financial Accounting Standards Board (“FASB”) issued ASU No. 2016-02,</w:t>
      </w:r>
      <w:r>
        <w:rPr>
          <w:rFonts w:ascii="Arial" w:cs="Arial" w:eastAsia="Arial" w:hAnsi="Arial"/>
          <w:sz w:val="18"/>
          <w:szCs w:val="18"/>
          <w:i w:val="1"/>
          <w:iCs w:val="1"/>
          <w:color w:val="auto"/>
        </w:rPr>
        <w:t xml:space="preserve"> Leases</w:t>
      </w:r>
      <w:r>
        <w:rPr>
          <w:rFonts w:ascii="Arial" w:cs="Arial" w:eastAsia="Arial" w:hAnsi="Arial"/>
          <w:sz w:val="18"/>
          <w:szCs w:val="18"/>
          <w:color w:val="auto"/>
        </w:rPr>
        <w:t>. This new guidance establishes a ROU</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model that requires a lessee to record a ROU asset and a lease liability on the balance sheet for all leases with terms longer than 12 months. Leases are classified as either finance or operating, with such classification affecting the pattern of expense recognition in the statement of operations. </w:t>
      </w:r>
      <w:r>
        <w:rPr>
          <w:rFonts w:ascii="Arial" w:cs="Arial" w:eastAsia="Arial" w:hAnsi="Arial"/>
          <w:sz w:val="18"/>
          <w:szCs w:val="18"/>
          <w:color w:val="252525"/>
        </w:rPr>
        <w:t>Disclosure of</w:t>
      </w:r>
      <w:r>
        <w:rPr>
          <w:rFonts w:ascii="Arial" w:cs="Arial" w:eastAsia="Arial" w:hAnsi="Arial"/>
          <w:sz w:val="18"/>
          <w:szCs w:val="18"/>
          <w:color w:val="auto"/>
        </w:rPr>
        <w:t xml:space="preserve"> </w:t>
      </w:r>
      <w:r>
        <w:rPr>
          <w:rFonts w:ascii="Arial" w:cs="Arial" w:eastAsia="Arial" w:hAnsi="Arial"/>
          <w:sz w:val="18"/>
          <w:szCs w:val="18"/>
          <w:color w:val="252525"/>
        </w:rPr>
        <w:t>key information about leasing arrangements is also required.</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adopted ASU No. 2016-02, as amended, as of December 30, 2018 (the first day of fiscal year 2019), using the modified retrospective transition approach without adjusting the comparative periods presented. We elected the package of practical expedients permitted under the transition guidance within the new standard, which allowed us to carry forward historical lease classification for leases in existence as of the adoption date, to not assess whether any expired or existing contracts are leases or contain leases and to not assess whether unamortized initial direct costs for existing leases meet the definition of initial direct costs. In addition, we elected the practical expedients to not separate lease components from non-lease components and to not apply this new guidance to leases with terms of less than 12 months.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adoption, we recorded operating lease liabilities of approximately $339.6 million as of December 30, 2018. The Company treated TIAs and deferred rent of $24.3 million and $11.9 million, respectively, as of December 30, 2018 as reductions of lease payments and prepaid rent of $5.8 million as of December 30, 2018 as an increase in lease payments used to measure ROU assets and recorded $308.5 million of lease ROU assets upon adoption. The difference between the additional lease assets and lease liabilities net of the deferred tax impact was $0.5 million, which was recorded as an adjustment to fiscal year 2019 opening retained earnings. Adoption of this new guidance did not result in significant changes to our results of operations or cash flows. See Note 8. “Leases” for additional information.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Other Comprehensive Income. </w:t>
      </w:r>
      <w:r>
        <w:rPr>
          <w:rFonts w:ascii="Arial" w:cs="Arial" w:eastAsia="Arial" w:hAnsi="Arial"/>
          <w:sz w:val="17"/>
          <w:szCs w:val="17"/>
          <w:color w:val="auto"/>
        </w:rPr>
        <w:t>In February 2018, the FASB issued Accounting Standards Update ASU 2018-02,</w:t>
      </w:r>
      <w:r>
        <w:rPr>
          <w:rFonts w:ascii="Arial" w:cs="Arial" w:eastAsia="Arial" w:hAnsi="Arial"/>
          <w:sz w:val="17"/>
          <w:szCs w:val="17"/>
          <w:i w:val="1"/>
          <w:iCs w:val="1"/>
          <w:color w:val="auto"/>
        </w:rPr>
        <w:t xml:space="preserve"> Income Statement–Reporting Comprehensive Income (Topic 220): Reclassification of Certain Tax Effects from Accumulated Other Comprehensive Income (“ASU 2018-02”)</w:t>
      </w:r>
      <w:r>
        <w:rPr>
          <w:rFonts w:ascii="Arial" w:cs="Arial" w:eastAsia="Arial" w:hAnsi="Arial"/>
          <w:sz w:val="17"/>
          <w:szCs w:val="17"/>
          <w:color w:val="auto"/>
        </w:rPr>
        <w:t>. This</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allows for an optional reclassification from accumulated other comprehensive income or loss to retained earnings for stranded tax effects as a result of the newly enacted federal corporate income tax rate under the 2017 Tax Cuts and Jobs Act enacted into law on December 22, 2017 (the “Tax Legislation”). This guidance is effective for interim and annual periods beginning after December 15, 2018, with early adoption permitted. We adopted the guidance during the first quarter of fiscal year 2019, and did not reclassify the stranded income tax benefit resulting from adoption of the Tax Legislation from AOCL into earnings. There were no other impacts to the Company’s financial condition, result of operations, or cash flows.</w:t>
      </w:r>
    </w:p>
    <w:p>
      <w:pPr>
        <w:spacing w:after="0" w:line="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252525"/>
        </w:rPr>
        <w:t xml:space="preserve">Cloud Computing. </w:t>
      </w:r>
      <w:r>
        <w:rPr>
          <w:rFonts w:ascii="Arial" w:cs="Arial" w:eastAsia="Arial" w:hAnsi="Arial"/>
          <w:sz w:val="16"/>
          <w:szCs w:val="16"/>
          <w:color w:val="000000"/>
        </w:rPr>
        <w:t>In August 2018, the FASB issued ASU No. 2018-15,</w:t>
      </w:r>
      <w:r>
        <w:rPr>
          <w:rFonts w:ascii="Arial" w:cs="Arial" w:eastAsia="Arial" w:hAnsi="Arial"/>
          <w:sz w:val="16"/>
          <w:szCs w:val="16"/>
          <w:i w:val="1"/>
          <w:iCs w:val="1"/>
          <w:color w:val="252525"/>
        </w:rPr>
        <w:t xml:space="preserve"> </w:t>
      </w:r>
      <w:r>
        <w:rPr>
          <w:rFonts w:ascii="Arial" w:cs="Arial" w:eastAsia="Arial" w:hAnsi="Arial"/>
          <w:sz w:val="16"/>
          <w:szCs w:val="16"/>
          <w:i w:val="1"/>
          <w:iCs w:val="1"/>
          <w:color w:val="000000"/>
        </w:rPr>
        <w:t>Customer’s Accounting for Implementation Costs Incurred in a Cloud Computing</w:t>
      </w:r>
      <w:r>
        <w:rPr>
          <w:rFonts w:ascii="Arial" w:cs="Arial" w:eastAsia="Arial" w:hAnsi="Arial"/>
          <w:sz w:val="16"/>
          <w:szCs w:val="16"/>
          <w:i w:val="1"/>
          <w:iCs w:val="1"/>
          <w:color w:val="252525"/>
        </w:rPr>
        <w:t xml:space="preserve"> </w:t>
      </w:r>
      <w:r>
        <w:rPr>
          <w:rFonts w:ascii="Arial" w:cs="Arial" w:eastAsia="Arial" w:hAnsi="Arial"/>
          <w:sz w:val="16"/>
          <w:szCs w:val="16"/>
          <w:i w:val="1"/>
          <w:iCs w:val="1"/>
          <w:color w:val="000000"/>
        </w:rPr>
        <w:t xml:space="preserve">Arrangement That Is a Service Contract. </w:t>
      </w:r>
      <w:r>
        <w:rPr>
          <w:rFonts w:ascii="Arial" w:cs="Arial" w:eastAsia="Arial" w:hAnsi="Arial"/>
          <w:sz w:val="16"/>
          <w:szCs w:val="16"/>
          <w:color w:val="000000"/>
        </w:rPr>
        <w:t>This new guidance aligns the requirements for capitalizing implementation costs incurred in a hosting</w:t>
      </w:r>
      <w:r>
        <w:rPr>
          <w:rFonts w:ascii="Arial" w:cs="Arial" w:eastAsia="Arial" w:hAnsi="Arial"/>
          <w:sz w:val="16"/>
          <w:szCs w:val="16"/>
          <w:i w:val="1"/>
          <w:iCs w:val="1"/>
          <w:color w:val="000000"/>
        </w:rPr>
        <w:t xml:space="preserve"> </w:t>
      </w:r>
      <w:r>
        <w:rPr>
          <w:rFonts w:ascii="Arial" w:cs="Arial" w:eastAsia="Arial" w:hAnsi="Arial"/>
          <w:sz w:val="16"/>
          <w:szCs w:val="16"/>
          <w:color w:val="000000"/>
        </w:rPr>
        <w:t>arrangement that is a service contract with the requirements for capitalizing implementation costs incurred to develop or obtain internal-use software (and hosting arrangements that include an internal-use software license). We obtain a variety of software solutions and tools through cloud computing arrangements. This new guidance is effective for fiscal years beginning after December 15, 2019, and for interim periods within those fiscal years and may be adopted on a prospective or retrospective basis. We adopted the accounting standard on a prospective basis in the first quarter of 2020. The adoption of this guidance did not have a material impact on the Company’s financial condition, results of operations, or cash flows.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Credit Losses</w:t>
      </w:r>
      <w:r>
        <w:rPr>
          <w:rFonts w:ascii="Arial" w:cs="Arial" w:eastAsia="Arial" w:hAnsi="Arial"/>
          <w:sz w:val="18"/>
          <w:szCs w:val="18"/>
          <w:color w:val="auto"/>
        </w:rPr>
        <w:t>. In June 2016, the FASB issued ASU No. 2016-13,</w:t>
      </w:r>
      <w:r>
        <w:rPr>
          <w:rFonts w:ascii="Arial" w:cs="Arial" w:eastAsia="Arial" w:hAnsi="Arial"/>
          <w:sz w:val="18"/>
          <w:szCs w:val="18"/>
          <w:i w:val="1"/>
          <w:iCs w:val="1"/>
          <w:color w:val="auto"/>
        </w:rPr>
        <w:t xml:space="preserve"> Measurement of Credit Losses on Financial Instruments </w:t>
      </w:r>
      <w:r>
        <w:rPr>
          <w:rFonts w:ascii="Arial" w:cs="Arial" w:eastAsia="Arial" w:hAnsi="Arial"/>
          <w:sz w:val="18"/>
          <w:szCs w:val="18"/>
          <w:color w:val="auto"/>
        </w:rPr>
        <w:t>(“ASU 2016-13”)</w:t>
      </w:r>
      <w:r>
        <w:rPr>
          <w:rFonts w:ascii="Arial" w:cs="Arial" w:eastAsia="Arial" w:hAnsi="Arial"/>
          <w:sz w:val="18"/>
          <w:szCs w:val="18"/>
          <w:i w:val="1"/>
          <w:iCs w:val="1"/>
          <w:color w:val="auto"/>
        </w:rPr>
        <w:t xml:space="preserve">. </w:t>
      </w:r>
      <w:r>
        <w:rPr>
          <w:rFonts w:ascii="Arial" w:cs="Arial" w:eastAsia="Arial" w:hAnsi="Arial"/>
          <w:sz w:val="18"/>
          <w:szCs w:val="18"/>
          <w:color w:val="auto"/>
        </w:rPr>
        <w:t>This new</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requires an entity to assess impairment of its financial instruments based on its estimate of expected credit losses. Initial adoption of ASU 2016-13 is required to be reported on a modified retrospective basis, with a cumulative-effect adjustment to retained earnings as of the beginning of the year of adoption, except for certain provisions that are required to be applied prospectively. This guidance is effective for fiscal years beginning after December 15, 2019, and for interim reporting periods within those fiscal years.</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adopted ASU No. 2016-13 as of December 29, 2019 (the first day of fiscal year 2020), using the modified retrospective approach without adjusting the comparative periods presented. Upon adoption, the Company recorded a $0.7 million increase to the allowance for credit losses related to a note receivable from our former equity method investee. After adjusting for deferred taxes, we recorded a $0.5 million decrease in Retained earnings through a cumulative-effect adjustment. Adoption of this new guidance did not have a material impact on the Company’s financial condition, results of operations or cash flows.</w:t>
      </w:r>
    </w:p>
    <w:p>
      <w:pPr>
        <w:spacing w:after="0" w:line="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Convertible Instruments and Contracts in an Entity’s Own Equity. </w:t>
      </w:r>
      <w:r>
        <w:rPr>
          <w:rFonts w:ascii="Arial" w:cs="Arial" w:eastAsia="Arial" w:hAnsi="Arial"/>
          <w:sz w:val="17"/>
          <w:szCs w:val="17"/>
          <w:color w:val="auto"/>
        </w:rPr>
        <w:t>In August 2020, the FASB issued ASU No. 2020-06,</w:t>
      </w:r>
      <w:r>
        <w:rPr>
          <w:rFonts w:ascii="Arial" w:cs="Arial" w:eastAsia="Arial" w:hAnsi="Arial"/>
          <w:sz w:val="17"/>
          <w:szCs w:val="17"/>
          <w:i w:val="1"/>
          <w:iCs w:val="1"/>
          <w:color w:val="auto"/>
        </w:rPr>
        <w:t xml:space="preserve"> Debt—Debt with Conversion and Other Options (Subtopic 470-20) and Derivatives and Hedging—Contracts in Entity’s Own Equity (Subtopic 815-40): Accounting for Convertible Instruments and Contracts in an Entity’s Own Equity </w:t>
      </w:r>
      <w:r>
        <w:rPr>
          <w:rFonts w:ascii="Arial" w:cs="Arial" w:eastAsia="Arial" w:hAnsi="Arial"/>
          <w:sz w:val="17"/>
          <w:szCs w:val="17"/>
          <w:color w:val="auto"/>
        </w:rPr>
        <w:t>(“ASU 2020-06”). This new guidance simplifies and adds disclosure requirements for the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and measurement of convertible instruments and the settlement assessment for contracts in an entity’s own equity. The guidance also requires the application of the if-converted method to calculate the impact of convertible instruments on diluted earnings per share. ASU 2020-06 is effective for fiscal years, and for interim periods within those fiscal years, beginning after December 15, 2021. The company early adopted the guidance in the first quarter of 2021 using the modified retrospective approach and recognized a cumulative effect of the change of $7.3 million as an adjustment to the opening balance of retained earnings. Upon adoption of ASU 2020-06 the Company eliminated the equity components related to its convertible debt and increased the related liability components by $82.9 million. In addition, as a result of the adoption, our deferred tax liabilities decreased by $18.8 million and additional paid-in capital decreased by $71.4 million.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impact of adoption on the Company’s Consolidated Statement of Operations for fiscal year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8"/>
              </w:rPr>
              <w:t>Fiscal Year 2021</w:t>
            </w: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earnings per share)</w:t>
            </w:r>
          </w:p>
        </w:tc>
        <w:tc>
          <w:tcPr>
            <w:tcW w:w="160" w:type="dxa"/>
            <w:vAlign w:val="bottom"/>
          </w:tcPr>
          <w:p>
            <w:pPr>
              <w:spacing w:after="0"/>
              <w:rPr>
                <w:sz w:val="14"/>
                <w:szCs w:val="14"/>
                <w:color w:val="auto"/>
              </w:rPr>
            </w:pPr>
          </w:p>
        </w:tc>
        <w:tc>
          <w:tcPr>
            <w:tcW w:w="1800" w:type="dxa"/>
            <w:vAlign w:val="bottom"/>
            <w:gridSpan w:val="2"/>
          </w:tcPr>
          <w:p>
            <w:pPr>
              <w:jc w:val="center"/>
              <w:ind w:right="280"/>
              <w:spacing w:after="0" w:line="169" w:lineRule="exact"/>
              <w:rPr>
                <w:sz w:val="20"/>
                <w:szCs w:val="20"/>
                <w:color w:val="auto"/>
              </w:rPr>
            </w:pPr>
            <w:r>
              <w:rPr>
                <w:rFonts w:ascii="Arial" w:cs="Arial" w:eastAsia="Arial" w:hAnsi="Arial"/>
                <w:sz w:val="18"/>
                <w:szCs w:val="18"/>
                <w:color w:val="auto"/>
                <w:w w:val="93"/>
              </w:rPr>
              <w:t>With ASU 2020-06</w:t>
            </w:r>
          </w:p>
        </w:tc>
        <w:tc>
          <w:tcPr>
            <w:tcW w:w="120" w:type="dxa"/>
            <w:vAlign w:val="bottom"/>
          </w:tcPr>
          <w:p>
            <w:pPr>
              <w:spacing w:after="0"/>
              <w:rPr>
                <w:sz w:val="14"/>
                <w:szCs w:val="14"/>
                <w:color w:val="auto"/>
              </w:rPr>
            </w:pPr>
          </w:p>
        </w:tc>
        <w:tc>
          <w:tcPr>
            <w:tcW w:w="1860" w:type="dxa"/>
            <w:vAlign w:val="bottom"/>
            <w:gridSpan w:val="2"/>
          </w:tcPr>
          <w:p>
            <w:pPr>
              <w:jc w:val="center"/>
              <w:ind w:right="240"/>
              <w:spacing w:after="0" w:line="169" w:lineRule="exact"/>
              <w:rPr>
                <w:sz w:val="20"/>
                <w:szCs w:val="20"/>
                <w:color w:val="auto"/>
              </w:rPr>
            </w:pPr>
            <w:r>
              <w:rPr>
                <w:rFonts w:ascii="Arial" w:cs="Arial" w:eastAsia="Arial" w:hAnsi="Arial"/>
                <w:sz w:val="18"/>
                <w:szCs w:val="18"/>
                <w:color w:val="auto"/>
                <w:w w:val="93"/>
              </w:rPr>
              <w:t>Without ASU 2020-06</w:t>
            </w:r>
          </w:p>
        </w:tc>
        <w:tc>
          <w:tcPr>
            <w:tcW w:w="120" w:type="dxa"/>
            <w:vAlign w:val="bottom"/>
          </w:tcPr>
          <w:p>
            <w:pPr>
              <w:spacing w:after="0"/>
              <w:rPr>
                <w:sz w:val="14"/>
                <w:szCs w:val="14"/>
                <w:color w:val="auto"/>
              </w:rPr>
            </w:pPr>
          </w:p>
        </w:tc>
        <w:tc>
          <w:tcPr>
            <w:tcW w:w="174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 xml:space="preserve">Impact of Adoption </w:t>
            </w:r>
            <w:r>
              <w:rPr>
                <w:rFonts w:ascii="Arial" w:cs="Arial" w:eastAsia="Arial" w:hAnsi="Arial"/>
                <w:sz w:val="23"/>
                <w:szCs w:val="23"/>
                <w:color w:val="auto"/>
                <w:w w:val="90"/>
                <w:vertAlign w:val="superscript"/>
              </w:rPr>
              <w:t>(2)</w:t>
            </w:r>
          </w:p>
        </w:tc>
        <w:tc>
          <w:tcPr>
            <w:tcW w:w="0" w:type="dxa"/>
            <w:vAlign w:val="bottom"/>
          </w:tcPr>
          <w:p>
            <w:pPr>
              <w:spacing w:after="0"/>
              <w:rPr>
                <w:sz w:val="1"/>
                <w:szCs w:val="1"/>
                <w:color w:val="auto"/>
              </w:rPr>
            </w:pPr>
          </w:p>
        </w:tc>
      </w:tr>
      <w:tr>
        <w:trPr>
          <w:trHeight w:val="230"/>
        </w:trPr>
        <w:tc>
          <w:tcPr>
            <w:tcW w:w="54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Adoption</w:t>
            </w:r>
          </w:p>
        </w:tc>
        <w:tc>
          <w:tcPr>
            <w:tcW w:w="120" w:type="dxa"/>
            <w:vAlign w:val="bottom"/>
          </w:tcPr>
          <w:p>
            <w:pPr>
              <w:spacing w:after="0"/>
              <w:rPr>
                <w:sz w:val="19"/>
                <w:szCs w:val="19"/>
                <w:color w:val="auto"/>
              </w:rPr>
            </w:pPr>
          </w:p>
        </w:tc>
        <w:tc>
          <w:tcPr>
            <w:tcW w:w="1860" w:type="dxa"/>
            <w:vAlign w:val="bottom"/>
            <w:gridSpan w:val="2"/>
          </w:tcPr>
          <w:p>
            <w:pPr>
              <w:jc w:val="center"/>
              <w:ind w:right="240"/>
              <w:spacing w:after="0" w:line="230" w:lineRule="exact"/>
              <w:rPr>
                <w:sz w:val="20"/>
                <w:szCs w:val="20"/>
                <w:color w:val="auto"/>
              </w:rPr>
            </w:pPr>
            <w:r>
              <w:rPr>
                <w:rFonts w:ascii="Arial" w:cs="Arial" w:eastAsia="Arial" w:hAnsi="Arial"/>
                <w:sz w:val="18"/>
                <w:szCs w:val="18"/>
                <w:color w:val="auto"/>
                <w:w w:val="90"/>
              </w:rPr>
              <w:t xml:space="preserve">Adoption </w:t>
            </w:r>
            <w:r>
              <w:rPr>
                <w:rFonts w:ascii="Arial" w:cs="Arial" w:eastAsia="Arial" w:hAnsi="Arial"/>
                <w:sz w:val="23"/>
                <w:szCs w:val="23"/>
                <w:color w:val="auto"/>
                <w:w w:val="90"/>
                <w:vertAlign w:val="superscript"/>
              </w:rPr>
              <w:t>(1)</w:t>
            </w:r>
          </w:p>
        </w:tc>
        <w:tc>
          <w:tcPr>
            <w:tcW w:w="12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4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7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7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174,937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174,937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149,325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133,302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128,244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115,820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12,424</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basic EPS</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81,820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81,820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for diluted EPS</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12,912</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ind w:left="220" w:right="20"/>
        <w:spacing w:after="0" w:line="205" w:lineRule="auto"/>
        <w:rPr>
          <w:sz w:val="20"/>
          <w:szCs w:val="20"/>
          <w:color w:val="auto"/>
        </w:rPr>
      </w:pPr>
      <w:r>
        <w:rPr>
          <w:rFonts w:ascii="Arial" w:cs="Arial" w:eastAsia="Arial" w:hAnsi="Arial"/>
          <w:sz w:val="14"/>
          <w:szCs w:val="14"/>
          <w:i w:val="1"/>
          <w:iCs w:val="1"/>
          <w:color w:val="auto"/>
        </w:rPr>
        <w:t>(1)Antidilutive shares are excluded from the computation of weighted average shares outstanding for diluted EPS. The 2025 Notes would have been antidilutive for the fiscal year ended 2021 without the adoption of ASU 2020-06 and are, therefore, excluded from the computation of diluted EPS.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(2) Impact of adoption on basic earnings per share is calculated using impact on net income divided by basic weighted average shares outstanding during the period.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 xml:space="preserve">Reference Rate Reform. </w:t>
      </w:r>
      <w:r>
        <w:rPr>
          <w:rFonts w:ascii="Arial" w:cs="Arial" w:eastAsia="Arial" w:hAnsi="Arial"/>
          <w:sz w:val="16"/>
          <w:szCs w:val="16"/>
          <w:color w:val="auto"/>
        </w:rPr>
        <w:t>In March 2020, the FASB issued ASU No. 2020-04,</w:t>
      </w:r>
      <w:r>
        <w:rPr>
          <w:rFonts w:ascii="Arial" w:cs="Arial" w:eastAsia="Arial" w:hAnsi="Arial"/>
          <w:sz w:val="16"/>
          <w:szCs w:val="16"/>
          <w:i w:val="1"/>
          <w:iCs w:val="1"/>
          <w:color w:val="auto"/>
        </w:rPr>
        <w:t xml:space="preserve"> Facilitation of the Effects of Reference Rate Reform on Financial Reporting </w:t>
      </w:r>
      <w:r>
        <w:rPr>
          <w:rFonts w:ascii="Arial" w:cs="Arial" w:eastAsia="Arial" w:hAnsi="Arial"/>
          <w:sz w:val="16"/>
          <w:szCs w:val="16"/>
          <w:color w:val="auto"/>
        </w:rPr>
        <w:t>(“ASU 2020-04”). This guidance provides optional expedients and exceptions for applying U.S. GAAP to contracts, hedging relationships, and other transactions that may be affected by the cessation of the London Inter-bank Offered Rate (“LIBOR.”) An entity may elect to apply the amendments for contract modifications as of any date from the beginning of an interim period that includes or is subsequent to March 12, 2020 through December 31, 2022. A substantial portion of our debt is subject to interest payments that are indexed to LIBOR; additionally, we are party to an interest rate derivative based on LIBOR. We are currently evaluating the effect of this guidance and have not applied the provisions of this guidance during the current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Details of Certain Balance Sheet Accounts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Balance Sheets to the total of Cash, cash equivalents and restricted cash shown in the Consolidated Statement of Cash Flows: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color w:val="auto"/>
              </w:rPr>
              <w:t>Fiscal Year 2021</w:t>
            </w:r>
          </w:p>
        </w:tc>
        <w:tc>
          <w:tcPr>
            <w:tcW w:w="280" w:type="dxa"/>
            <w:vAlign w:val="bottom"/>
          </w:tcPr>
          <w:p>
            <w:pPr>
              <w:spacing w:after="0"/>
              <w:rPr>
                <w:sz w:val="20"/>
                <w:szCs w:val="20"/>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Fiscal Year 2020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center"/>
              <w:ind w:right="190"/>
              <w:spacing w:after="0"/>
              <w:rPr>
                <w:sz w:val="20"/>
                <w:szCs w:val="20"/>
                <w:color w:val="auto"/>
              </w:rPr>
            </w:pPr>
            <w:r>
              <w:rPr>
                <w:rFonts w:ascii="Arial" w:cs="Arial" w:eastAsia="Arial" w:hAnsi="Arial"/>
                <w:sz w:val="18"/>
                <w:szCs w:val="18"/>
                <w:color w:val="auto"/>
                <w:w w:val="90"/>
              </w:rPr>
              <w:t>Fiscal Year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2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305,800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373,903</w:t>
            </w:r>
          </w:p>
        </w:tc>
        <w:tc>
          <w:tcPr>
            <w:tcW w:w="10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39,342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included in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375,159</w:t>
            </w:r>
          </w:p>
        </w:tc>
        <w:tc>
          <w:tcPr>
            <w:tcW w:w="10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5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As of</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jc w:val="center"/>
              <w:ind w:right="170"/>
              <w:spacing w:after="0"/>
              <w:rPr>
                <w:sz w:val="20"/>
                <w:szCs w:val="20"/>
                <w:color w:val="auto"/>
              </w:rPr>
            </w:pPr>
            <w:r>
              <w:rPr>
                <w:rFonts w:ascii="Arial" w:cs="Arial" w:eastAsia="Arial" w:hAnsi="Arial"/>
                <w:sz w:val="18"/>
                <w:szCs w:val="18"/>
                <w:color w:val="auto"/>
                <w:w w:val="97"/>
              </w:rPr>
              <w:t>As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January 1, 2022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center"/>
              <w:ind w:right="170"/>
              <w:spacing w:after="0"/>
              <w:rPr>
                <w:sz w:val="20"/>
                <w:szCs w:val="20"/>
                <w:color w:val="auto"/>
              </w:rPr>
            </w:pPr>
            <w:r>
              <w:rPr>
                <w:rFonts w:ascii="Arial" w:cs="Arial" w:eastAsia="Arial" w:hAnsi="Arial"/>
                <w:sz w:val="18"/>
                <w:szCs w:val="18"/>
                <w:color w:val="auto"/>
                <w:w w:val="89"/>
              </w:rPr>
              <w:t>January 2,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2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Trade receivables</w:t>
            </w: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32,504</w:t>
            </w:r>
          </w:p>
        </w:tc>
        <w:tc>
          <w:tcPr>
            <w:tcW w:w="10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28,405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card receivables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6,685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Allowance for credit losses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5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As of</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jc w:val="center"/>
              <w:ind w:right="170"/>
              <w:spacing w:after="0"/>
              <w:rPr>
                <w:sz w:val="20"/>
                <w:szCs w:val="20"/>
                <w:color w:val="auto"/>
              </w:rPr>
            </w:pPr>
            <w:r>
              <w:rPr>
                <w:rFonts w:ascii="Arial" w:cs="Arial" w:eastAsia="Arial" w:hAnsi="Arial"/>
                <w:sz w:val="18"/>
                <w:szCs w:val="18"/>
                <w:color w:val="auto"/>
                <w:w w:val="97"/>
              </w:rPr>
              <w:t>As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January 1, 2022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center"/>
              <w:ind w:right="170"/>
              <w:spacing w:after="0"/>
              <w:rPr>
                <w:sz w:val="20"/>
                <w:szCs w:val="20"/>
                <w:color w:val="auto"/>
              </w:rPr>
            </w:pPr>
            <w:r>
              <w:rPr>
                <w:rFonts w:ascii="Arial" w:cs="Arial" w:eastAsia="Arial" w:hAnsi="Arial"/>
                <w:sz w:val="18"/>
                <w:szCs w:val="18"/>
                <w:color w:val="auto"/>
                <w:w w:val="89"/>
              </w:rPr>
              <w:t>January 2,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2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65,262</w:t>
            </w:r>
          </w:p>
        </w:tc>
        <w:tc>
          <w:tcPr>
            <w:tcW w:w="10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55,473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Finished goods</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123,669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111,274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0</wp:posOffset>
            </wp:positionV>
            <wp:extent cx="28200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 w:lineRule="exact"/>
        <w:rPr>
          <w:sz w:val="20"/>
          <w:szCs w:val="20"/>
          <w:color w:val="auto"/>
        </w:rPr>
      </w:pPr>
    </w:p>
    <w:p>
      <w:pPr>
        <w:ind w:left="20" w:right="420" w:firstLine="6"/>
        <w:spacing w:after="0" w:line="236" w:lineRule="auto"/>
        <w:tabs>
          <w:tab w:leader="none" w:pos="224" w:val="left"/>
        </w:tabs>
        <w:numPr>
          <w:ilvl w:val="0"/>
          <w:numId w:val="39"/>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-188595</wp:posOffset>
            </wp:positionV>
            <wp:extent cx="28200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18"/>
                <w:szCs w:val="18"/>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4540" w:type="dxa"/>
            <w:vAlign w:val="bottom"/>
            <w:vMerge w:val="continue"/>
          </w:tcPr>
          <w:p>
            <w:pPr>
              <w:spacing w:after="0"/>
              <w:rPr>
                <w:sz w:val="19"/>
                <w:szCs w:val="19"/>
                <w:color w:val="auto"/>
              </w:rPr>
            </w:pP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January 1, 2022</w:t>
            </w:r>
          </w:p>
        </w:tc>
        <w:tc>
          <w:tcPr>
            <w:tcW w:w="300" w:type="dxa"/>
            <w:vAlign w:val="bottom"/>
          </w:tcPr>
          <w:p>
            <w:pPr>
              <w:spacing w:after="0"/>
              <w:rPr>
                <w:sz w:val="19"/>
                <w:szCs w:val="19"/>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Land and building</w:t>
            </w:r>
          </w:p>
        </w:tc>
        <w:tc>
          <w:tcPr>
            <w:tcW w:w="2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3,625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Equipment</w:t>
            </w:r>
          </w:p>
        </w:tc>
        <w:tc>
          <w:tcPr>
            <w:tcW w:w="2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207,265</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Information technology hardware and software</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137,261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129,008</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Furniture and fixtures</w:t>
            </w:r>
          </w:p>
        </w:tc>
        <w:tc>
          <w:tcPr>
            <w:tcW w:w="2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56,277</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Leasehold improvements</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251,023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220,720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in progress</w:t>
            </w:r>
          </w:p>
        </w:tc>
        <w:tc>
          <w:tcPr>
            <w:tcW w:w="2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23,859</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Right of use assets under finance leases</w:t>
            </w:r>
          </w:p>
        </w:tc>
        <w:tc>
          <w:tcPr>
            <w:tcW w:w="2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36,757</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677,510</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2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(336,217)</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341,293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right"/>
              <w:ind w:right="990"/>
              <w:spacing w:after="0"/>
              <w:rPr>
                <w:sz w:val="20"/>
                <w:szCs w:val="20"/>
                <w:color w:val="auto"/>
              </w:rPr>
            </w:pPr>
            <w:r>
              <w:rPr>
                <w:rFonts w:ascii="Arial" w:cs="Arial" w:eastAsia="Arial" w:hAnsi="Arial"/>
                <w:sz w:val="18"/>
                <w:szCs w:val="18"/>
                <w:color w:val="auto"/>
              </w:rPr>
              <w:t>88</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45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1240" w:type="dxa"/>
            <w:vAlign w:val="bottom"/>
            <w:tcBorders>
              <w:top w:val="single" w:sz="8" w:color="0000FF"/>
            </w:tcBorders>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556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24"/>
                <w:szCs w:val="24"/>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1240" w:type="dxa"/>
            <w:vAlign w:val="bottom"/>
            <w:vMerge w:val="continue"/>
          </w:tcPr>
          <w:p>
            <w:pPr>
              <w:spacing w:after="0"/>
              <w:rPr>
                <w:sz w:val="19"/>
                <w:szCs w:val="19"/>
                <w:color w:val="auto"/>
              </w:rPr>
            </w:pPr>
          </w:p>
        </w:tc>
        <w:tc>
          <w:tcPr>
            <w:tcW w:w="55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January 1, 2022</w:t>
            </w:r>
          </w:p>
        </w:tc>
        <w:tc>
          <w:tcPr>
            <w:tcW w:w="300" w:type="dxa"/>
            <w:vAlign w:val="bottom"/>
          </w:tcPr>
          <w:p>
            <w:pPr>
              <w:spacing w:after="0"/>
              <w:rPr>
                <w:sz w:val="19"/>
                <w:szCs w:val="19"/>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payables and accrued expenses:</w:t>
            </w: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Associate compensation and benefits </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55,670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51,081</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Self-insurance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0" w:type="dxa"/>
            <w:vAlign w:val="bottom"/>
          </w:tcPr>
          <w:p>
            <w:pPr>
              <w:spacing w:after="0"/>
              <w:rPr>
                <w:sz w:val="1"/>
                <w:szCs w:val="1"/>
                <w:color w:val="auto"/>
              </w:rPr>
            </w:pPr>
          </w:p>
        </w:tc>
      </w:tr>
      <w:tr>
        <w:trPr>
          <w:trHeight w:val="230"/>
        </w:trPr>
        <w:tc>
          <w:tcPr>
            <w:tcW w:w="6800" w:type="dxa"/>
            <w:vAlign w:val="bottom"/>
            <w:gridSpan w:val="2"/>
          </w:tcPr>
          <w:p>
            <w:pPr>
              <w:ind w:left="1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10,571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Advertising</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30"/>
        </w:trPr>
        <w:tc>
          <w:tcPr>
            <w:tcW w:w="6800" w:type="dxa"/>
            <w:vAlign w:val="bottom"/>
            <w:gridSpan w:val="2"/>
          </w:tcPr>
          <w:p>
            <w:pPr>
              <w:ind w:left="140"/>
              <w:spacing w:after="0"/>
              <w:rPr>
                <w:sz w:val="20"/>
                <w:szCs w:val="20"/>
                <w:color w:val="auto"/>
              </w:rPr>
            </w:pPr>
            <w:r>
              <w:rPr>
                <w:rFonts w:ascii="Arial" w:cs="Arial" w:eastAsia="Arial" w:hAnsi="Arial"/>
                <w:sz w:val="18"/>
                <w:szCs w:val="18"/>
                <w:color w:val="auto"/>
              </w:rPr>
              <w:t>Reserves for customer returns and remakes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7,556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Legacy management &amp; services agreement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0" w:type="dxa"/>
            <w:vAlign w:val="bottom"/>
          </w:tcPr>
          <w:p>
            <w:pPr>
              <w:spacing w:after="0"/>
              <w:rPr>
                <w:sz w:val="1"/>
                <w:szCs w:val="1"/>
                <w:color w:val="auto"/>
              </w:rPr>
            </w:pPr>
          </w:p>
        </w:tc>
      </w:tr>
      <w:tr>
        <w:trPr>
          <w:trHeight w:val="229"/>
        </w:trPr>
        <w:tc>
          <w:tcPr>
            <w:tcW w:w="6800" w:type="dxa"/>
            <w:vAlign w:val="bottom"/>
            <w:gridSpan w:val="2"/>
          </w:tcPr>
          <w:p>
            <w:pPr>
              <w:ind w:left="140"/>
              <w:spacing w:after="0"/>
              <w:rPr>
                <w:sz w:val="20"/>
                <w:szCs w:val="20"/>
                <w:color w:val="auto"/>
              </w:rPr>
            </w:pPr>
            <w:r>
              <w:rPr>
                <w:rFonts w:ascii="Arial" w:cs="Arial" w:eastAsia="Arial" w:hAnsi="Arial"/>
                <w:sz w:val="18"/>
                <w:szCs w:val="18"/>
                <w:color w:val="auto"/>
              </w:rPr>
              <w:t>Fair value of derivative liabilities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2,846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Supplies and other store support expenses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29"/>
        </w:trPr>
        <w:tc>
          <w:tcPr>
            <w:tcW w:w="6800" w:type="dxa"/>
            <w:vAlign w:val="bottom"/>
            <w:gridSpan w:val="2"/>
          </w:tcPr>
          <w:p>
            <w:pPr>
              <w:ind w:left="140"/>
              <w:spacing w:after="0"/>
              <w:rPr>
                <w:sz w:val="20"/>
                <w:szCs w:val="20"/>
                <w:color w:val="auto"/>
              </w:rPr>
            </w:pPr>
            <w:r>
              <w:rPr>
                <w:rFonts w:ascii="Arial" w:cs="Arial" w:eastAsia="Arial" w:hAnsi="Arial"/>
                <w:sz w:val="18"/>
                <w:szCs w:val="18"/>
                <w:color w:val="auto"/>
              </w:rPr>
              <w:t>Litigation settlements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Lease concessions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13,654</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CCEEFF"/>
            </w:tcBorders>
            <w:shd w:val="clear" w:color="auto" w:fill="CCEEFF"/>
          </w:tcPr>
          <w:p>
            <w:pPr>
              <w:spacing w:after="0"/>
              <w:rPr>
                <w:sz w:val="20"/>
                <w:szCs w:val="20"/>
                <w:color w:val="auto"/>
              </w:rPr>
            </w:pPr>
          </w:p>
        </w:tc>
        <w:tc>
          <w:tcPr>
            <w:tcW w:w="5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119,323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110,309</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5"/>
          <w:szCs w:val="15"/>
          <w:color w:val="auto"/>
        </w:rPr>
        <w:t>(1) Includes CARES Act deferred employer payroll taxes in the amount of $0.0 million and $12.8 million as of January 1, 2022 and January 2,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-102870</wp:posOffset>
            </wp:positionV>
            <wp:extent cx="28200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2"/>
          </w:tcPr>
          <w:p>
            <w:pPr>
              <w:ind w:left="860"/>
              <w:spacing w:after="0"/>
              <w:rPr>
                <w:sz w:val="20"/>
                <w:szCs w:val="20"/>
                <w:color w:val="auto"/>
              </w:rPr>
            </w:pPr>
            <w:r>
              <w:rPr>
                <w:rFonts w:ascii="Arial" w:cs="Arial" w:eastAsia="Arial" w:hAnsi="Arial"/>
                <w:sz w:val="18"/>
                <w:szCs w:val="18"/>
                <w:color w:val="auto"/>
              </w:rPr>
              <w:t>As of</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86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January 1, 2022</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8"/>
                <w:szCs w:val="18"/>
                <w:color w:val="auto"/>
                <w:w w:val="89"/>
              </w:rPr>
              <w:t>January 2, 2021</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Fair value of derivative liabilities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ind w:right="1113"/>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488</w:t>
            </w:r>
          </w:p>
        </w:tc>
        <w:tc>
          <w:tcPr>
            <w:tcW w:w="6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Self-insurance 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6,170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2,316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113"/>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8,974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3. Goodwill and Intangible Assets</w:t>
            </w: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5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580" w:type="dxa"/>
            <w:vAlign w:val="bottom"/>
            <w:gridSpan w:val="12"/>
          </w:tcPr>
          <w:p>
            <w:pPr>
              <w:spacing w:after="0"/>
              <w:rPr>
                <w:sz w:val="20"/>
                <w:szCs w:val="20"/>
                <w:color w:val="auto"/>
              </w:rPr>
            </w:pPr>
            <w:r>
              <w:rPr>
                <w:rFonts w:ascii="Arial" w:cs="Arial" w:eastAsia="Arial" w:hAnsi="Arial"/>
                <w:sz w:val="18"/>
                <w:szCs w:val="18"/>
                <w:color w:val="auto"/>
                <w:w w:val="94"/>
              </w:rPr>
              <w:t>The gross carrying amount and accumulated impairment of the Company’s goodwill balances for 2021 and 2020 are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jc w:val="center"/>
              <w:ind w:left="1070"/>
              <w:spacing w:after="0"/>
              <w:rPr>
                <w:sz w:val="20"/>
                <w:szCs w:val="20"/>
                <w:color w:val="auto"/>
              </w:rPr>
            </w:pPr>
            <w:r>
              <w:rPr>
                <w:rFonts w:ascii="Arial" w:cs="Arial" w:eastAsia="Arial" w:hAnsi="Arial"/>
                <w:sz w:val="18"/>
                <w:szCs w:val="18"/>
                <w:color w:val="auto"/>
                <w:w w:val="92"/>
              </w:rPr>
              <w:t>As of</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4"/>
          </w:tcPr>
          <w:p>
            <w:pPr>
              <w:jc w:val="center"/>
              <w:ind w:left="330"/>
              <w:spacing w:after="0"/>
              <w:rPr>
                <w:sz w:val="20"/>
                <w:szCs w:val="20"/>
                <w:color w:val="auto"/>
              </w:rPr>
            </w:pPr>
            <w:r>
              <w:rPr>
                <w:rFonts w:ascii="Arial" w:cs="Arial" w:eastAsia="Arial" w:hAnsi="Arial"/>
                <w:sz w:val="18"/>
                <w:szCs w:val="18"/>
                <w:color w:val="auto"/>
                <w:w w:val="97"/>
              </w:rPr>
              <w:t>As of</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6"/>
          </w:tcPr>
          <w:p>
            <w:pPr>
              <w:jc w:val="center"/>
              <w:ind w:right="240"/>
              <w:spacing w:after="0"/>
              <w:rPr>
                <w:sz w:val="20"/>
                <w:szCs w:val="20"/>
                <w:color w:val="auto"/>
              </w:rPr>
            </w:pPr>
            <w:r>
              <w:rPr>
                <w:rFonts w:ascii="Arial" w:cs="Arial" w:eastAsia="Arial" w:hAnsi="Arial"/>
                <w:sz w:val="18"/>
                <w:szCs w:val="18"/>
                <w:color w:val="auto"/>
                <w:w w:val="88"/>
              </w:rPr>
              <w:t>January 1, 2022</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6"/>
          </w:tcPr>
          <w:p>
            <w:pPr>
              <w:jc w:val="center"/>
              <w:ind w:right="900"/>
              <w:spacing w:after="0"/>
              <w:rPr>
                <w:sz w:val="20"/>
                <w:szCs w:val="20"/>
                <w:color w:val="auto"/>
              </w:rPr>
            </w:pPr>
            <w:r>
              <w:rPr>
                <w:rFonts w:ascii="Arial" w:cs="Arial" w:eastAsia="Arial" w:hAnsi="Arial"/>
                <w:sz w:val="18"/>
                <w:szCs w:val="18"/>
                <w:color w:val="auto"/>
                <w:w w:val="88"/>
              </w:rPr>
              <w:t>January 2, 2021</w:t>
            </w:r>
          </w:p>
        </w:tc>
        <w:tc>
          <w:tcPr>
            <w:tcW w:w="0" w:type="dxa"/>
            <w:vAlign w:val="bottom"/>
          </w:tcPr>
          <w:p>
            <w:pPr>
              <w:spacing w:after="0"/>
              <w:rPr>
                <w:sz w:val="1"/>
                <w:szCs w:val="1"/>
                <w:color w:val="auto"/>
              </w:rPr>
            </w:pPr>
          </w:p>
        </w:tc>
      </w:tr>
      <w:tr>
        <w:trPr>
          <w:trHeight w:val="169"/>
        </w:trPr>
        <w:tc>
          <w:tcPr>
            <w:tcW w:w="51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color w:val="auto"/>
              </w:rPr>
              <w:t>Gross Carrying</w:t>
            </w: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113"/>
              <w:spacing w:after="0" w:line="169" w:lineRule="exact"/>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4"/>
                <w:szCs w:val="14"/>
                <w:color w:val="auto"/>
              </w:rPr>
            </w:pPr>
          </w:p>
        </w:tc>
        <w:tc>
          <w:tcPr>
            <w:tcW w:w="1360" w:type="dxa"/>
            <w:vAlign w:val="bottom"/>
            <w:tcBorders>
              <w:top w:val="single" w:sz="8" w:color="auto"/>
            </w:tcBorders>
            <w:gridSpan w:val="4"/>
          </w:tcPr>
          <w:p>
            <w:pPr>
              <w:jc w:val="right"/>
              <w:ind w:right="30"/>
              <w:spacing w:after="0" w:line="169" w:lineRule="exact"/>
              <w:rPr>
                <w:sz w:val="20"/>
                <w:szCs w:val="20"/>
                <w:color w:val="auto"/>
              </w:rPr>
            </w:pPr>
            <w:r>
              <w:rPr>
                <w:rFonts w:ascii="Arial" w:cs="Arial" w:eastAsia="Arial" w:hAnsi="Arial"/>
                <w:sz w:val="18"/>
                <w:szCs w:val="18"/>
                <w:color w:val="auto"/>
              </w:rPr>
              <w:t>Gross Carrying</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color w:val="auto"/>
                <w:w w:val="92"/>
              </w:rPr>
              <w:t>Accumulated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30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Impairment</w:t>
            </w:r>
          </w:p>
        </w:tc>
        <w:tc>
          <w:tcPr>
            <w:tcW w:w="240" w:type="dxa"/>
            <w:vAlign w:val="bottom"/>
          </w:tcPr>
          <w:p>
            <w:pPr>
              <w:spacing w:after="0"/>
              <w:rPr>
                <w:sz w:val="19"/>
                <w:szCs w:val="19"/>
                <w:color w:val="auto"/>
              </w:rPr>
            </w:pPr>
          </w:p>
        </w:tc>
        <w:tc>
          <w:tcPr>
            <w:tcW w:w="1120" w:type="dxa"/>
            <w:vAlign w:val="bottom"/>
            <w:gridSpan w:val="3"/>
          </w:tcPr>
          <w:p>
            <w:pPr>
              <w:jc w:val="right"/>
              <w:ind w:right="25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Impairment</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Owned &amp; Host Segment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736,901</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Legacy Segment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60,069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60,069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Corporate/Other</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805,077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805,077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Accumulated goodwill impairment relates to our Fred Meyer, Military and AC Lens reporting units.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w w:val="96"/>
              </w:rPr>
              <w:t>Indefinite-lived intangible assets by major asset class are as follows:</w:t>
            </w: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24"/>
                <w:szCs w:val="24"/>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524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January 1, 2022</w:t>
            </w:r>
          </w:p>
        </w:tc>
        <w:tc>
          <w:tcPr>
            <w:tcW w:w="300" w:type="dxa"/>
            <w:vAlign w:val="bottom"/>
          </w:tcPr>
          <w:p>
            <w:pPr>
              <w:spacing w:after="0"/>
              <w:rPr>
                <w:sz w:val="19"/>
                <w:szCs w:val="19"/>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Trademarks and trade names:</w:t>
            </w:r>
          </w:p>
        </w:tc>
        <w:tc>
          <w:tcPr>
            <w:tcW w:w="1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America’s Best</w:t>
            </w:r>
          </w:p>
        </w:tc>
        <w:tc>
          <w:tcPr>
            <w:tcW w:w="18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200,547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200,547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Eyeglass World</w:t>
            </w:r>
          </w:p>
        </w:tc>
        <w:tc>
          <w:tcPr>
            <w:tcW w:w="15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560" w:type="dxa"/>
            <w:vAlign w:val="bottom"/>
            <w:vMerge w:val="restart"/>
          </w:tcPr>
          <w:p>
            <w:pPr>
              <w:jc w:val="right"/>
              <w:ind w:right="990"/>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2"/>
        </w:trPr>
        <w:tc>
          <w:tcPr>
            <w:tcW w:w="52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We intend to maintain our trademarks; renewals will take place as needed.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Finite-lived, amortizing intangible assets by major asset class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1"/>
              </w:rPr>
              <w:t>As of January 1, 2022</w:t>
            </w: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1"/>
              </w:rPr>
              <w:t>As of January 2, 2021</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280" w:type="dxa"/>
            <w:vAlign w:val="bottom"/>
            <w:gridSpan w:val="2"/>
          </w:tcPr>
          <w:p>
            <w:pPr>
              <w:jc w:val="right"/>
              <w:ind w:right="30"/>
              <w:spacing w:after="0" w:line="169" w:lineRule="exact"/>
              <w:rPr>
                <w:sz w:val="20"/>
                <w:szCs w:val="20"/>
                <w:color w:val="auto"/>
              </w:rPr>
            </w:pPr>
            <w:r>
              <w:rPr>
                <w:rFonts w:ascii="Arial" w:cs="Arial" w:eastAsia="Arial" w:hAnsi="Arial"/>
                <w:sz w:val="18"/>
                <w:szCs w:val="18"/>
                <w:color w:val="auto"/>
                <w:w w:val="94"/>
              </w:rPr>
              <w:t>Gross 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Accumulated</w:t>
            </w:r>
          </w:p>
        </w:tc>
        <w:tc>
          <w:tcPr>
            <w:tcW w:w="1320" w:type="dxa"/>
            <w:vAlign w:val="bottom"/>
          </w:tcPr>
          <w:p>
            <w:pPr>
              <w:jc w:val="center"/>
              <w:spacing w:after="0" w:line="169" w:lineRule="exact"/>
              <w:rPr>
                <w:sz w:val="20"/>
                <w:szCs w:val="20"/>
                <w:color w:val="auto"/>
              </w:rPr>
            </w:pPr>
            <w:r>
              <w:rPr>
                <w:rFonts w:ascii="Arial" w:cs="Arial" w:eastAsia="Arial" w:hAnsi="Arial"/>
                <w:sz w:val="18"/>
                <w:szCs w:val="18"/>
                <w:color w:val="auto"/>
                <w:w w:val="94"/>
              </w:rPr>
              <w:t>Remaining Life</w:t>
            </w:r>
          </w:p>
        </w:tc>
        <w:tc>
          <w:tcPr>
            <w:tcW w:w="120" w:type="dxa"/>
            <w:vAlign w:val="bottom"/>
          </w:tcPr>
          <w:p>
            <w:pPr>
              <w:spacing w:after="0"/>
              <w:rPr>
                <w:sz w:val="14"/>
                <w:szCs w:val="14"/>
                <w:color w:val="auto"/>
              </w:rPr>
            </w:pPr>
          </w:p>
        </w:tc>
        <w:tc>
          <w:tcPr>
            <w:tcW w:w="1280" w:type="dxa"/>
            <w:vAlign w:val="bottom"/>
            <w:gridSpan w:val="2"/>
          </w:tcPr>
          <w:p>
            <w:pPr>
              <w:jc w:val="right"/>
              <w:ind w:right="10"/>
              <w:spacing w:after="0" w:line="169" w:lineRule="exact"/>
              <w:rPr>
                <w:sz w:val="20"/>
                <w:szCs w:val="20"/>
                <w:color w:val="auto"/>
              </w:rPr>
            </w:pPr>
            <w:r>
              <w:rPr>
                <w:rFonts w:ascii="Arial" w:cs="Arial" w:eastAsia="Arial" w:hAnsi="Arial"/>
                <w:sz w:val="18"/>
                <w:szCs w:val="18"/>
                <w:color w:val="auto"/>
                <w:w w:val="95"/>
              </w:rPr>
              <w:t>Gross Carrying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Accumulated</w:t>
            </w:r>
          </w:p>
        </w:tc>
        <w:tc>
          <w:tcPr>
            <w:tcW w:w="1320" w:type="dxa"/>
            <w:vAlign w:val="bottom"/>
          </w:tcPr>
          <w:p>
            <w:pPr>
              <w:jc w:val="center"/>
              <w:spacing w:after="0" w:line="169" w:lineRule="exact"/>
              <w:rPr>
                <w:sz w:val="20"/>
                <w:szCs w:val="20"/>
                <w:color w:val="auto"/>
              </w:rPr>
            </w:pPr>
            <w:r>
              <w:rPr>
                <w:rFonts w:ascii="Arial" w:cs="Arial" w:eastAsia="Arial" w:hAnsi="Arial"/>
                <w:sz w:val="18"/>
                <w:szCs w:val="18"/>
                <w:color w:val="auto"/>
                <w:w w:val="94"/>
              </w:rPr>
              <w:t>Remaining Life</w:t>
            </w:r>
          </w:p>
        </w:tc>
        <w:tc>
          <w:tcPr>
            <w:tcW w:w="0" w:type="dxa"/>
            <w:vAlign w:val="bottom"/>
          </w:tcPr>
          <w:p>
            <w:pPr>
              <w:spacing w:after="0"/>
              <w:rPr>
                <w:sz w:val="1"/>
                <w:szCs w:val="1"/>
                <w:color w:val="auto"/>
              </w:rPr>
            </w:pPr>
          </w:p>
        </w:tc>
      </w:tr>
      <w:tr>
        <w:trPr>
          <w:trHeight w:val="229"/>
        </w:trPr>
        <w:tc>
          <w:tcPr>
            <w:tcW w:w="25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Amortization</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(Years)</w:t>
            </w:r>
          </w:p>
        </w:tc>
        <w:tc>
          <w:tcPr>
            <w:tcW w:w="22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Amortization</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(Years)</w:t>
            </w:r>
          </w:p>
        </w:tc>
        <w:tc>
          <w:tcPr>
            <w:tcW w:w="0" w:type="dxa"/>
            <w:vAlign w:val="bottom"/>
          </w:tcPr>
          <w:p>
            <w:pPr>
              <w:spacing w:after="0"/>
              <w:rPr>
                <w:sz w:val="1"/>
                <w:szCs w:val="1"/>
                <w:color w:val="auto"/>
              </w:rPr>
            </w:pPr>
          </w:p>
        </w:tc>
      </w:tr>
      <w:tr>
        <w:trPr>
          <w:trHeight w:val="209"/>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 and relationships:</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20"/>
              <w:spacing w:after="0"/>
              <w:rPr>
                <w:sz w:val="20"/>
                <w:szCs w:val="20"/>
                <w:color w:val="auto"/>
              </w:rPr>
            </w:pPr>
            <w:r>
              <w:rPr>
                <w:rFonts w:ascii="Arial" w:cs="Arial" w:eastAsia="Arial" w:hAnsi="Arial"/>
                <w:sz w:val="18"/>
                <w:szCs w:val="18"/>
                <w:color w:val="auto"/>
              </w:rPr>
              <w:t>Legacy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46,117</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40,154</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Fred Meyer</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Customer database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19"/>
                <w:szCs w:val="19"/>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105,146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63,126</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105,146</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55,635</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extended our relationship with Walmart in fiscal year 2020. Refer to Note 14. “Segment Reporting” for more information. We are in the process of renewing our agreement with Fred Meyer and intend to maintain our intangible assets.</w:t>
      </w:r>
    </w:p>
    <w:p>
      <w:pPr>
        <w:spacing w:after="0" w:line="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Aggregate amortization expense is included in Depreciation and amortization in the accompanying Consolidated Statements of Operations. Aggregate future estimated amortization expense is shown in the following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Fiscal Year</w:t>
            </w: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i w:val="1"/>
                <w:iCs w:val="1"/>
                <w:color w:val="auto"/>
                <w:w w:val="91"/>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2023</w:t>
            </w: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2025</w:t>
            </w: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bottom w:val="single" w:sz="8" w:color="CCEEFF"/>
            </w:tcBorders>
            <w:vMerge w:val="restart"/>
          </w:tcPr>
          <w:p>
            <w:pPr>
              <w:jc w:val="right"/>
              <w:ind w:right="3050"/>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5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4. Long-term Debt</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8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4"/>
                <w:szCs w:val="24"/>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24"/>
                <w:szCs w:val="24"/>
                <w:color w:val="auto"/>
              </w:rPr>
            </w:pPr>
          </w:p>
        </w:tc>
        <w:tc>
          <w:tcPr>
            <w:tcW w:w="186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68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January 1, 2022</w:t>
            </w:r>
          </w:p>
        </w:tc>
        <w:tc>
          <w:tcPr>
            <w:tcW w:w="300" w:type="dxa"/>
            <w:vAlign w:val="bottom"/>
          </w:tcPr>
          <w:p>
            <w:pPr>
              <w:spacing w:after="0"/>
              <w:rPr>
                <w:sz w:val="19"/>
                <w:szCs w:val="19"/>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2025 Notes, due May 15, 2025</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0" w:type="dxa"/>
            <w:vAlign w:val="bottom"/>
          </w:tcPr>
          <w:p>
            <w:pPr>
              <w:spacing w:after="0"/>
              <w:rPr>
                <w:sz w:val="1"/>
                <w:szCs w:val="1"/>
                <w:color w:val="auto"/>
              </w:rPr>
            </w:pPr>
          </w:p>
        </w:tc>
      </w:tr>
      <w:tr>
        <w:trPr>
          <w:trHeight w:val="230"/>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Term loan, due July 18, 2024</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317,375</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 due July 18, 2024</w:t>
            </w:r>
          </w:p>
        </w:tc>
        <w:tc>
          <w:tcPr>
            <w:tcW w:w="3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Long-term debt before debt discount</w:t>
            </w:r>
          </w:p>
        </w:tc>
        <w:tc>
          <w:tcPr>
            <w:tcW w:w="3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552,500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719,875</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discount and issuance costs - 2025 Notes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(93,123)</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Unamortized discount and issuance costs - term loan</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less debt discount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624,611</w:t>
            </w:r>
          </w:p>
        </w:tc>
        <w:tc>
          <w:tcPr>
            <w:tcW w:w="0" w:type="dxa"/>
            <w:vAlign w:val="bottom"/>
          </w:tcPr>
          <w:p>
            <w:pPr>
              <w:spacing w:after="0"/>
              <w:rPr>
                <w:sz w:val="1"/>
                <w:szCs w:val="1"/>
                <w:color w:val="auto"/>
              </w:rPr>
            </w:pPr>
          </w:p>
        </w:tc>
      </w:tr>
      <w:tr>
        <w:trPr>
          <w:trHeight w:val="229"/>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Less current maturities</w:t>
            </w:r>
          </w:p>
        </w:tc>
        <w:tc>
          <w:tcPr>
            <w:tcW w:w="300" w:type="dxa"/>
            <w:vAlign w:val="bottom"/>
          </w:tcPr>
          <w:p>
            <w:pPr>
              <w:spacing w:after="0"/>
              <w:rPr>
                <w:sz w:val="19"/>
                <w:szCs w:val="19"/>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 - non-current portion</w:t>
            </w:r>
          </w:p>
        </w:tc>
        <w:tc>
          <w:tcPr>
            <w:tcW w:w="30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543,566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624,611</w:t>
            </w:r>
          </w:p>
        </w:tc>
        <w:tc>
          <w:tcPr>
            <w:tcW w:w="0" w:type="dxa"/>
            <w:vAlign w:val="bottom"/>
          </w:tcPr>
          <w:p>
            <w:pPr>
              <w:spacing w:after="0"/>
              <w:rPr>
                <w:sz w:val="1"/>
                <w:szCs w:val="1"/>
                <w:color w:val="auto"/>
              </w:rPr>
            </w:pPr>
          </w:p>
        </w:tc>
      </w:tr>
      <w:tr>
        <w:trPr>
          <w:trHeight w:val="229"/>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Finance lease obligations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26,514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30,750</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23"/>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566,081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651,763</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10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May 2020, we completed the issuance of the 2025 Notes, pursuant to an indenture between the Company and U.S. Bank, dated as of May 12, 2020 (the “Indenture”). The 2025 Notes were sold only to persons reasonably believed to be qualified institutional buyers in reliance on Rule 144A under the Securities Act of 1933, as amended (the “Securities Act”). The 2025 Notes pay interest semi-annually in arrears on May 15 and November 15 of each year, commencing on November 15, 2020, at an annual rate of 2.50%.</w:t>
      </w:r>
    </w:p>
    <w:p>
      <w:pPr>
        <w:spacing w:after="0" w:line="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received proceeds from the offering of $390.9 million, net of $11.6 million in underwriter fees and other issuance costs. We used $294.3 million of the net proceeds from the offering to repay all outstanding amounts under the revolving credit facility and $75.0 million to partially repay the first lien term loan in an aggregate principal amount of $420.0 million (the “term loan”). The remainder of the net proceeds are being used for general corporate purposes.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Prior to February 15, 2025, the 2025 Notes are convertible at the option of the holder only under the following circumstances:</w:t>
      </w:r>
    </w:p>
    <w:p>
      <w:pPr>
        <w:spacing w:after="0" w:line="117" w:lineRule="exact"/>
        <w:rPr>
          <w:sz w:val="20"/>
          <w:szCs w:val="20"/>
          <w:color w:val="auto"/>
        </w:rPr>
      </w:pPr>
    </w:p>
    <w:p>
      <w:pPr>
        <w:jc w:val="both"/>
        <w:ind w:firstLine="8"/>
        <w:spacing w:after="0" w:line="259" w:lineRule="auto"/>
        <w:tabs>
          <w:tab w:leader="none" w:pos="22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(as defined in the Indenture) per share of the Company’s common stock exceeds 130% of the Conversion Price (as defined in the Indenture) for each of at least 20 Trading Days (as defined in the Indenture), whether or not consecutive, during the 30 consecutive Trading Days ending on, and including, the last Trading Day of the immediately preceding calendar quarter;</w:t>
      </w:r>
    </w:p>
    <w:p>
      <w:pPr>
        <w:spacing w:after="0" w:line="78" w:lineRule="exact"/>
        <w:rPr>
          <w:rFonts w:ascii="Arial" w:cs="Arial" w:eastAsia="Arial" w:hAnsi="Arial"/>
          <w:sz w:val="18"/>
          <w:szCs w:val="18"/>
          <w:color w:val="auto"/>
        </w:rPr>
      </w:pPr>
    </w:p>
    <w:p>
      <w:pPr>
        <w:jc w:val="both"/>
        <w:ind w:firstLine="8"/>
        <w:spacing w:after="0" w:line="259" w:lineRule="auto"/>
        <w:tabs>
          <w:tab w:leader="none" w:pos="2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ten consecutive Trading Day period (such ten consecutive trading day period, the “measurement period”) in which the Trading Price (as defined in the Indenture) per $1,000 principal amount of the 2025 Notes for each Trading Day of the measurement period was less than 98% of the product of the Last Reported Sale Price per share of the Company’s common stock on such Trading Day and the conversion rate (as described below) on such Trading Day;</w:t>
      </w:r>
    </w:p>
    <w:p>
      <w:pPr>
        <w:spacing w:after="0" w:line="78"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the Company’s common stock, as described in the Indenture; or</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Company calls such Notes for redemption.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or after February 15, 2025 until 5:00 p.m., New York City time, on the second Scheduled Trading Day (as defined in the Indenture) immediately before the maturity date, the 2025 Notes will be convertible at the option of the holder at any time.</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2025 Notes are initially convertible at a conversion rate of 32.0783 shares of common stock per $1,000 principal amount of 2025 Notes, which is equivalent to an initial conversion price of approximately $31.17 per share of common stock. The conversion rate will be subject to adjustment upon the occurrence of certain specified events including, but not limited to: issuance of stock dividends, splits and combinations; distribution of rights, options and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warrants; spin-offs and other distributed property; cash dividends or distributions; tender offers or exchange offers; and certain other corporate transactions. The Company can choose to settle upon conversion in cash, shares or a combination. Based on the initial conversion rate, the 2025 Notes are convertible into 12.9 million shares of our common stock and we reserved for the possible issuance of 16.5 million shares, which is the maximum amount that could be issued upon conversion. As of January 1, 2022, the 2025 Notes can be converted by holders based on condition (i) above. See Note 13. “Earnings Per Share” for the treatment of earnings per share in relation to the 2025 Notes. The holders of our term loan would have preference over the holders of the 2025 Notes in the event of a liquidation.</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adopted ASU 2020-06 as of January 3, 2021. ASU 2020-06 eliminates the cash conversion and the beneficial conversion feature models. Under the new convertible debt framework, the Company eliminated the equity components and increased the debt balance. Refer to Note 1. “Description of Business and Basis of Presentation” for further discussion of the adoption of ASU 2020-06. As a result of adopting ASU 2020-06, our effective interest rate decreased from 9.1% as of January 2, 2021 to 3.2% starting in the first quarter of 2021. We recognized interest expense for the interest coupon and amortization of issuance costs of $10.1 million and $2.2 million during fiscal 2021, respectively, and $6.4 million and $10.9 million during fiscal 2020, respectively. As of January 1, 2022, the remaining period for the unamortized debt issuance costs balance was approximately three years.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18, 2019, our credit agreement, dated as of October 9, 2018 was amended and restated to establish a new first lien term loan of $420.0 million to repay all principal, interest fees and other amounts outstanding before the amendment and establish a new revolving credit facility in an aggregate principal amount of $300.0 million, including a $20.0 million letter of credit sublimit. In connection with the principal repayments of our existing debt, the Company wrote off associated deferred debt issuance costs of $6.0 million and associated unamortized debt discount of $3.8 million, in the third quarter of 2019.</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17, 2020, as a precautionary measure to preserve financial flexibility during the COVID-19 pandemic, we borrowed the remaining $146.3 million in available funds under our revolving credit facility. On May 5, 2020, we entered into an agreement with the lenders to amend certain provisions of our credit agreement. This amendment was intended to prevent the effects of the COVID-19 pandemic, including the temporary closure of our stores, from creating uncertainty relative to our ability to comply with certain financial covenants and allow the Company to focus on prudent management of the business over the quarters ahead. The amendment suspended certain financial maintenance covenants contained in our credit agreement until testing at the end of the second fiscal quarter of 2021.</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Capitalized terms used but not defined herein shall have the meanings assigned to such terms in our credit agreement. During the second quarter of 2021, the Company amended its credit agreement to, among other things, add customary LIBOR replacement provisions, modify the applicable margins used to calculate the rate of interest payable on the first lien term loans thereunder to a range of 1.25% to 2.00% for LIBOR Loans and a range of 0.25% to 1.00% for ABR Loans, modify certain financial covenants related to maximum leverage and minimum interest coverage and remove the LIBOR floor, such that LIBOR shall be deemed to be no less than 0.00% per annum (instead of 1.00% per annum previously in effect).</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our credit agreement, the Company will not permit (i) the Consolidated Total Debt to Consolidated EBITDA Ratio to be negative or greater than (x) 4.50 to 1.00 with respect to the last day of the Company’s second and third fiscal quarters of 2021 and (y) 4.25 to 1.00 from and after the last day of the Company’s fourth fiscal quarter of 2021, subject to certain step-ups after the consummation of a Material Acquisition, or (ii) the Consolidated Interest Coverage Ratio of the Company as of the last day of any fiscal quarter of the Company to be less than 3.00 to 1.00.</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amendment also contains covenants that, among other things, limit NVI’s ability to incur additional debt, create liens against assets, make acquisitions, pay dividends or distributions on its stock, merge or consolidate with another entity and transfer or sell assets. We were in compliance with all covenants related to our long-term debt as of January 1,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During the third quarter of 2019, we partially prepaid $25.0 million on the term loan. On May 12, 2020, we fully prepaid the $294.3 million outstanding under our revolving credit facility and partially prepaid $75.0 million on the term loan. During the second quarter of 2021, the Company partially prepaid $117.4 million of term loan principal and wrote off associated deferred debt issuance costs of $0.7 million. During the fourth quarter of 2021, the Company partially prepaid $50.0 million of term loan principal and wrote off associated deferred debt issuance costs of $0.3 million. As a result of the prepayments made in fiscal years 2019, 2020, and 2021, the Company has no additional mandatory principal payments on the term loan until maturity on July 18, 2024 and no amounts outstanding under the revolving credit facility. The borrowing capacity remaining as of January 1, 2022 was $293.6 million due to a reduction of $6.4 million for letters of credit outstanding. As a result of the repayment of the outstanding balance on our revolving credit facility, the Company reclassified a proportionate share of unamortized debt issuance costs to Other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Scheduled annual maturities of debt are as follows: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Fiscal Year</w:t>
            </w:r>
          </w:p>
        </w:tc>
        <w:tc>
          <w:tcPr>
            <w:tcW w:w="7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In thousands</w:t>
            </w:r>
          </w:p>
        </w:tc>
      </w:tr>
      <w:tr>
        <w:trPr>
          <w:trHeight w:val="223"/>
        </w:trPr>
        <w:tc>
          <w:tcPr>
            <w:tcW w:w="8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402,500</w:t>
            </w:r>
          </w:p>
        </w:tc>
      </w:tr>
      <w:tr>
        <w:trPr>
          <w:trHeight w:val="230"/>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552,500</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Incentive Plans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provided equity-based compensation awards to its associates under three plans. In connection with the initial public offering of our common stock (the “IPO”), on October 23, 2017, the Company’s Board of Directors adopted, and its stockholders approved, the National Vision Holdings, Inc. 2017 Omnibus Incentive Plan (the “2017 Omnibus Incentive Plan”). The total number of shares of common stock that may be issued under the plan is 4,000,000. The plan authorizes the grant of stock options, stock appreciation rights, RSAs, RSUs, PSUs, other equity-based awards and other cash-based awards to our associates, directors, officers, consultants and advisers. The Vision Holding Corp. 2013 Amended and Restated Stock Incentive Plans provided for the issuance of stock options to directors, certain associates and consultants of Vision Holding Corp., its subsidiaries and affiliates. In 2014, our Board of Directors and stockholders of the Company approved the 2014 Stock Incentive Plan for Key Employees of National Vision Holdings, Inc. (formerly known as Nautilus Parent, Inc.) and its subsidiaries (the “2014 Stock Incentive Plan”). There were 10,988,827 stock options authorized for issuance pursuant to the 2014 Stock Incentive Plan. All stock awards under these plans vest through continued service. All options under these plans have a contractual life of 10 years.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provides associates the opportunity to purchase Company common shares through the Associate Stock Purchase Plan (the “ASPP”), which the Company’s Board of Directors adopted and its stockholders approved on June 6, 2018. The ASPP provides that up to 850,000 shares of common stock, at par value of $0.01 per share, may be offered and issued under the ASPP.</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stock compensation expense under the Company’s plans, which is included in SG&amp;A in the accompanying Consolidated Statements of Operations: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Fiscal Year 2021</w:t>
            </w:r>
          </w:p>
        </w:tc>
        <w:tc>
          <w:tcPr>
            <w:tcW w:w="220" w:type="dxa"/>
            <w:vAlign w:val="bottom"/>
          </w:tcPr>
          <w:p>
            <w:pPr>
              <w:spacing w:after="0"/>
              <w:rPr>
                <w:sz w:val="20"/>
                <w:szCs w:val="20"/>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Fiscal Year 2020</w:t>
            </w:r>
          </w:p>
        </w:tc>
        <w:tc>
          <w:tcPr>
            <w:tcW w:w="200" w:type="dxa"/>
            <w:vAlign w:val="bottom"/>
          </w:tcPr>
          <w:p>
            <w:pPr>
              <w:spacing w:after="0"/>
              <w:rPr>
                <w:sz w:val="20"/>
                <w:szCs w:val="20"/>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color w:val="auto"/>
                <w:w w:val="96"/>
              </w:rPr>
              <w:t>Fiscal Year 2019</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RSUs and PSUs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11,217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RSAs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Associate stock purchase plan</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stock based compensation expense</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12,670</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After-tax stock based compensation expense</w:t>
            </w: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Stock options</w:t>
            </w:r>
          </w:p>
        </w:tc>
        <w:tc>
          <w:tcPr>
            <w:tcW w:w="22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RSUs and PSUs</w:t>
            </w:r>
          </w:p>
        </w:tc>
        <w:tc>
          <w:tcPr>
            <w:tcW w:w="200" w:type="dxa"/>
            <w:vAlign w:val="bottom"/>
          </w:tcPr>
          <w:p>
            <w:pPr>
              <w:spacing w:after="0"/>
              <w:rPr>
                <w:sz w:val="24"/>
                <w:szCs w:val="24"/>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RSAs</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compensation cost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175"/>
        </w:trPr>
        <w:tc>
          <w:tcPr>
            <w:tcW w:w="5560" w:type="dxa"/>
            <w:vAlign w:val="bottom"/>
          </w:tcPr>
          <w:p>
            <w:pPr>
              <w:ind w:left="20"/>
              <w:spacing w:after="0" w:line="176" w:lineRule="exact"/>
              <w:rPr>
                <w:sz w:val="20"/>
                <w:szCs w:val="20"/>
                <w:color w:val="auto"/>
              </w:rPr>
            </w:pPr>
            <w:r>
              <w:rPr>
                <w:rFonts w:ascii="Arial" w:cs="Arial" w:eastAsia="Arial" w:hAnsi="Arial"/>
                <w:sz w:val="18"/>
                <w:szCs w:val="18"/>
                <w:color w:val="auto"/>
                <w:w w:val="96"/>
              </w:rPr>
              <w:t>Expected remaining weighted-average period of expense recognition (in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years)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Service-based options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summarize service-based stock option activity, including service-based options under the Vision Holding Corp. Amended and Restated 2013 Equity Incentive Plan, the 2014 Stock Incentive Plan, and the 2017 Omnibus Incentive Plan.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Number of Options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Weighted Average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color w:val="auto"/>
                <w:w w:val="93"/>
              </w:rPr>
              <w:t>Aggregate Intrinsic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vMerge w:val="restart"/>
          </w:tcPr>
          <w:p>
            <w:pPr>
              <w:jc w:val="right"/>
              <w:ind w:right="30"/>
              <w:spacing w:after="0"/>
              <w:rPr>
                <w:sz w:val="20"/>
                <w:szCs w:val="20"/>
                <w:color w:val="auto"/>
              </w:rPr>
            </w:pPr>
            <w:r>
              <w:rPr>
                <w:rFonts w:ascii="Arial" w:cs="Arial" w:eastAsia="Arial" w:hAnsi="Arial"/>
                <w:sz w:val="18"/>
                <w:szCs w:val="18"/>
                <w:color w:val="auto"/>
                <w:w w:val="87"/>
              </w:rPr>
              <w:t>Weighted Average</w:t>
            </w:r>
          </w:p>
        </w:tc>
        <w:tc>
          <w:tcPr>
            <w:tcW w:w="100" w:type="dxa"/>
            <w:vAlign w:val="bottom"/>
          </w:tcPr>
          <w:p>
            <w:pPr>
              <w:spacing w:after="0"/>
              <w:rPr>
                <w:sz w:val="15"/>
                <w:szCs w:val="15"/>
                <w:color w:val="auto"/>
              </w:rPr>
            </w:pPr>
          </w:p>
        </w:tc>
        <w:tc>
          <w:tcPr>
            <w:tcW w:w="1560" w:type="dxa"/>
            <w:vAlign w:val="bottom"/>
            <w:gridSpan w:val="3"/>
          </w:tcPr>
          <w:p>
            <w:pPr>
              <w:jc w:val="center"/>
              <w:ind w:right="20"/>
              <w:spacing w:after="0" w:line="176" w:lineRule="exact"/>
              <w:rPr>
                <w:sz w:val="20"/>
                <w:szCs w:val="20"/>
                <w:color w:val="auto"/>
              </w:rPr>
            </w:pPr>
            <w:r>
              <w:rPr>
                <w:rFonts w:ascii="Arial" w:cs="Arial" w:eastAsia="Arial" w:hAnsi="Arial"/>
                <w:sz w:val="18"/>
                <w:szCs w:val="18"/>
                <w:color w:val="auto"/>
                <w:w w:val="90"/>
              </w:rPr>
              <w:t>Remaining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580" w:type="dxa"/>
            <w:vAlign w:val="bottom"/>
            <w:gridSpan w:val="3"/>
          </w:tcPr>
          <w:p>
            <w:pPr>
              <w:jc w:val="center"/>
              <w:spacing w:after="0" w:line="176" w:lineRule="exact"/>
              <w:rPr>
                <w:sz w:val="20"/>
                <w:szCs w:val="20"/>
                <w:color w:val="auto"/>
              </w:rPr>
            </w:pPr>
            <w:r>
              <w:rPr>
                <w:rFonts w:ascii="Arial" w:cs="Arial" w:eastAsia="Arial" w:hAnsi="Arial"/>
                <w:sz w:val="18"/>
                <w:szCs w:val="18"/>
                <w:color w:val="auto"/>
                <w:w w:val="90"/>
              </w:rPr>
              <w:t>Outstanding (In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center"/>
              <w:ind w:right="20"/>
              <w:spacing w:after="0" w:line="176" w:lineRule="exact"/>
              <w:rPr>
                <w:sz w:val="20"/>
                <w:szCs w:val="20"/>
                <w:color w:val="auto"/>
              </w:rPr>
            </w:pPr>
            <w:r>
              <w:rPr>
                <w:rFonts w:ascii="Arial" w:cs="Arial" w:eastAsia="Arial" w:hAnsi="Arial"/>
                <w:sz w:val="18"/>
                <w:szCs w:val="18"/>
                <w:color w:val="auto"/>
                <w:w w:val="93"/>
              </w:rPr>
              <w:t>Contractual Life</w:t>
            </w:r>
          </w:p>
        </w:tc>
        <w:tc>
          <w:tcPr>
            <w:tcW w:w="100" w:type="dxa"/>
            <w:vAlign w:val="bottom"/>
          </w:tcPr>
          <w:p>
            <w:pPr>
              <w:spacing w:after="0"/>
              <w:rPr>
                <w:sz w:val="15"/>
                <w:szCs w:val="15"/>
                <w:color w:val="auto"/>
              </w:rPr>
            </w:pPr>
          </w:p>
        </w:tc>
        <w:tc>
          <w:tcPr>
            <w:tcW w:w="166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9"/>
              </w:rPr>
              <w:t>Value (In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87"/>
              </w:rPr>
              <w:t>thousands)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w w:val="90"/>
              </w:rPr>
              <w:t>Exercise Price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8"/>
              </w:rPr>
              <w:t>(Years)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January 2, 2021</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46.19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11.04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options at January 1, 2022</w:t>
            </w:r>
          </w:p>
        </w:tc>
        <w:tc>
          <w:tcPr>
            <w:tcW w:w="3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640" w:type="dxa"/>
            <w:vAlign w:val="bottom"/>
            <w:tcBorders>
              <w:top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Vested and exercisable at January 1, 2022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23.85</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9,067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920" w:type="dxa"/>
            <w:vAlign w:val="bottom"/>
            <w:gridSpan w:val="3"/>
          </w:tcPr>
          <w:p>
            <w:pPr>
              <w:ind w:left="20"/>
              <w:spacing w:after="0"/>
              <w:rPr>
                <w:sz w:val="20"/>
                <w:szCs w:val="20"/>
                <w:color w:val="auto"/>
              </w:rPr>
            </w:pPr>
            <w:r>
              <w:rPr>
                <w:rFonts w:ascii="Arial" w:cs="Arial" w:eastAsia="Arial" w:hAnsi="Arial"/>
                <w:sz w:val="18"/>
                <w:szCs w:val="18"/>
                <w:i w:val="1"/>
                <w:iCs w:val="1"/>
                <w:color w:val="auto"/>
              </w:rPr>
              <w:t>In thousands except per share values</w:t>
            </w:r>
          </w:p>
        </w:tc>
        <w:tc>
          <w:tcPr>
            <w:tcW w:w="680" w:type="dxa"/>
            <w:vAlign w:val="bottom"/>
          </w:tcPr>
          <w:p>
            <w:pPr>
              <w:spacing w:after="0"/>
              <w:rPr>
                <w:sz w:val="24"/>
                <w:szCs w:val="24"/>
                <w:color w:val="auto"/>
              </w:rPr>
            </w:pPr>
          </w:p>
        </w:tc>
        <w:tc>
          <w:tcPr>
            <w:tcW w:w="1720" w:type="dxa"/>
            <w:vAlign w:val="bottom"/>
            <w:gridSpan w:val="4"/>
          </w:tcPr>
          <w:p>
            <w:pPr>
              <w:jc w:val="right"/>
              <w:ind w:right="130"/>
              <w:spacing w:after="0"/>
              <w:rPr>
                <w:sz w:val="20"/>
                <w:szCs w:val="20"/>
                <w:color w:val="auto"/>
              </w:rPr>
            </w:pPr>
            <w:r>
              <w:rPr>
                <w:rFonts w:ascii="Arial" w:cs="Arial" w:eastAsia="Arial" w:hAnsi="Arial"/>
                <w:sz w:val="18"/>
                <w:szCs w:val="18"/>
                <w:color w:val="auto"/>
              </w:rPr>
              <w:t>Fiscal Year 2021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4"/>
          </w:tcPr>
          <w:p>
            <w:pPr>
              <w:spacing w:after="0"/>
              <w:rPr>
                <w:sz w:val="20"/>
                <w:szCs w:val="20"/>
                <w:color w:val="auto"/>
              </w:rPr>
            </w:pPr>
            <w:r>
              <w:rPr>
                <w:rFonts w:ascii="Arial" w:cs="Arial" w:eastAsia="Arial" w:hAnsi="Arial"/>
                <w:sz w:val="18"/>
                <w:szCs w:val="18"/>
                <w:color w:val="auto"/>
              </w:rPr>
              <w:t>Fiscal Year 2020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w w:val="93"/>
              </w:rPr>
              <w:t>Fiscal Year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0"/>
              </w:rPr>
              <w:t>Weighted average grant date fair value per share of options granted</w:t>
            </w:r>
          </w:p>
        </w:tc>
        <w:tc>
          <w:tcPr>
            <w:tcW w:w="6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3"/>
          </w:tcPr>
          <w:p>
            <w:pPr>
              <w:ind w:left="20"/>
              <w:spacing w:after="0"/>
              <w:rPr>
                <w:sz w:val="20"/>
                <w:szCs w:val="20"/>
                <w:color w:val="auto"/>
              </w:rPr>
            </w:pPr>
            <w:r>
              <w:rPr>
                <w:rFonts w:ascii="Arial" w:cs="Arial" w:eastAsia="Arial" w:hAnsi="Arial"/>
                <w:sz w:val="18"/>
                <w:szCs w:val="18"/>
                <w:color w:val="auto"/>
              </w:rPr>
              <w:t>Fair value of options vested</w:t>
            </w:r>
          </w:p>
        </w:tc>
        <w:tc>
          <w:tcPr>
            <w:tcW w:w="12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3,138</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3,313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Aggregate intrinsic value of options exercised</w:t>
            </w:r>
          </w:p>
        </w:tc>
        <w:tc>
          <w:tcPr>
            <w:tcW w:w="12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23,091</w:t>
            </w:r>
          </w:p>
        </w:tc>
        <w:tc>
          <w:tcPr>
            <w:tcW w:w="4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22,549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service-based options was estimated using the Black-Scholes-Merton option pricing model. The following is a summary of the assumptions used in this model for service-based options: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2019</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 to 54.03%</w:t>
            </w:r>
          </w:p>
        </w:tc>
        <w:tc>
          <w:tcPr>
            <w:tcW w:w="14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 to 55.81%</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 to 37.10%</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Expected term range (in years)</w:t>
            </w:r>
          </w:p>
        </w:tc>
        <w:tc>
          <w:tcPr>
            <w:tcW w:w="220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5.75 to 6.50</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risk-free interest rate</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0.97% to 1.07%</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0.47% to 1.13%</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 to 2.94%</w:t>
            </w:r>
          </w:p>
        </w:tc>
      </w:tr>
    </w:tbl>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expected term was based on the mid-point between the weighted average time to vesting and the contractual time to maturity. Most service-based options vest in three equal installments on the first, second and third anniversaries of the grant date. The risk free interest rate was based on the U.S. Treasury yield curve. The dividend yield was based on our expectation of not paying dividends on our common stock for the foreseeable future.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performance-based stock option activity:</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 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Weighted Average</w:t>
            </w:r>
          </w:p>
        </w:tc>
        <w:tc>
          <w:tcPr>
            <w:tcW w:w="15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Aggregate Intrinsic</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8"/>
                <w:szCs w:val="18"/>
                <w:color w:val="auto"/>
              </w:rPr>
              <w:t>Weighted Average</w:t>
            </w:r>
          </w:p>
        </w:tc>
        <w:tc>
          <w:tcPr>
            <w:tcW w:w="17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Remaining</w:t>
            </w: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2"/>
              </w:rPr>
              <w:t>Outstanding (In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70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3"/>
              </w:rPr>
              <w:t>Contractual Life</w:t>
            </w:r>
          </w:p>
        </w:tc>
        <w:tc>
          <w:tcPr>
            <w:tcW w:w="158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0"/>
              </w:rPr>
              <w:t>Value (In thousands)</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Exercise Price ($)</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(Years)</w:t>
            </w:r>
          </w:p>
        </w:tc>
        <w:tc>
          <w:tcPr>
            <w:tcW w:w="400" w:type="dxa"/>
            <w:vAlign w:val="bottom"/>
          </w:tcPr>
          <w:p>
            <w:pPr>
              <w:spacing w:after="0"/>
              <w:rPr>
                <w:sz w:val="19"/>
                <w:szCs w:val="19"/>
                <w:color w:val="auto"/>
              </w:rPr>
            </w:pPr>
          </w:p>
        </w:tc>
        <w:tc>
          <w:tcPr>
            <w:tcW w:w="1180" w:type="dxa"/>
            <w:vAlign w:val="bottom"/>
          </w:tcPr>
          <w:p>
            <w:pPr>
              <w:jc w:val="center"/>
              <w:ind w:right="3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at January 2,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34,018</w:t>
            </w: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Outstanding options at January 1, 2022</w:t>
            </w:r>
          </w:p>
        </w:tc>
        <w:tc>
          <w:tcPr>
            <w:tcW w:w="15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exercisable at January 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grants of performance-based options during fiscal years 2021, 2020, and 2019. There were no vests of performance-based options during fiscal year 2021. The fair value of performance-based options vested during fiscal years 2020 and 2019 was $1.4 million and $4.4 million, respectively. The aggregate intrinsic value of performance-based options exercised during fiscal years 2021, 2020, and 2019 was $37.3 million, $20.0 million, and $29.9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RSU, PSU and RSA awards activity: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1580" w:type="dxa"/>
            <w:vAlign w:val="bottom"/>
            <w:vMerge w:val="restart"/>
          </w:tcPr>
          <w:p>
            <w:pPr>
              <w:jc w:val="right"/>
              <w:ind w:right="470"/>
              <w:spacing w:after="0"/>
              <w:rPr>
                <w:sz w:val="20"/>
                <w:szCs w:val="20"/>
                <w:color w:val="auto"/>
              </w:rPr>
            </w:pPr>
            <w:r>
              <w:rPr>
                <w:rFonts w:ascii="Arial" w:cs="Arial" w:eastAsia="Arial" w:hAnsi="Arial"/>
                <w:sz w:val="18"/>
                <w:szCs w:val="18"/>
                <w:color w:val="auto"/>
              </w:rPr>
              <w:t>RSUs</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w w:val="91"/>
              </w:rPr>
              <w:t>Weighted average</w:t>
            </w:r>
          </w:p>
        </w:tc>
        <w:tc>
          <w:tcPr>
            <w:tcW w:w="440" w:type="dxa"/>
            <w:vAlign w:val="bottom"/>
          </w:tcPr>
          <w:p>
            <w:pPr>
              <w:spacing w:after="0"/>
              <w:rPr>
                <w:sz w:val="17"/>
                <w:szCs w:val="17"/>
                <w:color w:val="auto"/>
              </w:rPr>
            </w:pPr>
          </w:p>
        </w:tc>
        <w:tc>
          <w:tcPr>
            <w:tcW w:w="1120" w:type="dxa"/>
            <w:vAlign w:val="bottom"/>
            <w:vMerge w:val="restart"/>
          </w:tcPr>
          <w:p>
            <w:pPr>
              <w:jc w:val="right"/>
              <w:ind w:right="510"/>
              <w:spacing w:after="0"/>
              <w:rPr>
                <w:sz w:val="20"/>
                <w:szCs w:val="20"/>
                <w:color w:val="auto"/>
              </w:rPr>
            </w:pPr>
            <w:r>
              <w:rPr>
                <w:rFonts w:ascii="Arial" w:cs="Arial" w:eastAsia="Arial" w:hAnsi="Arial"/>
                <w:sz w:val="18"/>
                <w:szCs w:val="18"/>
                <w:color w:val="auto"/>
              </w:rPr>
              <w:t>PSUs</w:t>
            </w:r>
          </w:p>
        </w:tc>
        <w:tc>
          <w:tcPr>
            <w:tcW w:w="154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Weighted average</w:t>
            </w:r>
          </w:p>
        </w:tc>
        <w:tc>
          <w:tcPr>
            <w:tcW w:w="1160" w:type="dxa"/>
            <w:vAlign w:val="bottom"/>
            <w:gridSpan w:val="2"/>
            <w:vMerge w:val="restart"/>
          </w:tcPr>
          <w:p>
            <w:pPr>
              <w:jc w:val="center"/>
              <w:ind w:left="210"/>
              <w:spacing w:after="0"/>
              <w:rPr>
                <w:sz w:val="20"/>
                <w:szCs w:val="20"/>
                <w:color w:val="auto"/>
              </w:rPr>
            </w:pPr>
            <w:r>
              <w:rPr>
                <w:rFonts w:ascii="Arial" w:cs="Arial" w:eastAsia="Arial" w:hAnsi="Arial"/>
                <w:sz w:val="18"/>
                <w:szCs w:val="18"/>
                <w:color w:val="auto"/>
                <w:w w:val="91"/>
              </w:rPr>
              <w:t>RSAs</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7"/>
              </w:rPr>
              <w:t>Weighted average</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560" w:type="dxa"/>
            <w:vAlign w:val="bottom"/>
            <w:gridSpan w:val="3"/>
          </w:tcPr>
          <w:p>
            <w:pPr>
              <w:jc w:val="center"/>
              <w:ind w:right="120"/>
              <w:spacing w:after="0" w:line="176" w:lineRule="exact"/>
              <w:rPr>
                <w:sz w:val="20"/>
                <w:szCs w:val="20"/>
                <w:color w:val="auto"/>
              </w:rPr>
            </w:pPr>
            <w:r>
              <w:rPr>
                <w:rFonts w:ascii="Arial" w:cs="Arial" w:eastAsia="Arial" w:hAnsi="Arial"/>
                <w:sz w:val="18"/>
                <w:szCs w:val="18"/>
                <w:color w:val="auto"/>
                <w:w w:val="89"/>
              </w:rPr>
              <w:t>grant date fair</w:t>
            </w:r>
          </w:p>
        </w:tc>
        <w:tc>
          <w:tcPr>
            <w:tcW w:w="4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540" w:type="dxa"/>
            <w:vAlign w:val="bottom"/>
            <w:gridSpan w:val="4"/>
          </w:tcPr>
          <w:p>
            <w:pPr>
              <w:jc w:val="center"/>
              <w:ind w:right="120"/>
              <w:spacing w:after="0" w:line="176" w:lineRule="exact"/>
              <w:rPr>
                <w:sz w:val="20"/>
                <w:szCs w:val="20"/>
                <w:color w:val="auto"/>
              </w:rPr>
            </w:pPr>
            <w:r>
              <w:rPr>
                <w:rFonts w:ascii="Arial" w:cs="Arial" w:eastAsia="Arial" w:hAnsi="Arial"/>
                <w:sz w:val="18"/>
                <w:szCs w:val="18"/>
                <w:color w:val="auto"/>
                <w:w w:val="91"/>
              </w:rPr>
              <w:t>grant date fair</w:t>
            </w:r>
          </w:p>
        </w:tc>
        <w:tc>
          <w:tcPr>
            <w:tcW w:w="11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9"/>
              </w:rPr>
              <w:t>grant date fair</w:t>
            </w: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(In thousands)</w:t>
            </w: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value ($)</w:t>
            </w:r>
          </w:p>
        </w:tc>
        <w:tc>
          <w:tcPr>
            <w:tcW w:w="1560" w:type="dxa"/>
            <w:vAlign w:val="bottom"/>
            <w:gridSpan w:val="2"/>
          </w:tcPr>
          <w:p>
            <w:pPr>
              <w:jc w:val="right"/>
              <w:ind w:right="170"/>
              <w:spacing w:after="0"/>
              <w:rPr>
                <w:sz w:val="20"/>
                <w:szCs w:val="20"/>
                <w:color w:val="auto"/>
              </w:rPr>
            </w:pPr>
            <w:r>
              <w:rPr>
                <w:rFonts w:ascii="Arial" w:cs="Arial" w:eastAsia="Arial" w:hAnsi="Arial"/>
                <w:sz w:val="18"/>
                <w:szCs w:val="18"/>
                <w:color w:val="auto"/>
              </w:rPr>
              <w:t>(In thousands)</w:t>
            </w:r>
          </w:p>
        </w:tc>
        <w:tc>
          <w:tcPr>
            <w:tcW w:w="154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value ($)</w:t>
            </w: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0"/>
              </w:rPr>
              <w:t>(In thousands)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91"/>
              </w:rPr>
              <w:t>value ($)</w:t>
            </w:r>
          </w:p>
        </w:tc>
        <w:tc>
          <w:tcPr>
            <w:tcW w:w="0" w:type="dxa"/>
            <w:vAlign w:val="bottom"/>
          </w:tcPr>
          <w:p>
            <w:pPr>
              <w:spacing w:after="0"/>
              <w:rPr>
                <w:sz w:val="1"/>
                <w:szCs w:val="1"/>
                <w:color w:val="auto"/>
              </w:rPr>
            </w:pPr>
          </w:p>
        </w:tc>
      </w:tr>
      <w:tr>
        <w:trPr>
          <w:trHeight w:val="156"/>
        </w:trPr>
        <w:tc>
          <w:tcPr>
            <w:tcW w:w="20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Outstanding at January 2,</w:t>
            </w: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740" w:type="dxa"/>
            <w:vAlign w:val="bottom"/>
            <w:tcBorders>
              <w:top w:val="single" w:sz="8" w:color="auto"/>
            </w:tcBorders>
            <w:vMerge w:val="restart"/>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2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660" w:type="dxa"/>
            <w:vAlign w:val="bottom"/>
            <w:tcBorders>
              <w:top w:val="single" w:sz="8" w:color="auto"/>
            </w:tcBorders>
            <w:vMerge w:val="restart"/>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ind w:left="100"/>
              <w:spacing w:after="0"/>
              <w:rPr>
                <w:sz w:val="20"/>
                <w:szCs w:val="20"/>
                <w:color w:val="auto"/>
              </w:rPr>
            </w:pPr>
            <w:r>
              <w:rPr>
                <w:rFonts w:ascii="Arial" w:cs="Arial" w:eastAsia="Arial" w:hAnsi="Arial"/>
                <w:sz w:val="18"/>
                <w:szCs w:val="18"/>
                <w:color w:val="auto"/>
                <w:w w:val="89"/>
              </w:rPr>
              <w:t>22</w:t>
            </w:r>
          </w:p>
        </w:tc>
        <w:tc>
          <w:tcPr>
            <w:tcW w:w="2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58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139</w:t>
            </w: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46.52</w:t>
            </w:r>
          </w:p>
        </w:tc>
        <w:tc>
          <w:tcPr>
            <w:tcW w:w="1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46.17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89"/>
              </w:rPr>
              <w:t>17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(22)</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29"/>
        </w:trPr>
        <w:tc>
          <w:tcPr>
            <w:tcW w:w="2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7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36.78</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38.26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Outstanding at January 1,</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740" w:type="dxa"/>
            <w:vAlign w:val="bottom"/>
            <w:vMerge w:val="restart"/>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20" w:type="dxa"/>
            <w:vAlign w:val="bottom"/>
            <w:shd w:val="clear" w:color="auto" w:fill="CCEEFF"/>
          </w:tcPr>
          <w:p>
            <w:pPr>
              <w:spacing w:after="0"/>
              <w:rPr>
                <w:sz w:val="13"/>
                <w:szCs w:val="13"/>
                <w:color w:val="auto"/>
              </w:rPr>
            </w:pPr>
          </w:p>
        </w:tc>
        <w:tc>
          <w:tcPr>
            <w:tcW w:w="15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6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89"/>
              </w:rPr>
              <w:t>17</w:t>
            </w:r>
          </w:p>
        </w:tc>
        <w:tc>
          <w:tcPr>
            <w:tcW w:w="60" w:type="dxa"/>
            <w:vAlign w:val="bottom"/>
            <w:vMerge w:val="restart"/>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2022</w:t>
            </w: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gridSpan w:val="2"/>
            <w:vMerge w:val="continue"/>
            <w:shd w:val="clear" w:color="auto" w:fill="CCEEFF"/>
          </w:tcPr>
          <w:p>
            <w:pPr>
              <w:spacing w:after="0"/>
              <w:rPr>
                <w:sz w:val="19"/>
                <w:szCs w:val="19"/>
                <w:color w:val="auto"/>
              </w:rPr>
            </w:pPr>
          </w:p>
        </w:tc>
        <w:tc>
          <w:tcPr>
            <w:tcW w:w="6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12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2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gridSpan w:val="3"/>
          </w:tcPr>
          <w:p>
            <w:pPr>
              <w:ind w:left="280"/>
              <w:spacing w:after="0"/>
              <w:rPr>
                <w:sz w:val="20"/>
                <w:szCs w:val="20"/>
                <w:color w:val="auto"/>
              </w:rPr>
            </w:pPr>
            <w:r>
              <w:rPr>
                <w:rFonts w:ascii="Arial" w:cs="Arial" w:eastAsia="Arial" w:hAnsi="Arial"/>
                <w:sz w:val="18"/>
                <w:szCs w:val="18"/>
                <w:color w:val="auto"/>
              </w:rPr>
              <w:t>Fiscal Year 2021</w:t>
            </w:r>
          </w:p>
        </w:tc>
        <w:tc>
          <w:tcPr>
            <w:tcW w:w="1920" w:type="dxa"/>
            <w:vAlign w:val="bottom"/>
            <w:gridSpan w:val="4"/>
          </w:tcPr>
          <w:p>
            <w:pPr>
              <w:ind w:left="300"/>
              <w:spacing w:after="0"/>
              <w:rPr>
                <w:sz w:val="20"/>
                <w:szCs w:val="20"/>
                <w:color w:val="auto"/>
              </w:rPr>
            </w:pPr>
            <w:r>
              <w:rPr>
                <w:rFonts w:ascii="Arial" w:cs="Arial" w:eastAsia="Arial" w:hAnsi="Arial"/>
                <w:sz w:val="18"/>
                <w:szCs w:val="18"/>
                <w:color w:val="auto"/>
              </w:rPr>
              <w:t>Fiscal Year 2020</w:t>
            </w:r>
          </w:p>
        </w:tc>
        <w:tc>
          <w:tcPr>
            <w:tcW w:w="300" w:type="dxa"/>
            <w:vAlign w:val="bottom"/>
          </w:tcPr>
          <w:p>
            <w:pPr>
              <w:spacing w:after="0"/>
              <w:rPr>
                <w:sz w:val="24"/>
                <w:szCs w:val="24"/>
                <w:color w:val="auto"/>
              </w:rPr>
            </w:pPr>
          </w:p>
        </w:tc>
        <w:tc>
          <w:tcPr>
            <w:tcW w:w="1500" w:type="dxa"/>
            <w:vAlign w:val="bottom"/>
            <w:gridSpan w:val="3"/>
          </w:tcPr>
          <w:p>
            <w:pPr>
              <w:jc w:val="right"/>
              <w:ind w:right="210"/>
              <w:spacing w:after="0"/>
              <w:rPr>
                <w:sz w:val="20"/>
                <w:szCs w:val="20"/>
                <w:color w:val="auto"/>
              </w:rPr>
            </w:pPr>
            <w:r>
              <w:rPr>
                <w:rFonts w:ascii="Arial" w:cs="Arial" w:eastAsia="Arial" w:hAnsi="Arial"/>
                <w:sz w:val="18"/>
                <w:szCs w:val="18"/>
                <w:color w:val="auto"/>
                <w:w w:val="87"/>
              </w:rPr>
              <w:t>Fiscal Year 2019</w:t>
            </w:r>
          </w:p>
        </w:tc>
        <w:tc>
          <w:tcPr>
            <w:tcW w:w="0" w:type="dxa"/>
            <w:vAlign w:val="bottom"/>
          </w:tcPr>
          <w:p>
            <w:pPr>
              <w:spacing w:after="0"/>
              <w:rPr>
                <w:sz w:val="1"/>
                <w:szCs w:val="1"/>
                <w:color w:val="auto"/>
              </w:rPr>
            </w:pPr>
          </w:p>
        </w:tc>
      </w:tr>
      <w:tr>
        <w:trPr>
          <w:trHeight w:val="210"/>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RSUs</w:t>
            </w:r>
          </w:p>
        </w:tc>
        <w:tc>
          <w:tcPr>
            <w:tcW w:w="1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gridSpan w:val="3"/>
          </w:tcPr>
          <w:p>
            <w:pPr>
              <w:ind w:left="140"/>
              <w:spacing w:after="0"/>
              <w:rPr>
                <w:sz w:val="20"/>
                <w:szCs w:val="20"/>
                <w:color w:val="auto"/>
              </w:rPr>
            </w:pPr>
            <w:r>
              <w:rPr>
                <w:rFonts w:ascii="Arial" w:cs="Arial" w:eastAsia="Arial" w:hAnsi="Arial"/>
                <w:sz w:val="18"/>
                <w:szCs w:val="18"/>
                <w:color w:val="auto"/>
                <w:w w:val="93"/>
              </w:rPr>
              <w:t>Weighted average grant date fair value of RSUs granted</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46.52</w:t>
            </w:r>
          </w:p>
        </w:tc>
        <w:tc>
          <w:tcPr>
            <w:tcW w:w="12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Total fair value of RSUs vested (In thousands)</w:t>
            </w: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i w:val="1"/>
                <w:iCs w:val="1"/>
                <w:color w:val="auto"/>
              </w:rPr>
              <w:t>PSUs</w:t>
            </w:r>
          </w:p>
        </w:tc>
        <w:tc>
          <w:tcPr>
            <w:tcW w:w="1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3"/>
              </w:rPr>
              <w:t>Weighted average grant date fair value of PSUs granted</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30"/>
        </w:trPr>
        <w:tc>
          <w:tcPr>
            <w:tcW w:w="3620" w:type="dxa"/>
            <w:vAlign w:val="bottom"/>
            <w:gridSpan w:val="2"/>
          </w:tcPr>
          <w:p>
            <w:pPr>
              <w:ind w:left="140"/>
              <w:spacing w:after="0"/>
              <w:rPr>
                <w:sz w:val="20"/>
                <w:szCs w:val="20"/>
                <w:color w:val="auto"/>
              </w:rPr>
            </w:pPr>
            <w:r>
              <w:rPr>
                <w:rFonts w:ascii="Arial" w:cs="Arial" w:eastAsia="Arial" w:hAnsi="Arial"/>
                <w:sz w:val="18"/>
                <w:szCs w:val="18"/>
                <w:color w:val="auto"/>
                <w:w w:val="94"/>
              </w:rPr>
              <w:t>Total fair value of PSUs vested (In thousands)</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RSAs</w:t>
            </w:r>
          </w:p>
        </w:tc>
        <w:tc>
          <w:tcPr>
            <w:tcW w:w="1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3"/>
          </w:tcPr>
          <w:p>
            <w:pPr>
              <w:ind w:left="140"/>
              <w:spacing w:after="0"/>
              <w:rPr>
                <w:sz w:val="20"/>
                <w:szCs w:val="20"/>
                <w:color w:val="auto"/>
              </w:rPr>
            </w:pPr>
            <w:r>
              <w:rPr>
                <w:rFonts w:ascii="Arial" w:cs="Arial" w:eastAsia="Arial" w:hAnsi="Arial"/>
                <w:sz w:val="18"/>
                <w:szCs w:val="18"/>
                <w:color w:val="auto"/>
                <w:w w:val="93"/>
              </w:rPr>
              <w:t>Weighted average grant date fair value of RSAs granted</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48.39</w:t>
            </w:r>
          </w:p>
        </w:tc>
        <w:tc>
          <w:tcPr>
            <w:tcW w:w="12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Total fair value of RSAs vested (In thousands)</w:t>
            </w: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RSUs vest in three equal installments on the first, second and third anniversaries of the grant date. The RSUs outstanding as of January 1, 2022 have $17.5 million intrinsic value.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 (PSUs)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PSUs are settled after the end of a three year performance period (i.e., cliff vesting), which begins on the first day of the grant year and are based on the Company’s achievement of certain performance targets. The performance stock units outstanding as of January 1, 2022 have $15.2 million intrinsic value. While the PSU amounts shown in the table above reflect achievement at target, the number of PSUs ultimately vested will be based on a comparison of certified performance results to predefined performance criteria that include threshold, target and maximum attainment levels.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 (RSAs)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Most RSAs outstanding vest one year from grant date. As of fiscal year end 2021, the intrinsic value of the awards was $0.8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Associate Stock Purchase Plan (ASPP)</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ASPP, eligible associates receive a 10% discount from the market trading value of common stock of the Company at the time of purchase. Participants may contribute to the ASPP, not to exceed $25,000 under the ASPP in any calendar year. As of January 1, 2022, the amount of shares issued to eligible participants through the ASPP was not material.</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6. Income taxes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24"/>
        </w:trPr>
        <w:tc>
          <w:tcPr>
            <w:tcW w:w="5960" w:type="dxa"/>
            <w:vAlign w:val="bottom"/>
          </w:tcPr>
          <w:p>
            <w:pPr>
              <w:spacing w:after="0"/>
              <w:rPr>
                <w:sz w:val="20"/>
                <w:szCs w:val="20"/>
                <w:color w:val="auto"/>
              </w:rPr>
            </w:pPr>
            <w:r>
              <w:rPr>
                <w:rFonts w:ascii="Arial" w:cs="Arial" w:eastAsia="Arial" w:hAnsi="Arial"/>
                <w:sz w:val="18"/>
                <w:szCs w:val="18"/>
                <w:color w:val="auto"/>
              </w:rPr>
              <w:t>The income tax provision (benefit) consists of:</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64"/>
        </w:trPr>
        <w:tc>
          <w:tcPr>
            <w:tcW w:w="59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Fiscal Year 2021</w:t>
            </w:r>
          </w:p>
        </w:tc>
        <w:tc>
          <w:tcPr>
            <w:tcW w:w="18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8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2019</w:t>
            </w:r>
          </w:p>
        </w:tc>
      </w:tr>
      <w:tr>
        <w:trPr>
          <w:trHeight w:val="209"/>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Deferred income tax:</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r>
      <w:tr>
        <w:trPr>
          <w:trHeight w:val="229"/>
        </w:trPr>
        <w:tc>
          <w:tcPr>
            <w:tcW w:w="5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State</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income tax provision (benefit) differs from the amounts computed by multiplying earnings before income taxes by the statutory federal income tax rate as shown in the following table:</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color w:val="auto"/>
              </w:rPr>
              <w:t>Fiscal Year 2021</w:t>
            </w:r>
          </w:p>
        </w:tc>
        <w:tc>
          <w:tcPr>
            <w:tcW w:w="18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Fiscal Year 2020</w:t>
            </w:r>
          </w:p>
        </w:tc>
        <w:tc>
          <w:tcPr>
            <w:tcW w:w="180" w:type="dxa"/>
            <w:vAlign w:val="bottom"/>
          </w:tcPr>
          <w:p>
            <w:pPr>
              <w:spacing w:after="0"/>
              <w:rPr>
                <w:sz w:val="20"/>
                <w:szCs w:val="20"/>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w w:val="94"/>
              </w:rPr>
              <w:t>Fiscal Year 2019</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income tax provision at statutory rate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31,358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8,123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State income tax provision, net of federal income tax</w:t>
            </w:r>
          </w:p>
        </w:tc>
        <w:tc>
          <w:tcPr>
            <w:tcW w:w="200" w:type="dxa"/>
            <w:vAlign w:val="bottom"/>
          </w:tcPr>
          <w:p>
            <w:pPr>
              <w:spacing w:after="0"/>
              <w:rPr>
                <w:sz w:val="19"/>
                <w:szCs w:val="19"/>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7,130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deferred tax asset valuation allowance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Stranded tax effect of matured interest rate swaps</w:t>
            </w:r>
          </w:p>
        </w:tc>
        <w:tc>
          <w:tcPr>
            <w:tcW w:w="20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Tax benefit of equity-based compensation deductions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(14,408)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(7,996)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(10,089)</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tax provision (benefit)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Effective income tax rate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4" w:lineRule="exact"/>
              <w:rPr>
                <w:sz w:val="20"/>
                <w:szCs w:val="20"/>
                <w:color w:val="auto"/>
              </w:rPr>
            </w:pPr>
            <w:r>
              <w:rPr>
                <w:rFonts w:ascii="Arial" w:cs="Arial" w:eastAsia="Arial" w:hAnsi="Arial"/>
                <w:sz w:val="18"/>
                <w:szCs w:val="18"/>
                <w:color w:val="auto"/>
              </w:rPr>
              <w:t>14.1 %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204" w:lineRule="exact"/>
              <w:rPr>
                <w:sz w:val="20"/>
                <w:szCs w:val="20"/>
                <w:color w:val="auto"/>
              </w:rPr>
            </w:pPr>
            <w:r>
              <w:rPr>
                <w:rFonts w:ascii="Arial" w:cs="Arial" w:eastAsia="Arial" w:hAnsi="Arial"/>
                <w:sz w:val="18"/>
                <w:szCs w:val="18"/>
                <w:color w:val="auto"/>
              </w:rPr>
              <w:t>6.2 %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204"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Tax Legislation signed into law on December 22, 2017 makes broad and complex changes to the U.S. tax code including, but not limited to: (1) reducing the U.S. federal rate from 35% to 21%, effective January 1, 2018; (2) eliminating the corporate alternative minimum tax (“AMT”) and changing how the credits can be realized; (3) creating new limitations on deductions for interest expense; (4) changing rules related to limitations of net operating loss (“NOL”) carryforwards, and (5) enhancing and extending through 2026 the option to claim accelerated depreciation deductions on qualified property.</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sources of the differences between the financial accounting and tax bases of our assets and liabilities that give rise to the deferred tax assets and deferred tax liabilities and the tax effects of each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17"/>
                <w:szCs w:val="17"/>
                <w:color w:val="auto"/>
              </w:rPr>
            </w:pPr>
          </w:p>
        </w:tc>
        <w:tc>
          <w:tcPr>
            <w:tcW w:w="2200" w:type="dxa"/>
            <w:vAlign w:val="bottom"/>
            <w:gridSpan w:val="2"/>
          </w:tcPr>
          <w:p>
            <w:pPr>
              <w:jc w:val="center"/>
              <w:ind w:right="480"/>
              <w:spacing w:after="0"/>
              <w:rPr>
                <w:sz w:val="20"/>
                <w:szCs w:val="20"/>
                <w:color w:val="auto"/>
              </w:rPr>
            </w:pPr>
            <w:r>
              <w:rPr>
                <w:rFonts w:ascii="Arial" w:cs="Arial" w:eastAsia="Arial" w:hAnsi="Arial"/>
                <w:sz w:val="18"/>
                <w:szCs w:val="18"/>
                <w:color w:val="auto"/>
                <w:w w:val="97"/>
              </w:rPr>
              <w:t>As of</w:t>
            </w:r>
          </w:p>
        </w:tc>
        <w:tc>
          <w:tcPr>
            <w:tcW w:w="380" w:type="dxa"/>
            <w:vAlign w:val="bottom"/>
          </w:tcPr>
          <w:p>
            <w:pPr>
              <w:spacing w:after="0"/>
              <w:rPr>
                <w:sz w:val="17"/>
                <w:szCs w:val="17"/>
                <w:color w:val="auto"/>
              </w:rPr>
            </w:pPr>
          </w:p>
        </w:tc>
        <w:tc>
          <w:tcPr>
            <w:tcW w:w="2080" w:type="dxa"/>
            <w:vAlign w:val="bottom"/>
          </w:tcPr>
          <w:p>
            <w:pPr>
              <w:jc w:val="right"/>
              <w:ind w:right="9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62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20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January 1, 2022</w:t>
            </w:r>
          </w:p>
        </w:tc>
        <w:tc>
          <w:tcPr>
            <w:tcW w:w="380" w:type="dxa"/>
            <w:vAlign w:val="bottom"/>
          </w:tcPr>
          <w:p>
            <w:pPr>
              <w:spacing w:after="0"/>
              <w:rPr>
                <w:sz w:val="19"/>
                <w:szCs w:val="19"/>
                <w:color w:val="auto"/>
              </w:rPr>
            </w:pPr>
          </w:p>
        </w:tc>
        <w:tc>
          <w:tcPr>
            <w:tcW w:w="2080" w:type="dxa"/>
            <w:vAlign w:val="bottom"/>
          </w:tcPr>
          <w:p>
            <w:pPr>
              <w:jc w:val="right"/>
              <w:ind w:right="57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8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NOL carry-forwards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4,068</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10,841</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interest expense carry-forwards</w:t>
            </w:r>
          </w:p>
        </w:tc>
        <w:tc>
          <w:tcPr>
            <w:tcW w:w="38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AMT payment and employment credits</w:t>
            </w: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2,290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Accrued expenses and reserves</w:t>
            </w: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10,020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9,361</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equity and other investments</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5,167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losses on hedging instruments</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105,728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100,759</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23"/>
        </w:trPr>
        <w:tc>
          <w:tcPr>
            <w:tcW w:w="6200" w:type="dxa"/>
            <w:vAlign w:val="bottom"/>
          </w:tcPr>
          <w:p>
            <w:pPr>
              <w:ind w:left="22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135,343</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141,036</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allowances</w:t>
            </w:r>
          </w:p>
        </w:tc>
        <w:tc>
          <w:tcPr>
            <w:tcW w:w="3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23"/>
        </w:trPr>
        <w:tc>
          <w:tcPr>
            <w:tcW w:w="6200" w:type="dxa"/>
            <w:vAlign w:val="bottom"/>
          </w:tcPr>
          <w:p>
            <w:pPr>
              <w:ind w:left="220"/>
              <w:spacing w:after="0"/>
              <w:rPr>
                <w:sz w:val="20"/>
                <w:szCs w:val="20"/>
                <w:color w:val="auto"/>
              </w:rPr>
            </w:pPr>
            <w:r>
              <w:rPr>
                <w:rFonts w:ascii="Arial" w:cs="Arial" w:eastAsia="Arial" w:hAnsi="Arial"/>
                <w:sz w:val="18"/>
                <w:szCs w:val="18"/>
                <w:color w:val="auto"/>
              </w:rPr>
              <w:t>Total net deferred tax assets</w:t>
            </w: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132,298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137,550</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Depreciation of property and equipment</w:t>
            </w: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(50,019)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(37,592)</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(73,590)</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Convertible debt discount</w:t>
            </w:r>
          </w:p>
        </w:tc>
        <w:tc>
          <w:tcPr>
            <w:tcW w:w="380" w:type="dxa"/>
            <w:vAlign w:val="bottom"/>
          </w:tcPr>
          <w:p>
            <w:pPr>
              <w:spacing w:after="0"/>
              <w:rPr>
                <w:sz w:val="19"/>
                <w:szCs w:val="19"/>
                <w:color w:val="auto"/>
              </w:rPr>
            </w:pP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(18,819)</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of use asset</w:t>
            </w: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(86,266)</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(215,144)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(218,489)</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(82,846)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(80,939)</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fiscal year end 2021, we had available U.S. federal NOL carry-forwards aggregating to $7.8 million that can be utilized to reduce future federal income taxes. The Company has $7.5 million of carry-forward losses that do not expire and $0.3 million of carry-forward losses expiring at the end of fiscal year 2037, respectively. In addition, we have NOL carry-forwards in varying amounts and with varying expiration dates in various states in which we operate. We believe it is more likely than not that we will realize a tax benefit for these NOL’s in the future except for $4.3 million of NOL carry-forwards ($0.9 million tax effected) on certain professional corporations where we recognized a full valuation allowance as of fiscal year end 2021.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Non-expiring federal and state employment credits totaling $2.3 million are available to offset certain future taxes.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$1.5 million deferred income tax asset for capital losses associated with the losses realized on the sale of our equity method non-consolidated investee and other investments. We do not expect to generate significant capital gains in the near future. Therefore, we believe it is more likely than not that we will not realize a tax benefit for the majority of these deferred income tax assets, and accordingly we have established a full valuation allowance for the amount deemed unrealizable.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our utilization of NOL carry-forwards to reduce or eliminate subsequent years’ tax obligations, our federal and a substantial number of our state income tax returns for fiscal years 2001 through 2021 remain open for examination by the tax authorities.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uncertain tax positions using a “more-likely-than-not” threshold, and recognizes the tax benefit from an uncertain tax position only if it is more likely than not that the tax position will be sustained on examination by tax authorities. The Company evaluates uncertain tax positions on a quarterly basis and considers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From Contracts With Customers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majority of our annual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w:t>
      </w:r>
    </w:p>
    <w:p>
      <w:pPr>
        <w:spacing w:after="0" w:line="2" w:lineRule="exact"/>
        <w:rPr>
          <w:sz w:val="20"/>
          <w:szCs w:val="20"/>
          <w:color w:val="auto"/>
        </w:rPr>
      </w:pPr>
    </w:p>
    <w:p>
      <w:pPr>
        <w:jc w:val="both"/>
        <w:ind w:right="20" w:firstLine="8"/>
        <w:spacing w:after="0" w:line="277" w:lineRule="auto"/>
        <w:tabs>
          <w:tab w:leader="none" w:pos="199"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eye care club memberships and management fees earned from our Legacy partner.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Recognized at a Point in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Owned &amp; Host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our Owned &amp; Host segment, product revenues include sales of prescription and non-prescription eyewear, contact lenses and related accessories to retail customers.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sales of in-store non-prescription eyewear and related accessories, we recognize revenue at the point of sale. For sales of prescription eyewear, we recognize revenue when the performance obligations identified under the terms of contracts with our customers are satisfied, which generally occurs, for products, when those products have been delivered and accepted by our customers. Within our Owned &amp; Host segment services and plans revenues, eye exam services sold on a stand-alone basis are also recognized at the point of sale which occurs immediately after the exam is performed.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Within our Legacy segment, product revenues include sales of prescription and non-prescription eyewear, contact lenses and related accessories to retail customers in transactions where the retail customer uses a managed-care payor; and wholesale sales of the same inventory types to the Legacy partner.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revenue recognition for the retail sales are identical to similar sales in the Owned &amp; Host segment.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Wholesale sales of inventory to the Legacy partner are recognized at the point in time when control of the inventory has been transferred in accordance with the contractual terms and conditions of sale. Since the wholesale sales of inventory to the Legacy partner are a separate performance obligation in our management &amp; services agreement with the Legacy partner, we considered the appropriate allocation of consideration to wholesale inventory sales. We concluded that the difference between the stand-alone-selling price of the wholesale inventory and the contractual prices was not material.</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our Legacy segment services and plans revenues, eye exam services sold to retail customers are recognized at the point of sale which occurs immediately after the exam is performed.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Corporate/Other</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our non-reportable Corporate/Other segment are attributable to wholly owned subsidiaries AC Lens and FirstSight Vision Services Inc. (“FirstSight”). AC Lens sells contact lenses and optical accessory products to retail customers through e-commerce, and recognizes revenue when products have been delivered to the customer. AC Lens also distributes contact lenses at its cost to Walmart and Sam’s Club under fee for services arrangements. This revenue is recorded on a gross basis as AC Lens is the principal in the arrangement since AC Lens controls the products in those transactions before the products are transferred to the customer.</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FirstSight issues individual vision plans in connection with our America’s Best operations in California, and provides or arranges for the provision of optometric services at certain optometric offices next to Walmart and Sam’s Club stores in California.</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Recognized Over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Owned &amp; Host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Within our Owned &amp; Host segment, services and plans revenues include revenues from product protection plans (i.e. warranties), eye care club memberships and HMO vision plan fees. We offer extended warranty plans in our Owned &amp; Host segment that generally provide for repair and replacement of eyeglasses for primarily a one-year term after purchase. We recognize service revenue under these programs on a straight-line basis over the warranty or service period which is consistent with our efforts expended to satisfy the obligation. We offer three- or five-year eyecare club memberships in our Owned &amp; Host segment to our contact lens customers. For these programs we apply the portfolio approach of recognizing revenues of contracts with similar characteristics and use estimates and assumptions that reflect the size and composition of the portfolio of contracts. We selected the portfolio approach because our historical club membership data demonstrate that our club customers behave similarly, such that the difference between the portfolio approach and calculating revenue of each individual contract is not material. We recognize revenue across the contract portfolio based on the value delivered to the customers relative to the remaining services promised under the programs. We determine the value delivered based on the expected timing and amount of customer usage of benefits over the terms of the contracts. The unamortized portion of amounts we collect in advance for these services and plans are reported as Deferred revenue (current and non-current portions) in the accompanying Consolidated Balance Sheets.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services and plans in our Legacy segment include fees earned for managing the operations of our Legacy partner. These fees are recorded on a net basis and are based primarily on sales of products and product protection plans to non-managed care customers. We determined that under the terms of the arrangement our Legacy partner controls the products and services in the transaction with the retail customer and therefore we act as the agent in those transactions. We recognize this service revenue using the “right to invoice” method because our right to payment corresponds directly with the value of the management services provided to our Legacy partner.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disaggregation of revenues depicts our revenues based on the timing of revenue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Fiscal Year 2021</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6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w w:val="91"/>
              </w:rPr>
              <w:t>Fiscal Year 2019</w:t>
            </w: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recognized at a point in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1,908,221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1,569,757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1,578,379</w:t>
            </w: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Revenues recognized over time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171,304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145,952</w:t>
            </w:r>
          </w:p>
        </w:tc>
      </w:tr>
      <w:tr>
        <w:trPr>
          <w:trHeight w:val="248"/>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2,079,525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1,711,760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1,724,331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Note 14. “Segment Reporting” for the Company’s disaggregation of net revenue by reportable segment and product type.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COVID-19 pandemic, we began seeking relief from our landlords while our stores were temporarily closed to the public. On April 10, 2020, the Financial Accounting Standards Board staff issued a question-and-answer document providing guidance for lease concessions provided to lessees in response to the effects of COVID-19. Such guidance allows lessees to make an election to account for lease concessions as though the enforceable rights and obligations existed in the original lease. This election is only available when the concessions do not result in a substantial increase in the obligations of the lessee.</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second quarter of 2020, we reached rent concession agreements where certain of these concession arrangements included lease payment and term extensions between three and 12 months. The Company has elected to account for lease concessions and deferrals resulting directly from the COVID-19 pandemic as though the enforceable rights and obligations to the deferrals existed in the respective contracts at lease inception and will not account for the concessions as lease modifications, unless the concession results in a substantial increase in the Company’s obligations. The majority of leases where we received a concession did not result in a substantial increase in our obligations. Lease concessions of $0.4 million and $3.1 million were recorded in Other payables and accrued expenses as of January 1, 2022 and January 2, 2021, respectively. See Note 2. “Details of Certain Balance Sheet Accounts” for further details.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FF"/>
                <w:w w:val="97"/>
              </w:rPr>
            </w:pPr>
            <w:hyperlink w:anchor="page2">
              <w:r>
                <w:rPr>
                  <w:rFonts w:ascii="Arial" w:cs="Arial" w:eastAsia="Arial" w:hAnsi="Arial"/>
                  <w:sz w:val="18"/>
                  <w:szCs w:val="18"/>
                  <w:color w:val="0000FF"/>
                  <w:w w:val="97"/>
                </w:rPr>
                <w:t>Table of Contents</w:t>
              </w:r>
            </w:hyperlink>
          </w:p>
        </w:tc>
        <w:tc>
          <w:tcPr>
            <w:tcW w:w="4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280" w:type="dxa"/>
            <w:vAlign w:val="bottom"/>
            <w:tcBorders>
              <w:top w:val="single" w:sz="8" w:color="0000FF"/>
            </w:tcBorders>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vMerge w:val="restart"/>
          </w:tcPr>
          <w:p>
            <w:pPr>
              <w:spacing w:after="0"/>
              <w:rPr>
                <w:sz w:val="24"/>
                <w:szCs w:val="24"/>
                <w:color w:val="auto"/>
              </w:rPr>
            </w:pPr>
          </w:p>
        </w:tc>
        <w:tc>
          <w:tcPr>
            <w:tcW w:w="4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gridSpan w:val="2"/>
          </w:tcPr>
          <w:p>
            <w:pPr>
              <w:jc w:val="center"/>
              <w:ind w:right="480"/>
              <w:spacing w:after="0"/>
              <w:rPr>
                <w:sz w:val="20"/>
                <w:szCs w:val="20"/>
                <w:color w:val="auto"/>
              </w:rPr>
            </w:pPr>
            <w:r>
              <w:rPr>
                <w:rFonts w:ascii="Arial" w:cs="Arial" w:eastAsia="Arial" w:hAnsi="Arial"/>
                <w:sz w:val="18"/>
                <w:szCs w:val="18"/>
                <w:color w:val="auto"/>
                <w:w w:val="97"/>
              </w:rPr>
              <w:t>As of</w:t>
            </w:r>
          </w:p>
        </w:tc>
        <w:tc>
          <w:tcPr>
            <w:tcW w:w="360" w:type="dxa"/>
            <w:vAlign w:val="bottom"/>
          </w:tcPr>
          <w:p>
            <w:pPr>
              <w:spacing w:after="0"/>
              <w:rPr>
                <w:sz w:val="24"/>
                <w:szCs w:val="24"/>
                <w:color w:val="auto"/>
              </w:rPr>
            </w:pPr>
          </w:p>
        </w:tc>
        <w:tc>
          <w:tcPr>
            <w:tcW w:w="2020" w:type="dxa"/>
            <w:vAlign w:val="bottom"/>
          </w:tcPr>
          <w:p>
            <w:pPr>
              <w:jc w:val="right"/>
              <w:ind w:right="91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12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2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January 1, 2022</w:t>
            </w:r>
          </w:p>
        </w:tc>
        <w:tc>
          <w:tcPr>
            <w:tcW w:w="360" w:type="dxa"/>
            <w:vAlign w:val="bottom"/>
          </w:tcPr>
          <w:p>
            <w:pPr>
              <w:spacing w:after="0"/>
              <w:rPr>
                <w:sz w:val="19"/>
                <w:szCs w:val="19"/>
                <w:color w:val="auto"/>
              </w:rPr>
            </w:pPr>
          </w:p>
        </w:tc>
        <w:tc>
          <w:tcPr>
            <w:tcW w:w="2020" w:type="dxa"/>
            <w:vAlign w:val="bottom"/>
          </w:tcPr>
          <w:p>
            <w:pPr>
              <w:jc w:val="right"/>
              <w:ind w:right="53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09"/>
        </w:trPr>
        <w:tc>
          <w:tcPr>
            <w:tcW w:w="1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Type</w:t>
            </w:r>
          </w:p>
        </w:tc>
        <w:tc>
          <w:tcPr>
            <w:tcW w:w="49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Classification</w:t>
            </w:r>
          </w:p>
        </w:tc>
        <w:tc>
          <w:tcPr>
            <w:tcW w:w="38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60" w:type="dxa"/>
            <w:vAlign w:val="bottom"/>
          </w:tcPr>
          <w:p>
            <w:pPr>
              <w:ind w:left="12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w:t>
            </w:r>
          </w:p>
        </w:tc>
        <w:tc>
          <w:tcPr>
            <w:tcW w:w="496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Property and equipment, net </w:t>
            </w:r>
            <w:r>
              <w:rPr>
                <w:rFonts w:ascii="Arial" w:cs="Arial" w:eastAsia="Arial" w:hAnsi="Arial"/>
                <w:sz w:val="23"/>
                <w:szCs w:val="23"/>
                <w:color w:val="auto"/>
                <w:vertAlign w:val="superscript"/>
              </w:rPr>
              <w:t>(a)</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24,373</w:t>
            </w:r>
          </w:p>
        </w:tc>
        <w:tc>
          <w:tcPr>
            <w:tcW w:w="0" w:type="dxa"/>
            <w:vAlign w:val="bottom"/>
          </w:tcPr>
          <w:p>
            <w:pPr>
              <w:spacing w:after="0"/>
              <w:rPr>
                <w:sz w:val="1"/>
                <w:szCs w:val="1"/>
                <w:color w:val="auto"/>
              </w:rPr>
            </w:pPr>
          </w:p>
        </w:tc>
      </w:tr>
      <w:tr>
        <w:trPr>
          <w:trHeight w:val="230"/>
        </w:trPr>
        <w:tc>
          <w:tcPr>
            <w:tcW w:w="1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w:t>
            </w:r>
          </w:p>
        </w:tc>
        <w:tc>
          <w:tcPr>
            <w:tcW w:w="4960" w:type="dxa"/>
            <w:vAlign w:val="bottom"/>
            <w:tcBorders>
              <w:bottom w:val="single" w:sz="8" w:color="CCEEFF"/>
            </w:tcBorders>
          </w:tcPr>
          <w:p>
            <w:pPr>
              <w:ind w:left="120"/>
              <w:spacing w:after="0" w:line="230" w:lineRule="exact"/>
              <w:rPr>
                <w:sz w:val="20"/>
                <w:szCs w:val="20"/>
                <w:color w:val="auto"/>
              </w:rPr>
            </w:pPr>
            <w:r>
              <w:rPr>
                <w:rFonts w:ascii="Arial" w:cs="Arial" w:eastAsia="Arial" w:hAnsi="Arial"/>
                <w:sz w:val="18"/>
                <w:szCs w:val="18"/>
                <w:color w:val="auto"/>
              </w:rPr>
              <w:t xml:space="preserve">Right of use assets </w:t>
            </w:r>
            <w:r>
              <w:rPr>
                <w:rFonts w:ascii="Arial" w:cs="Arial" w:eastAsia="Arial" w:hAnsi="Arial"/>
                <w:sz w:val="23"/>
                <w:szCs w:val="23"/>
                <w:color w:val="auto"/>
                <w:vertAlign w:val="superscript"/>
              </w:rPr>
              <w:t>(b)</w:t>
            </w: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340,141</w:t>
            </w: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leased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364,514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00" w:type="dxa"/>
            <w:vAlign w:val="bottom"/>
            <w:gridSpan w:val="2"/>
            <w:vMerge w:val="restart"/>
          </w:tcPr>
          <w:p>
            <w:pPr>
              <w:ind w:left="20"/>
              <w:spacing w:after="0"/>
              <w:rPr>
                <w:sz w:val="20"/>
                <w:szCs w:val="20"/>
                <w:color w:val="auto"/>
              </w:rPr>
            </w:pPr>
            <w:r>
              <w:rPr>
                <w:rFonts w:ascii="Arial" w:cs="Arial" w:eastAsia="Arial" w:hAnsi="Arial"/>
                <w:sz w:val="18"/>
                <w:szCs w:val="18"/>
                <w:color w:val="auto"/>
              </w:rPr>
              <w:t>Finance</w:t>
            </w:r>
          </w:p>
        </w:tc>
        <w:tc>
          <w:tcPr>
            <w:tcW w:w="4960" w:type="dxa"/>
            <w:vAlign w:val="bottom"/>
          </w:tcPr>
          <w:p>
            <w:pPr>
              <w:ind w:left="120"/>
              <w:spacing w:after="0" w:line="176" w:lineRule="exact"/>
              <w:rPr>
                <w:sz w:val="20"/>
                <w:szCs w:val="20"/>
                <w:color w:val="auto"/>
              </w:rPr>
            </w:pPr>
            <w:r>
              <w:rPr>
                <w:rFonts w:ascii="Arial" w:cs="Arial" w:eastAsia="Arial" w:hAnsi="Arial"/>
                <w:sz w:val="18"/>
                <w:szCs w:val="18"/>
                <w:color w:val="auto"/>
              </w:rPr>
              <w:t>Current maturities of long-term debt and finance lease</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vMerge w:val="restart"/>
          </w:tcPr>
          <w:p>
            <w:pPr>
              <w:jc w:val="right"/>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2020" w:type="dxa"/>
            <w:vAlign w:val="bottom"/>
            <w:vMerge w:val="restart"/>
          </w:tcPr>
          <w:p>
            <w:pPr>
              <w:jc w:val="right"/>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29"/>
        </w:trPr>
        <w:tc>
          <w:tcPr>
            <w:tcW w:w="1400" w:type="dxa"/>
            <w:vAlign w:val="bottom"/>
            <w:gridSpan w:val="2"/>
            <w:vMerge w:val="continue"/>
          </w:tcPr>
          <w:p>
            <w:pPr>
              <w:spacing w:after="0"/>
              <w:rPr>
                <w:sz w:val="19"/>
                <w:szCs w:val="19"/>
                <w:color w:val="auto"/>
              </w:rPr>
            </w:pPr>
          </w:p>
        </w:tc>
        <w:tc>
          <w:tcPr>
            <w:tcW w:w="4960" w:type="dxa"/>
            <w:vAlign w:val="bottom"/>
          </w:tcPr>
          <w:p>
            <w:pPr>
              <w:ind w:left="120"/>
              <w:spacing w:after="0"/>
              <w:rPr>
                <w:sz w:val="20"/>
                <w:szCs w:val="20"/>
                <w:color w:val="auto"/>
              </w:rPr>
            </w:pPr>
            <w:r>
              <w:rPr>
                <w:rFonts w:ascii="Arial" w:cs="Arial" w:eastAsia="Arial" w:hAnsi="Arial"/>
                <w:sz w:val="18"/>
                <w:szCs w:val="18"/>
                <w:color w:val="auto"/>
              </w:rPr>
              <w:t>obligations</w:t>
            </w:r>
          </w:p>
        </w:tc>
        <w:tc>
          <w:tcPr>
            <w:tcW w:w="38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496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Current operating lease obligations </w:t>
            </w:r>
            <w:r>
              <w:rPr>
                <w:rFonts w:ascii="Arial" w:cs="Arial" w:eastAsia="Arial" w:hAnsi="Arial"/>
                <w:sz w:val="23"/>
                <w:szCs w:val="23"/>
                <w:color w:val="auto"/>
                <w:vertAlign w:val="superscript"/>
              </w:rPr>
              <w:t>(c)</w:t>
            </w:r>
          </w:p>
        </w:tc>
        <w:tc>
          <w:tcPr>
            <w:tcW w:w="3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58,356</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60" w:type="dxa"/>
            <w:vAlign w:val="bottom"/>
          </w:tcPr>
          <w:p>
            <w:pPr>
              <w:ind w:left="120"/>
              <w:spacing w:after="0"/>
              <w:rPr>
                <w:sz w:val="20"/>
                <w:szCs w:val="20"/>
                <w:color w:val="auto"/>
              </w:rPr>
            </w:pPr>
            <w:r>
              <w:rPr>
                <w:rFonts w:ascii="Arial" w:cs="Arial" w:eastAsia="Arial" w:hAnsi="Arial"/>
                <w:sz w:val="18"/>
                <w:szCs w:val="18"/>
                <w:b w:val="1"/>
                <w:bCs w:val="1"/>
                <w:color w:val="auto"/>
              </w:rPr>
              <w:t>Other non-current liabilities:</w:t>
            </w:r>
          </w:p>
        </w:tc>
        <w:tc>
          <w:tcPr>
            <w:tcW w:w="3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Finance</w:t>
            </w:r>
          </w:p>
        </w:tc>
        <w:tc>
          <w:tcPr>
            <w:tcW w:w="49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Long-term debt and finance lease obligations, less current</w:t>
            </w:r>
          </w:p>
        </w:tc>
        <w:tc>
          <w:tcPr>
            <w:tcW w:w="380" w:type="dxa"/>
            <w:vAlign w:val="bottom"/>
            <w:shd w:val="clear" w:color="auto" w:fill="CCEEFF"/>
          </w:tcPr>
          <w:p>
            <w:pPr>
              <w:spacing w:after="0"/>
              <w:rPr>
                <w:sz w:val="15"/>
                <w:szCs w:val="15"/>
                <w:color w:val="auto"/>
              </w:rPr>
            </w:pPr>
          </w:p>
        </w:tc>
        <w:tc>
          <w:tcPr>
            <w:tcW w:w="2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22,515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27,152</w:t>
            </w:r>
          </w:p>
        </w:tc>
        <w:tc>
          <w:tcPr>
            <w:tcW w:w="0" w:type="dxa"/>
            <w:vAlign w:val="bottom"/>
          </w:tcPr>
          <w:p>
            <w:pPr>
              <w:spacing w:after="0"/>
              <w:rPr>
                <w:sz w:val="1"/>
                <w:szCs w:val="1"/>
                <w:color w:val="auto"/>
              </w:rPr>
            </w:pPr>
          </w:p>
        </w:tc>
      </w:tr>
      <w:tr>
        <w:trPr>
          <w:trHeight w:val="229"/>
        </w:trPr>
        <w:tc>
          <w:tcPr>
            <w:tcW w:w="1400" w:type="dxa"/>
            <w:vAlign w:val="bottom"/>
            <w:gridSpan w:val="2"/>
            <w:vMerge w:val="continue"/>
            <w:shd w:val="clear" w:color="auto" w:fill="CCEEFF"/>
          </w:tcPr>
          <w:p>
            <w:pPr>
              <w:spacing w:after="0"/>
              <w:rPr>
                <w:sz w:val="19"/>
                <w:szCs w:val="19"/>
                <w:color w:val="auto"/>
              </w:rPr>
            </w:pPr>
          </w:p>
        </w:tc>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portion and debt discount</w:t>
            </w:r>
          </w:p>
        </w:tc>
        <w:tc>
          <w:tcPr>
            <w:tcW w:w="380" w:type="dxa"/>
            <w:vAlign w:val="bottom"/>
            <w:shd w:val="clear" w:color="auto" w:fill="CCEEFF"/>
          </w:tcPr>
          <w:p>
            <w:pPr>
              <w:spacing w:after="0"/>
              <w:rPr>
                <w:sz w:val="19"/>
                <w:szCs w:val="19"/>
                <w:color w:val="auto"/>
              </w:rPr>
            </w:pPr>
          </w:p>
        </w:tc>
        <w:tc>
          <w:tcPr>
            <w:tcW w:w="2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w:t>
            </w:r>
          </w:p>
        </w:tc>
        <w:tc>
          <w:tcPr>
            <w:tcW w:w="4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Non-current operating lease obligations</w:t>
            </w: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342,241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327,371</w:t>
            </w: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lease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416,477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20" w:right="260"/>
        <w:spacing w:after="0" w:line="236" w:lineRule="auto"/>
        <w:rPr>
          <w:sz w:val="20"/>
          <w:szCs w:val="20"/>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in determining the net present value of minimum lease payments. We used the incremental borrowing rate on December 30, 2018 for operating leases that commenced prior to that date.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Finance lease assets are recorded net of accumulated amortization of $16.8 million and $12.4 million as of January 1, 2022 and January 2, 2021, respectively.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TIA and deferred rent are treated as reductions of lease payments used to measure ROU assets in the accompanying Consolidated Balance Sheets as of January 1, 2022 and January 2, 2021.</w:t>
      </w:r>
    </w:p>
    <w:p>
      <w:pPr>
        <w:spacing w:after="0" w:line="24" w:lineRule="exact"/>
        <w:rPr>
          <w:rFonts w:ascii="Arial" w:cs="Arial" w:eastAsia="Arial" w:hAnsi="Arial"/>
          <w:sz w:val="12"/>
          <w:szCs w:val="12"/>
          <w:color w:val="auto"/>
        </w:rPr>
      </w:pPr>
    </w:p>
    <w:p>
      <w:pPr>
        <w:ind w:left="200" w:hanging="192"/>
        <w:spacing w:after="0"/>
        <w:tabs>
          <w:tab w:leader="none" w:pos="2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Current operating lease liabilities are measured net of TIA receivables of $6.6 million and $3.8 million as of January 1, 2022 and January 2, 2021, respectively.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Fiscal Year 2021</w:t>
            </w:r>
          </w:p>
        </w:tc>
        <w:tc>
          <w:tcPr>
            <w:tcW w:w="340" w:type="dxa"/>
            <w:vAlign w:val="bottom"/>
          </w:tcPr>
          <w:p>
            <w:pPr>
              <w:spacing w:after="0"/>
              <w:rPr>
                <w:sz w:val="20"/>
                <w:szCs w:val="20"/>
                <w:color w:val="auto"/>
              </w:rPr>
            </w:pPr>
          </w:p>
        </w:tc>
        <w:tc>
          <w:tcPr>
            <w:tcW w:w="2040" w:type="dxa"/>
            <w:vAlign w:val="bottom"/>
          </w:tcPr>
          <w:p>
            <w:pPr>
              <w:jc w:val="right"/>
              <w:ind w:right="490"/>
              <w:spacing w:after="0"/>
              <w:rPr>
                <w:sz w:val="20"/>
                <w:szCs w:val="20"/>
                <w:color w:val="auto"/>
              </w:rPr>
            </w:pPr>
            <w:r>
              <w:rPr>
                <w:rFonts w:ascii="Arial" w:cs="Arial" w:eastAsia="Arial" w:hAnsi="Arial"/>
                <w:sz w:val="18"/>
                <w:szCs w:val="18"/>
                <w:color w:val="auto"/>
              </w:rPr>
              <w:t>Fiscal Year 2020</w:t>
            </w:r>
          </w:p>
        </w:tc>
        <w:tc>
          <w:tcPr>
            <w:tcW w:w="360" w:type="dxa"/>
            <w:vAlign w:val="bottom"/>
          </w:tcPr>
          <w:p>
            <w:pPr>
              <w:spacing w:after="0"/>
              <w:rPr>
                <w:sz w:val="20"/>
                <w:szCs w:val="20"/>
                <w:color w:val="auto"/>
              </w:rPr>
            </w:pPr>
          </w:p>
        </w:tc>
        <w:tc>
          <w:tcPr>
            <w:tcW w:w="2040" w:type="dxa"/>
            <w:vAlign w:val="bottom"/>
          </w:tcPr>
          <w:p>
            <w:pPr>
              <w:jc w:val="right"/>
              <w:ind w:right="490"/>
              <w:spacing w:after="0"/>
              <w:rPr>
                <w:sz w:val="20"/>
                <w:szCs w:val="20"/>
                <w:color w:val="auto"/>
              </w:rPr>
            </w:pPr>
            <w:r>
              <w:rPr>
                <w:rFonts w:ascii="Arial" w:cs="Arial" w:eastAsia="Arial" w:hAnsi="Arial"/>
                <w:sz w:val="18"/>
                <w:szCs w:val="18"/>
                <w:color w:val="auto"/>
              </w:rPr>
              <w:t>Fiscal Year 2019</w:t>
            </w:r>
          </w:p>
        </w:tc>
      </w:tr>
      <w:tr>
        <w:trPr>
          <w:trHeight w:val="210"/>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lease cost</w:t>
            </w:r>
          </w:p>
        </w:tc>
        <w:tc>
          <w:tcPr>
            <w:tcW w:w="3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r>
      <w:tr>
        <w:trPr>
          <w:trHeight w:val="229"/>
        </w:trPr>
        <w:tc>
          <w:tcPr>
            <w:tcW w:w="3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Fixed lease cost </w:t>
            </w:r>
            <w:r>
              <w:rPr>
                <w:rFonts w:ascii="Arial" w:cs="Arial" w:eastAsia="Arial" w:hAnsi="Arial"/>
                <w:sz w:val="23"/>
                <w:szCs w:val="23"/>
                <w:color w:val="auto"/>
                <w:vertAlign w:val="superscript"/>
              </w:rPr>
              <w:t>(a)</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84,019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79,387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73,971</w:t>
            </w:r>
          </w:p>
        </w:tc>
      </w:tr>
      <w:tr>
        <w:trPr>
          <w:trHeight w:val="230"/>
        </w:trPr>
        <w:tc>
          <w:tcPr>
            <w:tcW w:w="3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28,158</w:t>
            </w: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26,466</w:t>
            </w:r>
          </w:p>
        </w:tc>
      </w:tr>
      <w:tr>
        <w:trPr>
          <w:trHeight w:val="230"/>
        </w:trPr>
        <w:tc>
          <w:tcPr>
            <w:tcW w:w="3980" w:type="dxa"/>
            <w:vAlign w:val="bottom"/>
          </w:tcPr>
          <w:p>
            <w:pPr>
              <w:ind w:left="20"/>
              <w:spacing w:after="0" w:line="230" w:lineRule="exact"/>
              <w:rPr>
                <w:sz w:val="20"/>
                <w:szCs w:val="20"/>
                <w:color w:val="auto"/>
              </w:rPr>
            </w:pPr>
            <w:r>
              <w:rPr>
                <w:rFonts w:ascii="Arial" w:cs="Arial" w:eastAsia="Arial" w:hAnsi="Arial"/>
                <w:sz w:val="18"/>
                <w:szCs w:val="18"/>
                <w:color w:val="auto"/>
              </w:rPr>
              <w:t>Sublease income</w:t>
            </w:r>
            <w:r>
              <w:rPr>
                <w:rFonts w:ascii="Arial" w:cs="Arial" w:eastAsia="Arial" w:hAnsi="Arial"/>
                <w:sz w:val="23"/>
                <w:szCs w:val="23"/>
                <w:color w:val="auto"/>
                <w:vertAlign w:val="superscript"/>
              </w:rPr>
              <w:t>(c)</w:t>
            </w: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(3,557)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(2,700)</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(2,930)</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Finance lease cost</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Amortization of finance lease assets</w:t>
            </w: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4,561</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4,418</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finance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w:t>
            </w: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Net lease cost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113,062</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105,498</w:t>
            </w:r>
          </w:p>
        </w:tc>
      </w:tr>
    </w:tbl>
    <w:p>
      <w:pPr>
        <w:spacing w:after="0" w:line="8" w:lineRule="exact"/>
        <w:rPr>
          <w:sz w:val="20"/>
          <w:szCs w:val="20"/>
          <w:color w:val="auto"/>
        </w:rPr>
      </w:pPr>
    </w:p>
    <w:p>
      <w:pPr>
        <w:ind w:left="260" w:hanging="234"/>
        <w:spacing w:after="0"/>
        <w:tabs>
          <w:tab w:leader="none" w:pos="2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41" w:lineRule="exact"/>
        <w:rPr>
          <w:rFonts w:ascii="Arial" w:cs="Arial" w:eastAsia="Arial" w:hAnsi="Arial"/>
          <w:sz w:val="14"/>
          <w:szCs w:val="14"/>
          <w:color w:val="auto"/>
        </w:rPr>
      </w:pPr>
    </w:p>
    <w:p>
      <w:pPr>
        <w:ind w:left="260" w:right="20" w:hanging="234"/>
        <w:spacing w:after="0" w:line="236" w:lineRule="auto"/>
        <w:tabs>
          <w:tab w:leader="none" w:pos="252"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costs for insurance, real estate taxes and common area maintenance expenses, which are variable as well as lease costs above minimum thresholds for Fred Meyer stores and lease costs for Military stores.</w:t>
      </w:r>
    </w:p>
    <w:p>
      <w:pPr>
        <w:spacing w:after="0" w:line="20" w:lineRule="exact"/>
        <w:rPr>
          <w:rFonts w:ascii="Arial" w:cs="Arial" w:eastAsia="Arial" w:hAnsi="Arial"/>
          <w:sz w:val="14"/>
          <w:szCs w:val="14"/>
          <w:color w:val="auto"/>
        </w:rPr>
      </w:pPr>
    </w:p>
    <w:p>
      <w:pPr>
        <w:ind w:left="260" w:hanging="234"/>
        <w:spacing w:after="0"/>
        <w:tabs>
          <w:tab w:leader="none" w:pos="2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Income from sub-leasing of stores includes rental income from operating lease properties to independent optometrists.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-432435</wp:posOffset>
            </wp:positionV>
            <wp:extent cx="46120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880" w:type="dxa"/>
            <w:vAlign w:val="bottom"/>
          </w:tcPr>
          <w:p>
            <w:pPr>
              <w:jc w:val="center"/>
              <w:ind w:left="510"/>
              <w:spacing w:after="0"/>
              <w:rPr>
                <w:sz w:val="20"/>
                <w:szCs w:val="20"/>
                <w:color w:val="auto"/>
              </w:rPr>
            </w:pPr>
            <w:r>
              <w:rPr>
                <w:rFonts w:ascii="Arial" w:cs="Arial" w:eastAsia="Arial" w:hAnsi="Arial"/>
                <w:sz w:val="18"/>
                <w:szCs w:val="18"/>
                <w:color w:val="auto"/>
                <w:w w:val="97"/>
              </w:rPr>
              <w:t>As of</w:t>
            </w:r>
          </w:p>
        </w:tc>
        <w:tc>
          <w:tcPr>
            <w:tcW w:w="980" w:type="dxa"/>
            <w:vAlign w:val="bottom"/>
          </w:tcPr>
          <w:p>
            <w:pPr>
              <w:spacing w:after="0"/>
              <w:rPr>
                <w:sz w:val="18"/>
                <w:szCs w:val="18"/>
                <w:color w:val="auto"/>
              </w:rPr>
            </w:pPr>
          </w:p>
        </w:tc>
        <w:tc>
          <w:tcPr>
            <w:tcW w:w="2220" w:type="dxa"/>
            <w:vAlign w:val="bottom"/>
          </w:tcPr>
          <w:p>
            <w:pPr>
              <w:jc w:val="right"/>
              <w:ind w:right="97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6160" w:type="dxa"/>
            <w:vAlign w:val="bottom"/>
            <w:gridSpan w:val="2"/>
            <w:vMerge w:val="continue"/>
          </w:tcPr>
          <w:p>
            <w:pPr>
              <w:spacing w:after="0"/>
              <w:rPr>
                <w:sz w:val="19"/>
                <w:szCs w:val="19"/>
                <w:color w:val="auto"/>
              </w:rPr>
            </w:pPr>
          </w:p>
        </w:tc>
        <w:tc>
          <w:tcPr>
            <w:tcW w:w="1880" w:type="dxa"/>
            <w:vAlign w:val="bottom"/>
          </w:tcPr>
          <w:p>
            <w:pPr>
              <w:jc w:val="center"/>
              <w:ind w:left="510"/>
              <w:spacing w:after="0"/>
              <w:rPr>
                <w:sz w:val="20"/>
                <w:szCs w:val="20"/>
                <w:color w:val="auto"/>
              </w:rPr>
            </w:pPr>
            <w:r>
              <w:rPr>
                <w:rFonts w:ascii="Arial" w:cs="Arial" w:eastAsia="Arial" w:hAnsi="Arial"/>
                <w:sz w:val="18"/>
                <w:szCs w:val="18"/>
                <w:color w:val="auto"/>
                <w:w w:val="89"/>
              </w:rPr>
              <w:t>January 1, 2022</w:t>
            </w:r>
          </w:p>
        </w:tc>
        <w:tc>
          <w:tcPr>
            <w:tcW w:w="980" w:type="dxa"/>
            <w:vAlign w:val="bottom"/>
          </w:tcPr>
          <w:p>
            <w:pPr>
              <w:spacing w:after="0"/>
              <w:rPr>
                <w:sz w:val="19"/>
                <w:szCs w:val="19"/>
                <w:color w:val="auto"/>
              </w:rPr>
            </w:pPr>
          </w:p>
        </w:tc>
        <w:tc>
          <w:tcPr>
            <w:tcW w:w="2220" w:type="dxa"/>
            <w:vAlign w:val="bottom"/>
          </w:tcPr>
          <w:p>
            <w:pPr>
              <w:jc w:val="right"/>
              <w:ind w:right="590"/>
              <w:spacing w:after="0"/>
              <w:rPr>
                <w:sz w:val="20"/>
                <w:szCs w:val="20"/>
                <w:color w:val="auto"/>
              </w:rPr>
            </w:pPr>
            <w:r>
              <w:rPr>
                <w:rFonts w:ascii="Arial" w:cs="Arial" w:eastAsia="Arial" w:hAnsi="Arial"/>
                <w:sz w:val="18"/>
                <w:szCs w:val="18"/>
                <w:color w:val="auto"/>
              </w:rPr>
              <w:t>January 2, 2021</w:t>
            </w:r>
          </w:p>
        </w:tc>
        <w:tc>
          <w:tcPr>
            <w:tcW w:w="0" w:type="dxa"/>
            <w:vAlign w:val="bottom"/>
          </w:tcPr>
          <w:p>
            <w:pPr>
              <w:spacing w:after="0"/>
              <w:rPr>
                <w:sz w:val="1"/>
                <w:szCs w:val="1"/>
                <w:color w:val="auto"/>
              </w:rPr>
            </w:pPr>
          </w:p>
        </w:tc>
      </w:tr>
      <w:tr>
        <w:trPr>
          <w:trHeight w:val="223"/>
        </w:trPr>
        <w:tc>
          <w:tcPr>
            <w:tcW w:w="6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Weighted average remaining lease term (months)</w:t>
            </w:r>
          </w:p>
        </w:tc>
        <w:tc>
          <w:tcPr>
            <w:tcW w:w="14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1880" w:type="dxa"/>
            <w:vAlign w:val="bottom"/>
          </w:tcPr>
          <w:p>
            <w:pPr>
              <w:spacing w:after="0"/>
              <w:rPr>
                <w:sz w:val="19"/>
                <w:szCs w:val="19"/>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76</w:t>
            </w:r>
          </w:p>
        </w:tc>
        <w:tc>
          <w:tcPr>
            <w:tcW w:w="22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8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72</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6160" w:type="dxa"/>
            <w:vAlign w:val="bottom"/>
            <w:gridSpan w:val="2"/>
          </w:tcPr>
          <w:p>
            <w:pPr>
              <w:ind w:left="20"/>
              <w:spacing w:after="0" w:line="230" w:lineRule="exact"/>
              <w:rPr>
                <w:sz w:val="20"/>
                <w:szCs w:val="20"/>
                <w:color w:val="auto"/>
              </w:rPr>
            </w:pPr>
            <w:r>
              <w:rPr>
                <w:rFonts w:ascii="Arial" w:cs="Arial" w:eastAsia="Arial" w:hAnsi="Arial"/>
                <w:sz w:val="18"/>
                <w:szCs w:val="18"/>
                <w:i w:val="1"/>
                <w:iCs w:val="1"/>
                <w:color w:val="auto"/>
              </w:rPr>
              <w:t xml:space="preserve">Weighted average discount rate </w:t>
            </w:r>
            <w:r>
              <w:rPr>
                <w:rFonts w:ascii="Arial" w:cs="Arial" w:eastAsia="Arial" w:hAnsi="Arial"/>
                <w:sz w:val="23"/>
                <w:szCs w:val="23"/>
                <w:i w:val="1"/>
                <w:iCs w:val="1"/>
                <w:color w:val="auto"/>
                <w:vertAlign w:val="superscript"/>
              </w:rPr>
              <w:t>(a)</w:t>
            </w:r>
          </w:p>
        </w:tc>
        <w:tc>
          <w:tcPr>
            <w:tcW w:w="1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8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4.5 %</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36"/>
        </w:trPr>
        <w:tc>
          <w:tcPr>
            <w:tcW w:w="6160" w:type="dxa"/>
            <w:vAlign w:val="bottom"/>
            <w:gridSpan w:val="2"/>
          </w:tcPr>
          <w:p>
            <w:pPr>
              <w:ind w:left="20"/>
              <w:spacing w:after="0" w:line="236"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(b)</w:t>
            </w:r>
          </w:p>
        </w:tc>
        <w:tc>
          <w:tcPr>
            <w:tcW w:w="188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11.7 %</w:t>
            </w:r>
          </w:p>
        </w:tc>
        <w:tc>
          <w:tcPr>
            <w:tcW w:w="2220" w:type="dxa"/>
            <w:vAlign w:val="bottom"/>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bl>
    <w:p>
      <w:pPr>
        <w:jc w:val="both"/>
        <w:ind w:left="260" w:right="20" w:hanging="234"/>
        <w:spacing w:after="0" w:line="218" w:lineRule="auto"/>
        <w:tabs>
          <w:tab w:leader="none" w:pos="257"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discount rate used to determine the lease assets and lease liabilities was derived upon considering (i) incremental borrowing rates on our term loan and revolving credit facility; (ii) fixed rates on interest rate swaps; (iii) LIBOR margins for issuers of similar credit rating; and (iv) effect of collateralization. As a majority of our leases are five-year and 10-year leases, we determined a lease discount rate for such tenors and determined this discount rate is reasonable for leases that were entered into during the period.</w:t>
      </w:r>
    </w:p>
    <w:p>
      <w:pPr>
        <w:spacing w:after="0" w:line="62" w:lineRule="exact"/>
        <w:rPr>
          <w:rFonts w:ascii="Arial" w:cs="Arial" w:eastAsia="Arial" w:hAnsi="Arial"/>
          <w:sz w:val="14"/>
          <w:szCs w:val="14"/>
          <w:color w:val="auto"/>
        </w:rPr>
      </w:pPr>
    </w:p>
    <w:p>
      <w:pPr>
        <w:ind w:left="260" w:right="20" w:hanging="234"/>
        <w:spacing w:after="0" w:line="236" w:lineRule="auto"/>
        <w:tabs>
          <w:tab w:leader="none" w:pos="252"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398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736"/>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70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57"/>
        </w:trPr>
        <w:tc>
          <w:tcPr>
            <w:tcW w:w="398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Information</w:t>
            </w:r>
          </w:p>
        </w:tc>
        <w:tc>
          <w:tcPr>
            <w:tcW w:w="340" w:type="dxa"/>
            <w:vAlign w:val="bottom"/>
          </w:tcPr>
          <w:p>
            <w:pPr>
              <w:spacing w:after="0"/>
              <w:rPr>
                <w:sz w:val="22"/>
                <w:szCs w:val="22"/>
                <w:color w:val="auto"/>
              </w:rPr>
            </w:pPr>
          </w:p>
        </w:tc>
        <w:tc>
          <w:tcPr>
            <w:tcW w:w="2140" w:type="dxa"/>
            <w:vAlign w:val="bottom"/>
            <w:gridSpan w:val="2"/>
          </w:tcPr>
          <w:p>
            <w:pPr>
              <w:ind w:left="240"/>
              <w:spacing w:after="0"/>
              <w:rPr>
                <w:sz w:val="20"/>
                <w:szCs w:val="20"/>
                <w:color w:val="auto"/>
              </w:rPr>
            </w:pPr>
            <w:r>
              <w:rPr>
                <w:rFonts w:ascii="Arial" w:cs="Arial" w:eastAsia="Arial" w:hAnsi="Arial"/>
                <w:sz w:val="18"/>
                <w:szCs w:val="18"/>
                <w:color w:val="auto"/>
              </w:rPr>
              <w:t>Fiscal Year 2021</w:t>
            </w:r>
          </w:p>
        </w:tc>
        <w:tc>
          <w:tcPr>
            <w:tcW w:w="340" w:type="dxa"/>
            <w:vAlign w:val="bottom"/>
          </w:tcPr>
          <w:p>
            <w:pPr>
              <w:spacing w:after="0"/>
              <w:rPr>
                <w:sz w:val="22"/>
                <w:szCs w:val="22"/>
                <w:color w:val="auto"/>
              </w:rPr>
            </w:pPr>
          </w:p>
        </w:tc>
        <w:tc>
          <w:tcPr>
            <w:tcW w:w="2020" w:type="dxa"/>
            <w:vAlign w:val="bottom"/>
          </w:tcPr>
          <w:p>
            <w:pPr>
              <w:jc w:val="right"/>
              <w:ind w:right="470"/>
              <w:spacing w:after="0"/>
              <w:rPr>
                <w:sz w:val="20"/>
                <w:szCs w:val="20"/>
                <w:color w:val="auto"/>
              </w:rPr>
            </w:pPr>
            <w:r>
              <w:rPr>
                <w:rFonts w:ascii="Arial" w:cs="Arial" w:eastAsia="Arial" w:hAnsi="Arial"/>
                <w:sz w:val="18"/>
                <w:szCs w:val="18"/>
                <w:color w:val="auto"/>
              </w:rPr>
              <w:t>Fiscal Year 2020</w:t>
            </w:r>
          </w:p>
        </w:tc>
        <w:tc>
          <w:tcPr>
            <w:tcW w:w="380" w:type="dxa"/>
            <w:vAlign w:val="bottom"/>
          </w:tcPr>
          <w:p>
            <w:pPr>
              <w:spacing w:after="0"/>
              <w:rPr>
                <w:sz w:val="22"/>
                <w:szCs w:val="22"/>
                <w:color w:val="auto"/>
              </w:rPr>
            </w:pPr>
          </w:p>
        </w:tc>
        <w:tc>
          <w:tcPr>
            <w:tcW w:w="2040" w:type="dxa"/>
            <w:vAlign w:val="bottom"/>
          </w:tcPr>
          <w:p>
            <w:pPr>
              <w:jc w:val="right"/>
              <w:ind w:right="490"/>
              <w:spacing w:after="0"/>
              <w:rPr>
                <w:sz w:val="20"/>
                <w:szCs w:val="20"/>
                <w:color w:val="auto"/>
              </w:rPr>
            </w:pPr>
            <w:r>
              <w:rPr>
                <w:rFonts w:ascii="Arial" w:cs="Arial" w:eastAsia="Arial" w:hAnsi="Arial"/>
                <w:sz w:val="18"/>
                <w:szCs w:val="18"/>
                <w:color w:val="auto"/>
              </w:rPr>
              <w:t>Fiscal Year 2019</w:t>
            </w:r>
          </w:p>
        </w:tc>
      </w:tr>
      <w:tr>
        <w:trPr>
          <w:trHeight w:val="223"/>
        </w:trPr>
        <w:tc>
          <w:tcPr>
            <w:tcW w:w="3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cash outflows - operating leases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84,913</w:t>
            </w:r>
          </w:p>
        </w:tc>
        <w:tc>
          <w:tcPr>
            <w:tcW w:w="3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75,330</w:t>
            </w:r>
          </w:p>
        </w:tc>
      </w:tr>
      <w:tr>
        <w:trPr>
          <w:trHeight w:val="230"/>
        </w:trPr>
        <w:tc>
          <w:tcPr>
            <w:tcW w:w="3980" w:type="dxa"/>
            <w:vAlign w:val="bottom"/>
            <w:gridSpan w:val="3"/>
          </w:tcPr>
          <w:p>
            <w:pPr>
              <w:ind w:left="20"/>
              <w:spacing w:after="0"/>
              <w:rPr>
                <w:sz w:val="20"/>
                <w:szCs w:val="20"/>
                <w:color w:val="auto"/>
              </w:rPr>
            </w:pPr>
            <w:r>
              <w:rPr>
                <w:rFonts w:ascii="Arial" w:cs="Arial" w:eastAsia="Arial" w:hAnsi="Arial"/>
                <w:sz w:val="18"/>
                <w:szCs w:val="18"/>
                <w:color w:val="auto"/>
                <w:w w:val="98"/>
              </w:rPr>
              <w:t>Right of use assets acquired under finance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1,257</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9,713</w:t>
            </w:r>
          </w:p>
        </w:tc>
      </w:tr>
      <w:tr>
        <w:trPr>
          <w:trHeight w:val="229"/>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4"/>
              </w:rPr>
              <w:t>Right of use assets acquired under operating leases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68,081</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maturity of our lease liabilities as of January 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57"/>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Year</w:t>
            </w:r>
          </w:p>
        </w:tc>
        <w:tc>
          <w:tcPr>
            <w:tcW w:w="300" w:type="dxa"/>
            <w:vAlign w:val="bottom"/>
          </w:tcPr>
          <w:p>
            <w:pPr>
              <w:spacing w:after="0"/>
              <w:rPr>
                <w:sz w:val="22"/>
                <w:szCs w:val="22"/>
                <w:color w:val="auto"/>
              </w:rPr>
            </w:pPr>
          </w:p>
        </w:tc>
        <w:tc>
          <w:tcPr>
            <w:tcW w:w="220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(a)</w:t>
            </w:r>
          </w:p>
        </w:tc>
        <w:tc>
          <w:tcPr>
            <w:tcW w:w="340" w:type="dxa"/>
            <w:vAlign w:val="bottom"/>
          </w:tcPr>
          <w:p>
            <w:pPr>
              <w:spacing w:after="0"/>
              <w:rPr>
                <w:sz w:val="22"/>
                <w:szCs w:val="22"/>
                <w:color w:val="auto"/>
              </w:rPr>
            </w:pPr>
          </w:p>
        </w:tc>
        <w:tc>
          <w:tcPr>
            <w:tcW w:w="2060" w:type="dxa"/>
            <w:vAlign w:val="bottom"/>
          </w:tcPr>
          <w:p>
            <w:pPr>
              <w:jc w:val="right"/>
              <w:ind w:right="470"/>
              <w:spacing w:after="0" w:line="256" w:lineRule="exact"/>
              <w:rPr>
                <w:sz w:val="20"/>
                <w:szCs w:val="20"/>
                <w:color w:val="auto"/>
              </w:rPr>
            </w:pPr>
            <w:r>
              <w:rPr>
                <w:rFonts w:ascii="Arial" w:cs="Arial" w:eastAsia="Arial" w:hAnsi="Arial"/>
                <w:sz w:val="18"/>
                <w:szCs w:val="18"/>
                <w:color w:val="auto"/>
                <w:w w:val="98"/>
              </w:rPr>
              <w:t xml:space="preserve">Finance Leases </w:t>
            </w:r>
            <w:r>
              <w:rPr>
                <w:rFonts w:ascii="Arial" w:cs="Arial" w:eastAsia="Arial" w:hAnsi="Arial"/>
                <w:sz w:val="23"/>
                <w:szCs w:val="23"/>
                <w:color w:val="auto"/>
                <w:w w:val="98"/>
                <w:vertAlign w:val="superscript"/>
              </w:rPr>
              <w:t>(b)</w:t>
            </w:r>
          </w:p>
        </w:tc>
      </w:tr>
      <w:tr>
        <w:trPr>
          <w:trHeight w:val="223"/>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6,752</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84,471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6,252</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68,409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4,913</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34,106</w:t>
            </w: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7,592</w:t>
            </w:r>
          </w:p>
        </w:tc>
      </w:tr>
      <w:tr>
        <w:trPr>
          <w:trHeight w:val="248"/>
        </w:trPr>
        <w:tc>
          <w:tcPr>
            <w:tcW w:w="63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Present value of lease liabilities</w:t>
            </w:r>
            <w:r>
              <w:rPr>
                <w:rFonts w:ascii="Arial" w:cs="Arial" w:eastAsia="Arial" w:hAnsi="Arial"/>
                <w:sz w:val="23"/>
                <w:szCs w:val="23"/>
                <w:color w:val="auto"/>
                <w:vertAlign w:val="superscript"/>
              </w:rPr>
              <w:t>(c)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26,514</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ind w:left="200" w:hanging="192"/>
        <w:spacing w:after="0"/>
        <w:tabs>
          <w:tab w:leader="none" w:pos="2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Operating lease payments include $44.3 million related to options to extend lease terms that are reasonably certain of being exercised.</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Finance lease payments include $1.7 million related to options to extend lease terms that are reasonably certain of being exercised.</w:t>
      </w:r>
    </w:p>
    <w:p>
      <w:pPr>
        <w:spacing w:after="0" w:line="1" w:lineRule="exact"/>
        <w:rPr>
          <w:rFonts w:ascii="Arial" w:cs="Arial" w:eastAsia="Arial" w:hAnsi="Arial"/>
          <w:sz w:val="14"/>
          <w:szCs w:val="14"/>
          <w:color w:val="auto"/>
        </w:rPr>
      </w:pPr>
    </w:p>
    <w:p>
      <w:pPr>
        <w:ind w:left="200" w:hanging="192"/>
        <w:spacing w:after="0"/>
        <w:tabs>
          <w:tab w:leader="none" w:pos="2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present value of lease liabilities excludes $24.5 million of legally binding minimum lease payments for leases signed but not yet commenced.</w:t>
      </w:r>
    </w:p>
    <w:p>
      <w:pPr>
        <w:spacing w:after="0" w:line="381" w:lineRule="exact"/>
        <w:rPr>
          <w:sz w:val="20"/>
          <w:szCs w:val="20"/>
          <w:color w:val="auto"/>
        </w:rPr>
      </w:pPr>
    </w:p>
    <w:p>
      <w:pPr>
        <w:ind w:right="9140" w:firstLine="8"/>
        <w:spacing w:after="0" w:line="378" w:lineRule="auto"/>
        <w:tabs>
          <w:tab w:leader="none" w:pos="1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General</w:t>
      </w:r>
    </w:p>
    <w:p>
      <w:pPr>
        <w:jc w:val="both"/>
        <w:spacing w:after="0" w:line="259" w:lineRule="auto"/>
        <w:rPr>
          <w:sz w:val="20"/>
          <w:szCs w:val="20"/>
          <w:color w:val="auto"/>
        </w:rPr>
      </w:pPr>
      <w:r>
        <w:rPr>
          <w:rFonts w:ascii="Arial" w:cs="Arial" w:eastAsia="Arial" w:hAnsi="Arial"/>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own market assumptions.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required to measure certain assets and liabilities at fair value or disclose the fair values of certain assets and liabilities recorded at cost. Accounting standards define fair value as the price that would be received to sell an asset or paid to transfer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8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1 - Valuation inputs are based upon unadjusted quoted prices for identical instruments traded in active markets.</w:t>
      </w:r>
    </w:p>
    <w:p>
      <w:pPr>
        <w:spacing w:after="0" w:line="23" w:lineRule="exact"/>
        <w:rPr>
          <w:rFonts w:ascii="Arial" w:cs="Arial" w:eastAsia="Arial" w:hAnsi="Arial"/>
          <w:sz w:val="18"/>
          <w:szCs w:val="18"/>
          <w:color w:val="auto"/>
        </w:rPr>
      </w:pPr>
    </w:p>
    <w:p>
      <w:pPr>
        <w:jc w:val="both"/>
        <w:ind w:left="660" w:right="180" w:hanging="328"/>
        <w:spacing w:after="0" w:line="250"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instruments.</w:t>
      </w:r>
    </w:p>
    <w:p>
      <w:pPr>
        <w:spacing w:after="0" w:line="1" w:lineRule="exact"/>
        <w:rPr>
          <w:rFonts w:ascii="Arial" w:cs="Arial" w:eastAsia="Arial" w:hAnsi="Arial"/>
          <w:sz w:val="18"/>
          <w:szCs w:val="18"/>
          <w:color w:val="auto"/>
        </w:rPr>
      </w:pPr>
    </w:p>
    <w:p>
      <w:pPr>
        <w:jc w:val="both"/>
        <w:ind w:left="660" w:right="160" w:hanging="328"/>
        <w:spacing w:after="0" w:line="255"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discounted cash flow models and similar techniques.</w:t>
      </w:r>
    </w:p>
    <w:p>
      <w:pPr>
        <w:spacing w:after="0" w:line="8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impact on the estimated fair value amounts.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Derivatives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as assets or liabilities at fair value the estimated amounts we would receive or pay upon a termination of interest rate derivatives prior to their scheduled expiration dates. The fair value is based on information that is model-driven and whose inputs were observable (Level 2 inputs) such as LIBOR forward rates. See Note 12. “Interest Rate Derivatives” for further details.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Tangible Long-lived and Right of Use (“ROU”) Store Assets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impairments of $4.4 million, $22.0 million and $8.9 million in fiscal years 2021, 2020 and 2019, respectively, related to our long-lived tangible store assets and ROU assets. The impairments were primarily driven by lower than projected customer sales volume in certain stores. The cash flows used in estimating fair value were discounted using a market rate of 7.5%. A decrease in the estimated cash flows would lead to a lower fair value measurement, as would an increase in the discount rate. These non-recurring fair value measurements are classified as Level 3 measurements in the fair value hierarchy. The estimated remaining fair value of the assets impaired during fiscal years 2021 and 2020 was $6.8 million and $30.6 million, respectively; the estimated remaining fair values include amounts estimated at various dates during the related fiscal years. Substantially all of the remaining fair value of the impaired store assets in fiscal years 2021 and 2020 represents the fair value of ROU assets. Refer to Note 1. “Business and Significant Accounting Policies.”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fair value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and Restricted Cash</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cash equivalents and restricted cash approximates fair value due to the short term maturity of the instruments. All cash and cash equivalents are denominated in U.S. currency.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 of accounts receivable approximates fair value due to the short-term nature of those items and the effect of credit losses.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Other Payables and Accrued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accounts payable and other payables and accrued expenses approximate fair value due to the short-term nature of those items.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Term Loan and Revolving Credit Facility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the borrowings under the term loan and revolving credit facility utilize variable interest rate setting mechanisms such as LIBOR, the fair values of these borrowings are deemed to approximate the carrying values. We also considered the effect of our own credit risk on the fair values of our term loan and revolving credit facility. Refer to Note 4. “Long-term Debt.”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- 2025 Notes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$402.5 million in aggregate principal amount of 2.50% convertible senior notes due on May 15, 2025 issued and outstanding as of January 1, 2022. The estimated fair value of the 2025 Notes was approximately $674.9 million as of January 1, 2022. The estimated fair value of the 2025 Notes is based on the prices the 2025 Notes have traded in the market as of January 1, 2022, as well as overall market conditions on the date of valuation, stated coupon rates, the number of coupon payments each year and the maturity dates, and represents a Level 2 measurement. Refer to Note 4. “Long-term Debt” for more information on the 2025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Deferred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depicts a roll-forward of deferred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8"/>
                <w:szCs w:val="18"/>
                <w:color w:val="auto"/>
                <w:w w:val="88"/>
              </w:rPr>
              <w:t>Fiscal Year 2021</w:t>
            </w: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40" w:type="dxa"/>
            <w:vAlign w:val="bottom"/>
            <w:gridSpan w:val="4"/>
            <w:vMerge w:val="restart"/>
          </w:tcPr>
          <w:p>
            <w:pPr>
              <w:jc w:val="center"/>
              <w:ind w:right="180"/>
              <w:spacing w:after="0"/>
              <w:rPr>
                <w:sz w:val="20"/>
                <w:szCs w:val="20"/>
                <w:color w:val="auto"/>
              </w:rPr>
            </w:pPr>
            <w:r>
              <w:rPr>
                <w:rFonts w:ascii="Arial" w:cs="Arial" w:eastAsia="Arial" w:hAnsi="Arial"/>
                <w:sz w:val="18"/>
                <w:szCs w:val="18"/>
                <w:color w:val="auto"/>
                <w:w w:val="89"/>
              </w:rPr>
              <w:t>Product Protection Plans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ind w:left="420"/>
              <w:spacing w:after="0" w:line="169" w:lineRule="exact"/>
              <w:rPr>
                <w:sz w:val="20"/>
                <w:szCs w:val="20"/>
                <w:color w:val="auto"/>
              </w:rPr>
            </w:pPr>
            <w:r>
              <w:rPr>
                <w:rFonts w:ascii="Arial" w:cs="Arial" w:eastAsia="Arial" w:hAnsi="Arial"/>
                <w:sz w:val="18"/>
                <w:szCs w:val="18"/>
                <w:color w:val="auto"/>
              </w:rPr>
              <w:t>Eye Care</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vMerge w:val="restart"/>
          </w:tcPr>
          <w:p>
            <w:pPr>
              <w:jc w:val="right"/>
              <w:ind w:right="6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12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4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Clubs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the year</w:t>
            </w:r>
          </w:p>
        </w:tc>
        <w:tc>
          <w:tcPr>
            <w:tcW w:w="7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34,147</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45,580</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79,727</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Sold</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80,690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57,639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138,329</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recognized</w:t>
            </w: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(129,565)</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End of year</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88,491</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Current</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38,335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26,990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65,325</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23,166</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88,491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3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ind w:left="1040"/>
              <w:spacing w:after="0"/>
              <w:rPr>
                <w:sz w:val="20"/>
                <w:szCs w:val="20"/>
                <w:color w:val="auto"/>
              </w:rPr>
            </w:pPr>
            <w:r>
              <w:rPr>
                <w:rFonts w:ascii="Arial" w:cs="Arial" w:eastAsia="Arial" w:hAnsi="Arial"/>
                <w:sz w:val="18"/>
                <w:szCs w:val="18"/>
                <w:color w:val="auto"/>
              </w:rPr>
              <w:t>Fiscal Year 2020</w:t>
            </w: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40" w:type="dxa"/>
            <w:vAlign w:val="bottom"/>
            <w:gridSpan w:val="3"/>
            <w:vMerge w:val="restart"/>
          </w:tcPr>
          <w:p>
            <w:pPr>
              <w:ind w:left="80"/>
              <w:spacing w:after="0"/>
              <w:rPr>
                <w:sz w:val="20"/>
                <w:szCs w:val="20"/>
                <w:color w:val="auto"/>
              </w:rPr>
            </w:pPr>
            <w:r>
              <w:rPr>
                <w:rFonts w:ascii="Arial" w:cs="Arial" w:eastAsia="Arial" w:hAnsi="Arial"/>
                <w:sz w:val="18"/>
                <w:szCs w:val="18"/>
                <w:color w:val="auto"/>
                <w:w w:val="97"/>
              </w:rPr>
              <w:t>Product Protection Plans</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3"/>
          </w:tcPr>
          <w:p>
            <w:pPr>
              <w:jc w:val="center"/>
              <w:ind w:right="520"/>
              <w:spacing w:after="0" w:line="169" w:lineRule="exact"/>
              <w:rPr>
                <w:sz w:val="20"/>
                <w:szCs w:val="20"/>
                <w:color w:val="auto"/>
              </w:rPr>
            </w:pPr>
            <w:r>
              <w:rPr>
                <w:rFonts w:ascii="Arial" w:cs="Arial" w:eastAsia="Arial" w:hAnsi="Arial"/>
                <w:sz w:val="18"/>
                <w:szCs w:val="18"/>
                <w:color w:val="auto"/>
                <w:w w:val="87"/>
              </w:rPr>
              <w:t>Eye Care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vMerge w:val="restart"/>
          </w:tcPr>
          <w:p>
            <w:pPr>
              <w:jc w:val="center"/>
              <w:ind w:right="280"/>
              <w:spacing w:after="0"/>
              <w:rPr>
                <w:sz w:val="20"/>
                <w:szCs w:val="20"/>
                <w:color w:val="auto"/>
              </w:rPr>
            </w:pPr>
            <w:r>
              <w:rPr>
                <w:rFonts w:ascii="Arial" w:cs="Arial" w:eastAsia="Arial" w:hAnsi="Arial"/>
                <w:sz w:val="18"/>
                <w:szCs w:val="18"/>
                <w:color w:val="auto"/>
                <w:w w:val="92"/>
              </w:rPr>
              <w:t>HMO Memberships</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vMerge w:val="restart"/>
          </w:tcPr>
          <w:p>
            <w:pPr>
              <w:jc w:val="right"/>
              <w:ind w:right="6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120" w:type="dxa"/>
            <w:vAlign w:val="bottom"/>
            <w:vMerge w:val="continue"/>
          </w:tcPr>
          <w:p>
            <w:pPr>
              <w:spacing w:after="0"/>
              <w:rPr>
                <w:sz w:val="19"/>
                <w:szCs w:val="19"/>
                <w:color w:val="auto"/>
              </w:rPr>
            </w:pPr>
          </w:p>
        </w:tc>
        <w:tc>
          <w:tcPr>
            <w:tcW w:w="204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3"/>
          </w:tcPr>
          <w:p>
            <w:pPr>
              <w:ind w:left="400"/>
              <w:spacing w:after="0"/>
              <w:rPr>
                <w:sz w:val="20"/>
                <w:szCs w:val="20"/>
                <w:color w:val="auto"/>
              </w:rPr>
            </w:pPr>
            <w:r>
              <w:rPr>
                <w:rFonts w:ascii="Arial" w:cs="Arial" w:eastAsia="Arial" w:hAnsi="Arial"/>
                <w:sz w:val="18"/>
                <w:szCs w:val="18"/>
                <w:color w:val="auto"/>
              </w:rPr>
              <w:t>Clubs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the year</w:t>
            </w: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30,911</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46,486</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77,400</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Sold</w:t>
            </w: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63,535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47,445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110,980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recognized</w:t>
            </w:r>
          </w:p>
        </w:tc>
        <w:tc>
          <w:tcPr>
            <w:tcW w:w="7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(60,299)</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(48,351)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(108,653)</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End of year</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79,727</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Current</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33,810</w:t>
            </w:r>
          </w:p>
        </w:tc>
        <w:tc>
          <w:tcPr>
            <w:tcW w:w="120" w:type="dxa"/>
            <w:vAlign w:val="bottom"/>
          </w:tcPr>
          <w:p>
            <w:pPr>
              <w:spacing w:after="0"/>
              <w:rPr>
                <w:sz w:val="19"/>
                <w:szCs w:val="19"/>
                <w:color w:val="auto"/>
              </w:rPr>
            </w:pPr>
          </w:p>
        </w:tc>
        <w:tc>
          <w:tcPr>
            <w:tcW w:w="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25,089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58,899</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7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20,828</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34,147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45,580</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79,727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Unsatisfied Performance Obligations (Contract Liabilities)</w:t>
      </w:r>
    </w:p>
    <w:p>
      <w:pPr>
        <w:spacing w:after="0" w:line="2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$58.9 million of deferred revenues outstanding at the beginning of the period during the fiscal year ended 2021, and $70.7 million of revenues from sale of club memberships and product protection plans during the fiscal year ended 2021. We recognized $55.9 million of deferred revenues outstanding at the beginning of the period during the fiscal year ended 2020, and $52.8 million of revenues from sale of club memberships and product protection plans during the fiscal year ended 2020.</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3"/>
          </w:tcPr>
          <w:p>
            <w:pPr>
              <w:spacing w:after="0"/>
              <w:rPr>
                <w:sz w:val="20"/>
                <w:szCs w:val="20"/>
                <w:color w:val="auto"/>
              </w:rPr>
            </w:pPr>
            <w:r>
              <w:rPr>
                <w:rFonts w:ascii="Arial" w:cs="Arial" w:eastAsia="Arial" w:hAnsi="Arial"/>
                <w:sz w:val="18"/>
                <w:szCs w:val="18"/>
                <w:color w:val="auto"/>
                <w:w w:val="95"/>
              </w:rPr>
              <w:t>Deferred revenue recorded as of fiscal year end 2021 is expected to be reflected in future operating results as follows:</w:t>
            </w: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8960" w:type="dxa"/>
            <w:vAlign w:val="bottom"/>
            <w:gridSpan w:val="2"/>
          </w:tcPr>
          <w:p>
            <w:pPr>
              <w:ind w:left="20"/>
              <w:spacing w:after="0"/>
              <w:rPr>
                <w:sz w:val="20"/>
                <w:szCs w:val="20"/>
                <w:color w:val="auto"/>
              </w:rPr>
            </w:pPr>
            <w:r>
              <w:rPr>
                <w:rFonts w:ascii="Arial" w:cs="Arial" w:eastAsia="Arial" w:hAnsi="Arial"/>
                <w:sz w:val="18"/>
                <w:szCs w:val="18"/>
                <w:color w:val="auto"/>
              </w:rPr>
              <w:t>Fiscal Year</w:t>
            </w:r>
          </w:p>
        </w:tc>
        <w:tc>
          <w:tcPr>
            <w:tcW w:w="7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In thousands</w:t>
            </w:r>
          </w:p>
        </w:tc>
      </w:tr>
      <w:tr>
        <w:trPr>
          <w:trHeight w:val="223"/>
        </w:trPr>
        <w:tc>
          <w:tcPr>
            <w:tcW w:w="20" w:type="dxa"/>
            <w:vAlign w:val="bottom"/>
          </w:tcPr>
          <w:p>
            <w:pPr>
              <w:spacing w:after="0"/>
              <w:rPr>
                <w:sz w:val="19"/>
                <w:szCs w:val="19"/>
                <w:color w:val="auto"/>
              </w:rPr>
            </w:pPr>
          </w:p>
        </w:tc>
        <w:tc>
          <w:tcPr>
            <w:tcW w:w="8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65,325</w:t>
            </w:r>
          </w:p>
        </w:tc>
      </w:tr>
      <w:tr>
        <w:trPr>
          <w:trHeight w:val="230"/>
        </w:trPr>
        <w:tc>
          <w:tcPr>
            <w:tcW w:w="20" w:type="dxa"/>
            <w:vAlign w:val="bottom"/>
          </w:tcPr>
          <w:p>
            <w:pPr>
              <w:spacing w:after="0"/>
              <w:rPr>
                <w:sz w:val="19"/>
                <w:szCs w:val="19"/>
                <w:color w:val="auto"/>
              </w:rPr>
            </w:pPr>
          </w:p>
        </w:tc>
        <w:tc>
          <w:tcPr>
            <w:tcW w:w="884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17,424</w:t>
            </w:r>
          </w:p>
        </w:tc>
      </w:tr>
      <w:tr>
        <w:trPr>
          <w:trHeight w:val="229"/>
        </w:trPr>
        <w:tc>
          <w:tcPr>
            <w:tcW w:w="20" w:type="dxa"/>
            <w:vAlign w:val="bottom"/>
          </w:tcPr>
          <w:p>
            <w:pPr>
              <w:spacing w:after="0"/>
              <w:rPr>
                <w:sz w:val="19"/>
                <w:szCs w:val="19"/>
                <w:color w:val="auto"/>
              </w:rPr>
            </w:pPr>
          </w:p>
        </w:tc>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r>
      <w:tr>
        <w:trPr>
          <w:trHeight w:val="230"/>
        </w:trPr>
        <w:tc>
          <w:tcPr>
            <w:tcW w:w="20" w:type="dxa"/>
            <w:vAlign w:val="bottom"/>
          </w:tcPr>
          <w:p>
            <w:pPr>
              <w:spacing w:after="0"/>
              <w:rPr>
                <w:sz w:val="19"/>
                <w:szCs w:val="19"/>
                <w:color w:val="auto"/>
              </w:rPr>
            </w:pPr>
          </w:p>
        </w:tc>
        <w:tc>
          <w:tcPr>
            <w:tcW w:w="884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20" w:type="dxa"/>
            <w:vAlign w:val="bottom"/>
          </w:tcPr>
          <w:p>
            <w:pPr>
              <w:spacing w:after="0"/>
              <w:rPr>
                <w:sz w:val="19"/>
                <w:szCs w:val="19"/>
                <w:color w:val="auto"/>
              </w:rPr>
            </w:pPr>
          </w:p>
        </w:tc>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88,491</w:t>
            </w: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January 1, 2022, the Company had contractual commitments of approximately $118.1 million consisting of agreements for merchandise purchases, technology and advertising.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Warranty </w:t>
      </w:r>
      <w:r>
        <w:rPr>
          <w:rFonts w:ascii="Arial" w:cs="Arial" w:eastAsia="Arial" w:hAnsi="Arial"/>
          <w:sz w:val="18"/>
          <w:szCs w:val="18"/>
          <w:color w:val="auto"/>
        </w:rPr>
        <w:t>Costs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an allowance for the estimated amount of future warranty costs when the related revenue is recognized, which is recorded in Other payables and accrued expenses on the accompanying Consolidated Balance Sheets. Expense associated with warranty costs is presented in Cost of services and plans in the accompanying Consolidated Statements of Operations. Estimated future warranty costs are primarily based on historical experience of identified warranty claims. However, there can be no assurance that future warranty costs will not exceed historical amounts. The following details the activity in our product warranty liability accounts: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color w:val="auto"/>
              </w:rPr>
              <w:t>Fiscal Year 2021</w:t>
            </w:r>
          </w:p>
        </w:tc>
        <w:tc>
          <w:tcPr>
            <w:tcW w:w="300" w:type="dxa"/>
            <w:vAlign w:val="bottom"/>
          </w:tcPr>
          <w:p>
            <w:pPr>
              <w:spacing w:after="0"/>
              <w:rPr>
                <w:sz w:val="20"/>
                <w:szCs w:val="20"/>
                <w:color w:val="auto"/>
              </w:rPr>
            </w:pP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Fiscal Year 2020</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year balance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Accrued obligation</w:t>
            </w: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33,906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28,415</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Claims paid</w:t>
            </w: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(28,067)</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End of year balance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w:t>
            </w:r>
          </w:p>
        </w:tc>
      </w:tr>
      <w:tr>
        <w:trPr>
          <w:trHeight w:val="21"/>
        </w:trPr>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sponsors a 401(k) plan into which associates may defer a portion of their wages. We match a portion of such deferred wages. The expense for the plan was $8.7 million, $5.3 million and $5.3 million in the fiscal years ended 2021, 2020 and 2019, respectively. Expense associated with our 401(k) plan is presented in SG&amp;A in the Consolidated Statements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and may in the future become subject to various claims and pending or threatened lawsuits in the ordinary course of our business.</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Eyeglass World, LLC, which was acquired by the Company in 2009, is a defendant in a state court action filed on July 24, 2017 by a former sublease holder in Albuquerque, New Mexico. The lawsuit seeks compensatory and punitive damages for claims of conversion, misappropriation of trade secrets, negligent misrepresentation, and tortious interference with existing and prospective contractual relationships arising from the Company’s alleged unauthorized use of confidential information. On January 31, 2022, in order to avoid the burden and expense of further litigation, the parties agreed to a settlement of all claims alleged by the plaintiff. On February 9, 2022, the Company paid the settlement amount and on February 11, 2022, a notice of stipulated dismissal with prejudice was filed by the parties with the court to dismiss the action.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Interest Rate Derivatives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party to an interest rate collar to offset the variability of cash flows in LIBOR-indexed debt interest payments. The aggregate notional amount of the interest rate collar was $375.0 million as of January 1, 2022. The fair value of our interest rate collar instrument was $3.3 million as of January 1, 2022 and is not designated as a cash flow hedge. The interest rate swaps we held at the end of fiscal year 2020 matured in the first quarter of 2021. The fair value of our interest rate derivative instruments was $12.8 million as of January 2, 2021, $1.5 million of which was designated as a cash flow hedge. See Note 2. “Details of Certain Balance Sheet Accounts” and Note 9. “Fair Value Measurement” for further details.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changes in the interest rates applicable to the Company’s term loan and revolving credit facility during fiscal year 2020, the interest rate collar ceased to be a highly effective hedge.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Gains (losses) on the change in fair value of the interest rate collar of approximately $4.2 million and $(2.6) million were recorded in interest expense, net during fiscal years 2021 and 2020, respectively. Interest expense, net related to our interest rate derivatives considered to be highly effective hedges for fiscal years 2021 and 2020 was $1.5 million and $7.7 million, respectively.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flows related to derivatives qualifying as hedges are included in the same section of the Consolidated Statements of Cash Flows as the underlying assets and liabilities being hedged. Cash flows during fiscal years 2021 and 2020 related to derivatives not qualifying as hedges were included in the operating section of the Consolidated Statements of Cash Flows and were immaterial.</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forecasted hedged transactions were deemed not probable of occurring as a result of the Company’s repayments of debt balances. During the second quarter of 2020, as a result of the partial repayment of the Company’s LIBOR based debt balances, the Company subsequently reclassified net unrealized losses of approximately $2.5 million from AOCL to interest expense, net during fiscal year 2020. During the second and fourth quarters of 2021, as a result of the partial repayments of the Company’s LIBOR based term-loan debt balances, the Company subsequently reclassified unrealized losses of $3.4 million from AOCL to interest expense, net during fiscal year 2021. As of January 1, 2022, the Company expects to reclassify approximately $0.8 million of unrealized losses on derivative instruments, net of tax, from AOCL into earnings in the next 12 months as the derivative instruments mature. See Note 15. “Accumulated Other Comprehensive Loss” for further details.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earnings per share (“EPS”) is computed by dividing net income by the weighted average number of common shares outstanding for the period. Diluted EPS is computed by dividing net income by the weighted average shares outstanding for the period and includes the dilutive impact of potential new shares issuable upon vesting and exercise of stock options, vesting of restricted stock units, and assumed conversion of $402.5 million of aggregate principal amount of 2025 Notes. Potential shares of common stock are excluded from the computation of diluted EPS if their effect is anti-dilutive.</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Diluted EPS related to the 2025 Notes is calculated using the if-converted method; the number of dilutive shares is based on the initial conversion rate associated with the 2025 Notes. Prior to the fourth quarter of the fiscal year 2020, we intended to settle the principal amount of the outstanding 2025 Notes in cash and, therefore, used the treasury stock method for calculating the potential effect of dilutive securities related to the 2025 Notes, if applicable. A reconciliation of the numerators and denominators of the basic and diluted EPS calculations is as follows: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 except EPS</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2021</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2019</w:t>
            </w: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32,798</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After-tax interest expense for 2025 Notes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 for diluted EPS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32,798</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Weighted average shares outstanding for basic EPS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81,820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80,565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78,608</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dilutive securities: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3,019</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2025 Notes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for diluted EPS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81,683</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Basic EPS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w w:val="97"/>
              </w:rPr>
              <w:t>Anti-dilutive options, RSUs outstanding, and 2025 Notes excluded from EPS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13,325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294</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Company’s reportable segments were determined on the same basis as used by the Chief Operating Decision Maker (“CODM”) to evaluate performance internally. Our operations consist of two reportable segments: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254"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Owned &amp; Host store brands - Our owned brands consist of our America’s Best and Eyeglass World operating segments. In America’s Best stores, vision care services are provided by optometrists employed either by us or by independent professional corporations. Eyeglass World locations primarily feature independent optometrists to perform eye exams and on-site laboratories. Our two Host operating segments consist of Military and Fred Meyer. These brands provide eye exams principally by independent optometrists in nearly all locations. We have aggregated our America’s Best, Eyeglass World, Military and Fred Meyer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86" w:lineRule="exact"/>
        <w:rPr>
          <w:rFonts w:ascii="Arial" w:cs="Arial" w:eastAsia="Arial" w:hAnsi="Arial"/>
          <w:sz w:val="18"/>
          <w:szCs w:val="18"/>
          <w:color w:val="auto"/>
        </w:rPr>
      </w:pPr>
    </w:p>
    <w:p>
      <w:pPr>
        <w:jc w:val="both"/>
        <w:ind w:left="660" w:hanging="328"/>
        <w:spacing w:after="0" w:line="269" w:lineRule="auto"/>
        <w:tabs>
          <w:tab w:leader="none" w:pos="6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Legacy - The Company manages the operations of, and supplies inventory and lab processing services to, 230 Legacy retail Vision Centers. We earn management fees as a result of providing such services and therefore we record revenue related to sales of products and product protection plans to our Legacy partner’s customers on a net basis. We also sell to our Legacy partner wholesale merchandise that is stocked in retail locations, and provide central lab processing for the finished eyeglasses and frames expected to be sold to our Legacy partner’s customers. We lease space from our Legacy partner within or adjacent to each of the locations we manage and use this space for providing optometric examination services. Sales of services and plans in our Legacy segment consist of fees earned for managing the operations of our Legacy partner and revenues associated with the provision of eye exams for our managed care customers. Revenues associated with managing operations of our Legacy partner were $41.7 million, $33.4 million and $35.5 million for fiscal years ended 2021, 2020 and 2019, respectively. Our management &amp; services agreement also allows our Legacy partner to collect penalties if the Vision Centers do not generate a requisite amount of revenues. No such penalties have been assessed under our current arrangement.</w:t>
      </w:r>
    </w:p>
    <w:p>
      <w:pPr>
        <w:spacing w:after="0" w:line="77" w:lineRule="exact"/>
        <w:rPr>
          <w:rFonts w:ascii="Arial" w:cs="Arial" w:eastAsia="Arial" w:hAnsi="Arial"/>
          <w:sz w:val="17"/>
          <w:szCs w:val="17"/>
          <w:color w:val="auto"/>
        </w:rPr>
      </w:pPr>
    </w:p>
    <w:p>
      <w:pPr>
        <w:ind w:left="660" w:right="20"/>
        <w:spacing w:after="0" w:line="277" w:lineRule="auto"/>
        <w:rPr>
          <w:rFonts w:ascii="Arial" w:cs="Arial" w:eastAsia="Arial" w:hAnsi="Arial"/>
          <w:sz w:val="17"/>
          <w:szCs w:val="17"/>
          <w:color w:val="auto"/>
        </w:rPr>
      </w:pPr>
      <w:r>
        <w:rPr>
          <w:rFonts w:ascii="Arial" w:cs="Arial" w:eastAsia="Arial" w:hAnsi="Arial"/>
          <w:sz w:val="18"/>
          <w:szCs w:val="18"/>
          <w:color w:val="auto"/>
        </w:rPr>
        <w:t>On January 22, 2020, we entered into an amendment to our management &amp; services agreement with Walmart which provided for a six month extension of the term and added five additional Vision Centers in Walmart stores to the agreement in fiscal year 2020.</w:t>
      </w:r>
    </w:p>
    <w:p>
      <w:pPr>
        <w:spacing w:after="0" w:line="6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July 17, 2020, NVI and Walmart entered into a further amendment to the management &amp; services agreement, to extend the current term and economics of the agreement by three years, to February 23, 2024, and provide that the agreement will automatically renew for an additional three year term unless, no later than seven months prior to the end of the term, one party gives the other party written notice of non-renewal. In addition, the amendment deleted certain provisions that are no longer applicable and updated certain administrative provisions. All other terms and conditions of the agreement remain in effect.</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“Corporate/Other” category includes the results of operations of our other operating segments and corporate overhead support. Revenues from the Corporate/Other segments are attributable to the AC Lens and FirstSight operating segments. AC Lens primarily sells contact lenses and optical accessory products to retail customers through e-commerce. AC Lens also distributes contact lenses to certain Walmart and Sam’s Club under fee for services arrangements. FirstSight sells single service health plans in connection with the operations of America’s Best operations in California, and arranges for the provision of optometric services at the offices next to Walmart and Sam’s Club stores throughout California. None of those segments met the quantitative thresholds for determining reportable segments for any of the periods presented.</w:t>
      </w:r>
    </w:p>
    <w:p>
      <w:pPr>
        <w:spacing w:after="0" w:line="6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“Reconciliations” category represents other adjustments to reportable segment results necessary for the presentation of consolidated financial results in accordance with U.S. GAAP for the two reportable segments.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operating segments identified above are the business activities of the Company for which discrete financial information is available and for which operating results are regularly reviewed by our CODM to allocate resources and assess performance. Our CODM is our chief executive officer. The Company considers each of our brands to be an operating segment and has further concluded that presenting the results of our reportable segments provides meaningful information consistent with the objectives of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Strategic initiatives and financial objectives for each reportable segment are determined at the corporate level. Each operating segment is responsible for implementing defined strategic initiatives and achieving certain financial objectives, and has a general manager responsible for the sales and marketing initiatives and financial results for product lines within the segment.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reportable segment profit measure is earnings before interest, tax, depreciation and amortization (“EBITDA”), or net revenue, less costs applicable to revenue, less SG&amp;A expenses. Depreciation and amortization, asset impairment and other corporate costs that are not allocated to the reportable segments (including interest expense) are excluded from segment EBITDA. There are no revenue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5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incurred $1.5 million and $8.6 million of costs during fiscal years 2021 and 2020, respectively, directly related to adapting the Company’s operations to the COVID-19 pandemic such as personal protective equipment and other supplies needed to operate our stores safely and certain other costs such as compensation, a tangible appreciation bonus paid to our customer-facing doctors and associates in fiscal year 2020, and other administrative expenses. Incremental expenses related to the COVID-19 pandemic were allocated to the reportable segments in fiscal year 2021 but were included in the Corporate/Other category in fiscal year 2020.</w:t>
      </w:r>
    </w:p>
    <w:p>
      <w:pPr>
        <w:spacing w:after="0" w:line="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is a summary of certain financial data for each of our segments. 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CODM regularly reviews. Asset information is not included in the following summary since the CODM does not regularly review such information for the reportable segments.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0"/>
              </w:rPr>
              <w:t>Fiscal Year 2021</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Owned &amp; Host</w:t>
            </w:r>
          </w:p>
        </w:tc>
        <w:tc>
          <w:tcPr>
            <w:tcW w:w="240" w:type="dxa"/>
            <w:vAlign w:val="bottom"/>
          </w:tcPr>
          <w:p>
            <w:pPr>
              <w:spacing w:after="0"/>
              <w:rPr>
                <w:sz w:val="19"/>
                <w:szCs w:val="19"/>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Legacy</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20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1,375,983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103,249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307,732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1,683,715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2,079,525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377,489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49,258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205,670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633,116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623,831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74,579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205,670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904,779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441,471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33,060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(195,840)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97,089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107</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366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color w:val="auto"/>
                <w:w w:val="93"/>
              </w:rPr>
              <w:t>Fiscal Year 2020</w:t>
            </w: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20" w:type="dxa"/>
            <w:vAlign w:val="bottom"/>
            <w:gridSpan w:val="3"/>
          </w:tcPr>
          <w:p>
            <w:pPr>
              <w:ind w:left="160"/>
              <w:spacing w:after="0"/>
              <w:rPr>
                <w:sz w:val="20"/>
                <w:szCs w:val="20"/>
                <w:color w:val="auto"/>
              </w:rPr>
            </w:pPr>
            <w:r>
              <w:rPr>
                <w:rFonts w:ascii="Arial" w:cs="Arial" w:eastAsia="Arial" w:hAnsi="Arial"/>
                <w:sz w:val="18"/>
                <w:szCs w:val="18"/>
                <w:color w:val="auto"/>
              </w:rPr>
              <w:t>Legacy</w:t>
            </w:r>
          </w:p>
        </w:tc>
        <w:tc>
          <w:tcPr>
            <w:tcW w:w="1380" w:type="dxa"/>
            <w:vAlign w:val="bottom"/>
            <w:gridSpan w:val="5"/>
          </w:tcPr>
          <w:p>
            <w:pPr>
              <w:jc w:val="right"/>
              <w:ind w:right="10"/>
              <w:spacing w:after="0"/>
              <w:rPr>
                <w:sz w:val="20"/>
                <w:szCs w:val="20"/>
                <w:color w:val="auto"/>
              </w:rPr>
            </w:pPr>
            <w:r>
              <w:rPr>
                <w:rFonts w:ascii="Arial" w:cs="Arial" w:eastAsia="Arial" w:hAnsi="Arial"/>
                <w:sz w:val="18"/>
                <w:szCs w:val="18"/>
                <w:color w:val="auto"/>
                <w:w w:val="96"/>
              </w:rPr>
              <w:t>Corporate/Other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w w:val="90"/>
              </w:rPr>
              <w:t>Reconciliations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1,097,749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90,909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234,403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1,418,283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51,108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293,477</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net revenue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1,342,399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234,403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1,711,760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307,813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43,452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201,880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551,783</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751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gridSpan w:val="2"/>
          </w:tcPr>
          <w:p>
            <w:pPr>
              <w:ind w:left="12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518,126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67,229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202,631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786,624</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183,727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724,985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22,004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22,004</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334,824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22,979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(173,514)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(5,697)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Borders>
              <w:right w:val="single" w:sz="8" w:color="CCEEFF"/>
            </w:tcBorders>
          </w:tcPr>
          <w:p>
            <w:pPr>
              <w:spacing w:after="0"/>
              <w:rPr>
                <w:sz w:val="17"/>
                <w:szCs w:val="17"/>
                <w:color w:val="auto"/>
              </w:rPr>
            </w:pPr>
          </w:p>
        </w:tc>
        <w:tc>
          <w:tcPr>
            <w:tcW w:w="3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91,585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48,327</w:t>
            </w: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gridSpan w:val="6"/>
            <w:vMerge w:val="restart"/>
          </w:tcPr>
          <w:p>
            <w:pPr>
              <w:jc w:val="right"/>
              <w:ind w:right="150"/>
              <w:spacing w:after="0"/>
              <w:rPr>
                <w:sz w:val="20"/>
                <w:szCs w:val="20"/>
                <w:color w:val="auto"/>
              </w:rPr>
            </w:pPr>
            <w:r>
              <w:rPr>
                <w:rFonts w:ascii="Arial" w:cs="Arial" w:eastAsia="Arial" w:hAnsi="Arial"/>
                <w:sz w:val="18"/>
                <w:szCs w:val="18"/>
                <w:color w:val="auto"/>
                <w:w w:val="93"/>
              </w:rPr>
              <w:t>Fiscal Year 2019</w:t>
            </w: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20" w:type="dxa"/>
            <w:vAlign w:val="bottom"/>
            <w:gridSpan w:val="3"/>
          </w:tcPr>
          <w:p>
            <w:pPr>
              <w:ind w:left="160"/>
              <w:spacing w:after="0"/>
              <w:rPr>
                <w:sz w:val="20"/>
                <w:szCs w:val="20"/>
                <w:color w:val="auto"/>
              </w:rPr>
            </w:pPr>
            <w:r>
              <w:rPr>
                <w:rFonts w:ascii="Arial" w:cs="Arial" w:eastAsia="Arial" w:hAnsi="Arial"/>
                <w:sz w:val="18"/>
                <w:szCs w:val="18"/>
                <w:color w:val="auto"/>
              </w:rPr>
              <w:t>Legacy</w:t>
            </w:r>
          </w:p>
        </w:tc>
        <w:tc>
          <w:tcPr>
            <w:tcW w:w="1380" w:type="dxa"/>
            <w:vAlign w:val="bottom"/>
            <w:gridSpan w:val="5"/>
          </w:tcPr>
          <w:p>
            <w:pPr>
              <w:jc w:val="right"/>
              <w:ind w:right="10"/>
              <w:spacing w:after="0"/>
              <w:rPr>
                <w:sz w:val="20"/>
                <w:szCs w:val="20"/>
                <w:color w:val="auto"/>
              </w:rPr>
            </w:pPr>
            <w:r>
              <w:rPr>
                <w:rFonts w:ascii="Arial" w:cs="Arial" w:eastAsia="Arial" w:hAnsi="Arial"/>
                <w:sz w:val="18"/>
                <w:szCs w:val="18"/>
                <w:color w:val="auto"/>
                <w:w w:val="96"/>
              </w:rPr>
              <w:t>Corporate/Other</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w w:val="90"/>
              </w:rPr>
              <w:t>Reconciliations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1,076,315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105,450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245,206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1,426,136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54,599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(5,101)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298,195</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net revenue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245,218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1,724,331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310,790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48,712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215,052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574,351</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25,289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232,168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gridSpan w:val="2"/>
          </w:tcPr>
          <w:p>
            <w:pPr>
              <w:ind w:left="12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517,668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74,001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215,053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806,519</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180,014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744,488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8,894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8,894</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9,786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3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(172,140)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87,244</w:t>
            </w: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36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30,489</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Entity-wide Information</w:t>
            </w: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36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gridSpan w:val="10"/>
          </w:tcPr>
          <w:p>
            <w:pPr>
              <w:spacing w:after="0"/>
              <w:rPr>
                <w:sz w:val="20"/>
                <w:szCs w:val="20"/>
                <w:color w:val="auto"/>
              </w:rPr>
            </w:pPr>
            <w:r>
              <w:rPr>
                <w:rFonts w:ascii="Arial" w:cs="Arial" w:eastAsia="Arial" w:hAnsi="Arial"/>
                <w:sz w:val="18"/>
                <w:szCs w:val="18"/>
                <w:color w:val="auto"/>
              </w:rPr>
              <w:t>The following table presents our consolidated net product revenue information:</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gridSpan w:val="4"/>
          </w:tcPr>
          <w:p>
            <w:pPr>
              <w:jc w:val="right"/>
              <w:ind w:right="90"/>
              <w:spacing w:after="0"/>
              <w:rPr>
                <w:sz w:val="20"/>
                <w:szCs w:val="20"/>
                <w:color w:val="auto"/>
              </w:rPr>
            </w:pPr>
            <w:r>
              <w:rPr>
                <w:rFonts w:ascii="Arial" w:cs="Arial" w:eastAsia="Arial" w:hAnsi="Arial"/>
                <w:sz w:val="18"/>
                <w:szCs w:val="18"/>
                <w:color w:val="auto"/>
              </w:rPr>
              <w:t>Fiscal Year 2021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4"/>
          </w:tcPr>
          <w:p>
            <w:pPr>
              <w:ind w:left="20"/>
              <w:spacing w:after="0"/>
              <w:rPr>
                <w:sz w:val="20"/>
                <w:szCs w:val="20"/>
                <w:color w:val="auto"/>
              </w:rPr>
            </w:pPr>
            <w:r>
              <w:rPr>
                <w:rFonts w:ascii="Arial" w:cs="Arial" w:eastAsia="Arial" w:hAnsi="Arial"/>
                <w:sz w:val="18"/>
                <w:szCs w:val="18"/>
                <w:color w:val="auto"/>
              </w:rPr>
              <w:t>Fiscal Year 2020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150"/>
              <w:spacing w:after="0"/>
              <w:rPr>
                <w:sz w:val="20"/>
                <w:szCs w:val="20"/>
                <w:color w:val="auto"/>
              </w:rPr>
            </w:pPr>
            <w:r>
              <w:rPr>
                <w:rFonts w:ascii="Arial" w:cs="Arial" w:eastAsia="Arial" w:hAnsi="Arial"/>
                <w:sz w:val="18"/>
                <w:szCs w:val="18"/>
                <w:color w:val="auto"/>
                <w:w w:val="90"/>
              </w:rPr>
              <w:t>Fiscal Year 2019</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Product Sales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Eyeglasses and sunglasses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1,201,386</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946,025</w:t>
            </w:r>
          </w:p>
        </w:tc>
        <w:tc>
          <w:tcPr>
            <w:tcW w:w="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947,729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Contact lenses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509,992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466,262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471,042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Accessories and other</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product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1,718,344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1,418,283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1,426,136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fiscal years 2021 and 2020, respectively, revenues from Walmart, recognized in our Legacy segment and Corporate/Other category, represented $300.8 million and $268.6 million of our total net revenue, subjecting us to customer concentration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Changes in the fair value of the Company’s cash flow hedge derivative instruments from their inception are recorded in AOCL if the instruments are deemed to be highly effective as cash flow hedges. The following table presents the changes in AOCL, net of tax during the fiscal years 2021, 2020 and 2019, respectively:</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2021</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2019</w:t>
            </w: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 hedging activity</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beginning of fiscal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r>
      <w:tr>
        <w:trPr>
          <w:trHeight w:val="223"/>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 (loss) before reclassification</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Tax effect of other comprehensive income (loss) before reclassification</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1,489</w:t>
            </w:r>
          </w:p>
        </w:tc>
      </w:tr>
      <w:tr>
        <w:trPr>
          <w:trHeight w:val="230"/>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 reclassified from AOCL</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w:t>
            </w: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Tax effect of amount reclassified from AOCL</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(1,143)</w:t>
            </w:r>
          </w:p>
        </w:tc>
      </w:tr>
      <w:tr>
        <w:trPr>
          <w:trHeight w:val="229"/>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Stranded tax effect of matured interest rate swaps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current period other comprehensive income (loss), net of tax</w:t>
            </w: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w:t>
            </w:r>
          </w:p>
        </w:tc>
      </w:tr>
      <w:tr>
        <w:trPr>
          <w:trHeight w:val="248"/>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fiscal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12. “Interest Rate Derivatives” for a description of the Company’s use of cash flow hedging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684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6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7760" w:type="dxa"/>
            <w:vAlign w:val="bottom"/>
            <w:gridSpan w:val="4"/>
          </w:tcPr>
          <w:p>
            <w:pPr>
              <w:jc w:val="center"/>
              <w:ind w:left="830"/>
              <w:spacing w:after="0"/>
              <w:rPr>
                <w:sz w:val="20"/>
                <w:szCs w:val="20"/>
                <w:color w:val="auto"/>
              </w:rPr>
            </w:pPr>
            <w:r>
              <w:rPr>
                <w:rFonts w:ascii="Arial" w:cs="Arial" w:eastAsia="Arial" w:hAnsi="Arial"/>
                <w:sz w:val="18"/>
                <w:szCs w:val="18"/>
                <w:b w:val="1"/>
                <w:bCs w:val="1"/>
                <w:color w:val="auto"/>
                <w:w w:val="90"/>
              </w:rPr>
              <w:t>Schedule I - Condensed Financial Information of Registrant</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760" w:type="dxa"/>
            <w:vAlign w:val="bottom"/>
            <w:gridSpan w:val="4"/>
          </w:tcPr>
          <w:p>
            <w:pPr>
              <w:jc w:val="center"/>
              <w:ind w:left="830"/>
              <w:spacing w:after="0"/>
              <w:rPr>
                <w:sz w:val="20"/>
                <w:szCs w:val="20"/>
                <w:color w:val="auto"/>
              </w:rPr>
            </w:pPr>
            <w:r>
              <w:rPr>
                <w:rFonts w:ascii="Arial" w:cs="Arial" w:eastAsia="Arial" w:hAnsi="Arial"/>
                <w:sz w:val="18"/>
                <w:szCs w:val="18"/>
                <w:b w:val="1"/>
                <w:bCs w:val="1"/>
                <w:color w:val="auto"/>
                <w:w w:val="90"/>
              </w:rPr>
              <w:t>National Vision Holdings, Inc. and Subsidiaries (Parent Company Only)</w:t>
            </w: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560" w:type="dxa"/>
            <w:vAlign w:val="bottom"/>
          </w:tcPr>
          <w:p>
            <w:pPr>
              <w:jc w:val="center"/>
              <w:ind w:left="3030"/>
              <w:spacing w:after="0"/>
              <w:rPr>
                <w:sz w:val="20"/>
                <w:szCs w:val="20"/>
                <w:color w:val="auto"/>
              </w:rPr>
            </w:pPr>
            <w:r>
              <w:rPr>
                <w:rFonts w:ascii="Arial" w:cs="Arial" w:eastAsia="Arial" w:hAnsi="Arial"/>
                <w:sz w:val="18"/>
                <w:szCs w:val="18"/>
                <w:b w:val="1"/>
                <w:bCs w:val="1"/>
                <w:color w:val="auto"/>
                <w:w w:val="86"/>
              </w:rPr>
              <w:t>Condensed Balance Sheets</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560" w:type="dxa"/>
            <w:vAlign w:val="bottom"/>
          </w:tcPr>
          <w:p>
            <w:pPr>
              <w:jc w:val="center"/>
              <w:ind w:left="3030"/>
              <w:spacing w:after="0"/>
              <w:rPr>
                <w:sz w:val="20"/>
                <w:szCs w:val="20"/>
                <w:color w:val="auto"/>
              </w:rPr>
            </w:pPr>
            <w:r>
              <w:rPr>
                <w:rFonts w:ascii="Arial" w:cs="Arial" w:eastAsia="Arial" w:hAnsi="Arial"/>
                <w:sz w:val="18"/>
                <w:szCs w:val="18"/>
                <w:i w:val="1"/>
                <w:iCs w:val="1"/>
                <w:color w:val="auto"/>
                <w:w w:val="89"/>
              </w:rPr>
              <w:t>In Thousands, Except Par Value</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2"/>
          </w:tcPr>
          <w:p>
            <w:pPr>
              <w:ind w:left="80"/>
              <w:spacing w:after="0"/>
              <w:rPr>
                <w:sz w:val="20"/>
                <w:szCs w:val="20"/>
                <w:color w:val="auto"/>
              </w:rPr>
            </w:pPr>
            <w:r>
              <w:rPr>
                <w:rFonts w:ascii="Arial" w:cs="Arial" w:eastAsia="Arial" w:hAnsi="Arial"/>
                <w:sz w:val="18"/>
                <w:szCs w:val="18"/>
                <w:color w:val="auto"/>
              </w:rPr>
              <w:t>As of January 1, 2022</w:t>
            </w:r>
          </w:p>
        </w:tc>
        <w:tc>
          <w:tcPr>
            <w:tcW w:w="200" w:type="dxa"/>
            <w:vAlign w:val="bottom"/>
          </w:tcPr>
          <w:p>
            <w:pPr>
              <w:spacing w:after="0"/>
              <w:rPr>
                <w:sz w:val="24"/>
                <w:szCs w:val="24"/>
                <w:color w:val="auto"/>
              </w:rPr>
            </w:pPr>
          </w:p>
        </w:tc>
        <w:tc>
          <w:tcPr>
            <w:tcW w:w="1960" w:type="dxa"/>
            <w:vAlign w:val="bottom"/>
          </w:tcPr>
          <w:p>
            <w:pPr>
              <w:jc w:val="right"/>
              <w:ind w:right="210"/>
              <w:spacing w:after="0"/>
              <w:rPr>
                <w:sz w:val="20"/>
                <w:szCs w:val="20"/>
                <w:color w:val="auto"/>
              </w:rPr>
            </w:pPr>
            <w:r>
              <w:rPr>
                <w:rFonts w:ascii="Arial" w:cs="Arial" w:eastAsia="Arial" w:hAnsi="Arial"/>
                <w:sz w:val="18"/>
                <w:szCs w:val="18"/>
                <w:color w:val="auto"/>
                <w:w w:val="93"/>
              </w:rPr>
              <w:t>As of January 2, 2021</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780" w:type="dxa"/>
            <w:vAlign w:val="bottom"/>
            <w:gridSpan w:val="2"/>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4,975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in subsidiary</w:t>
            </w:r>
          </w:p>
        </w:tc>
        <w:tc>
          <w:tcPr>
            <w:tcW w:w="1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1,388,583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1,268,846</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non-current assets</w:t>
            </w: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1,393,558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1,268,846</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1,395,975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1,270,270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payables and 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78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less current portion and debt discount</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309,377</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36,308</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16,742</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non-current liabilities</w:t>
            </w:r>
          </w:p>
        </w:tc>
        <w:tc>
          <w:tcPr>
            <w:tcW w:w="16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74,139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53,050</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78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67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89"/>
              </w:rPr>
              <w:t>Common stock, $0.01 par value; 200,000 shares authorized; 83,840 and 82,183 shares issued</w:t>
            </w:r>
          </w:p>
        </w:tc>
        <w:tc>
          <w:tcPr>
            <w:tcW w:w="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6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as of January 1, 2022 and January 2, 2021, respectively; 81,405 and 81,239 shares</w:t>
            </w:r>
          </w:p>
        </w:tc>
        <w:tc>
          <w:tcPr>
            <w:tcW w:w="160" w:type="dxa"/>
            <w:vAlign w:val="bottom"/>
          </w:tcPr>
          <w:p>
            <w:pPr>
              <w:spacing w:after="0"/>
              <w:rPr>
                <w:sz w:val="15"/>
                <w:szCs w:val="15"/>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rPr>
              <w:t>outstanding as of January 1, 2022 and January 2, 2021, respectively</w:t>
            </w:r>
          </w:p>
        </w:tc>
        <w:tc>
          <w:tcPr>
            <w:tcW w:w="16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795,697</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142,880</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67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Treasury stock, at cost; 2,435 and 944 shares as of January 1, 2022 and January 2, 2021,</w:t>
            </w:r>
          </w:p>
        </w:tc>
        <w:tc>
          <w:tcPr>
            <w:tcW w:w="160" w:type="dxa"/>
            <w:vAlign w:val="bottom"/>
          </w:tcPr>
          <w:p>
            <w:pPr>
              <w:spacing w:after="0"/>
              <w:rPr>
                <w:sz w:val="15"/>
                <w:szCs w:val="15"/>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(101,791)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(28,496)</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925,980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906,502</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1,395,975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1,270,270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2021 includes 52 weeks. Fiscal year 2020 includes 53 weeks.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 - Condensed Financial Information of Registrant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 (Parent Company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 and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2021</w:t>
            </w:r>
          </w:p>
        </w:tc>
        <w:tc>
          <w:tcPr>
            <w:tcW w:w="16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2019</w:t>
            </w:r>
          </w:p>
        </w:tc>
      </w:tr>
      <w:tr>
        <w:trPr>
          <w:trHeight w:val="223"/>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Total costs applicable to revenue</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equity in net income of subsidiaries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29"/>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of subsidiaries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49,878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33,125</w:t>
            </w:r>
          </w:p>
        </w:tc>
      </w:tr>
      <w:tr>
        <w:trPr>
          <w:trHeight w:val="248"/>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32,798</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9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128,244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36,277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32,798</w:t>
            </w: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hedge instruments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229"/>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provision (benefit) of unrealized gain (loss) on hedge instruments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r>
      <w:tr>
        <w:trPr>
          <w:trHeight w:val="248"/>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31,794</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years 2021 and 2019 include 52 weeks. Fiscal year 2020 includes 53 weeks.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396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650"/>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680" w:type="dxa"/>
            <w:vAlign w:val="bottom"/>
            <w:gridSpan w:val="6"/>
          </w:tcPr>
          <w:p>
            <w:pPr>
              <w:jc w:val="center"/>
              <w:ind w:left="1910"/>
              <w:spacing w:after="0"/>
              <w:rPr>
                <w:sz w:val="20"/>
                <w:szCs w:val="20"/>
                <w:color w:val="auto"/>
              </w:rPr>
            </w:pPr>
            <w:r>
              <w:rPr>
                <w:rFonts w:ascii="Arial" w:cs="Arial" w:eastAsia="Arial" w:hAnsi="Arial"/>
                <w:sz w:val="18"/>
                <w:szCs w:val="18"/>
                <w:b w:val="1"/>
                <w:bCs w:val="1"/>
                <w:color w:val="auto"/>
                <w:w w:val="90"/>
              </w:rPr>
              <w:t>Schedule I - Condensed Financial Information of Registrant</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80" w:type="dxa"/>
            <w:vAlign w:val="bottom"/>
            <w:gridSpan w:val="8"/>
          </w:tcPr>
          <w:p>
            <w:pPr>
              <w:jc w:val="center"/>
              <w:ind w:left="310"/>
              <w:spacing w:after="0"/>
              <w:rPr>
                <w:sz w:val="20"/>
                <w:szCs w:val="20"/>
                <w:color w:val="auto"/>
              </w:rPr>
            </w:pPr>
            <w:r>
              <w:rPr>
                <w:rFonts w:ascii="Arial" w:cs="Arial" w:eastAsia="Arial" w:hAnsi="Arial"/>
                <w:sz w:val="18"/>
                <w:szCs w:val="18"/>
                <w:b w:val="1"/>
                <w:bCs w:val="1"/>
                <w:color w:val="auto"/>
                <w:w w:val="90"/>
              </w:rPr>
              <w:t>National Vision Holdings, Inc. and Subsidiaries (Parent Company Only)</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82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8"/>
              </w:rPr>
              <w:t>Condensed Statements of Cash Flows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0" w:type="dxa"/>
            <w:vAlign w:val="bottom"/>
            <w:gridSpan w:val="2"/>
          </w:tcPr>
          <w:p>
            <w:pPr>
              <w:jc w:val="center"/>
              <w:ind w:left="1050"/>
              <w:spacing w:after="0"/>
              <w:rPr>
                <w:sz w:val="20"/>
                <w:szCs w:val="20"/>
                <w:color w:val="auto"/>
              </w:rPr>
            </w:pPr>
            <w:r>
              <w:rPr>
                <w:rFonts w:ascii="Arial" w:cs="Arial" w:eastAsia="Arial" w:hAnsi="Arial"/>
                <w:sz w:val="18"/>
                <w:szCs w:val="18"/>
                <w:i w:val="1"/>
                <w:iCs w:val="1"/>
                <w:color w:val="auto"/>
                <w:w w:val="89"/>
              </w:rPr>
              <w:t>In Thousands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Fiscal Year 2021</w:t>
            </w:r>
          </w:p>
        </w:tc>
        <w:tc>
          <w:tcPr>
            <w:tcW w:w="18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Fiscal Year 2020</w:t>
            </w:r>
          </w:p>
        </w:tc>
        <w:tc>
          <w:tcPr>
            <w:tcW w:w="16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w w:val="91"/>
              </w:rPr>
              <w:t>Fiscal Year 2019</w:t>
            </w:r>
          </w:p>
        </w:tc>
      </w:tr>
      <w:tr>
        <w:trPr>
          <w:trHeight w:val="209"/>
        </w:trPr>
        <w:tc>
          <w:tcPr>
            <w:tcW w:w="40" w:type="dxa"/>
            <w:vAlign w:val="bottom"/>
          </w:tcPr>
          <w:p>
            <w:pPr>
              <w:spacing w:after="0"/>
              <w:rPr>
                <w:sz w:val="18"/>
                <w:szCs w:val="18"/>
                <w:color w:val="auto"/>
              </w:rPr>
            </w:pPr>
          </w:p>
        </w:tc>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16,530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25,455</w:t>
            </w:r>
          </w:p>
        </w:tc>
      </w:tr>
      <w:tr>
        <w:trPr>
          <w:trHeight w:val="209"/>
        </w:trPr>
        <w:tc>
          <w:tcPr>
            <w:tcW w:w="40" w:type="dxa"/>
            <w:vAlign w:val="bottom"/>
          </w:tcPr>
          <w:p>
            <w:pPr>
              <w:spacing w:after="0"/>
              <w:rPr>
                <w:sz w:val="18"/>
                <w:szCs w:val="18"/>
                <w:color w:val="auto"/>
              </w:rPr>
            </w:pPr>
          </w:p>
        </w:tc>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39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Investment in subsidiary</w:t>
            </w:r>
          </w:p>
        </w:tc>
        <w:tc>
          <w:tcPr>
            <w:tcW w:w="2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(15,090)</w:t>
            </w:r>
          </w:p>
        </w:tc>
      </w:tr>
      <w:tr>
        <w:trPr>
          <w:trHeight w:val="223"/>
        </w:trPr>
        <w:tc>
          <w:tcPr>
            <w:tcW w:w="40" w:type="dxa"/>
            <w:vAlign w:val="bottom"/>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Net cash provided by (used for) investing activities</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(15,090)</w:t>
            </w:r>
          </w:p>
        </w:tc>
      </w:tr>
      <w:tr>
        <w:trPr>
          <w:trHeight w:val="230"/>
        </w:trPr>
        <w:tc>
          <w:tcPr>
            <w:tcW w:w="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8"/>
              </w:rPr>
              <w:t>Borrowings on long-term debt, net of discounts</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3920" w:type="dxa"/>
            <w:vAlign w:val="bottom"/>
            <w:gridSpan w:val="2"/>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11,838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13,105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15,090</w:t>
            </w:r>
          </w:p>
        </w:tc>
      </w:tr>
      <w:tr>
        <w:trPr>
          <w:trHeight w:val="230"/>
        </w:trPr>
        <w:tc>
          <w:tcPr>
            <w:tcW w:w="40" w:type="dxa"/>
            <w:vAlign w:val="bottom"/>
          </w:tcPr>
          <w:p>
            <w:pPr>
              <w:spacing w:after="0"/>
              <w:rPr>
                <w:sz w:val="19"/>
                <w:szCs w:val="19"/>
                <w:color w:val="auto"/>
              </w:rPr>
            </w:pPr>
          </w:p>
        </w:tc>
        <w:tc>
          <w:tcPr>
            <w:tcW w:w="3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Purchase of treasury stock</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(25,646)</w:t>
            </w:r>
          </w:p>
        </w:tc>
      </w:tr>
      <w:tr>
        <w:trPr>
          <w:trHeight w:val="229"/>
        </w:trPr>
        <w:tc>
          <w:tcPr>
            <w:tcW w:w="40" w:type="dxa"/>
            <w:vAlign w:val="bottom"/>
          </w:tcPr>
          <w:p>
            <w:pPr>
              <w:spacing w:after="0"/>
              <w:rPr>
                <w:sz w:val="19"/>
                <w:szCs w:val="19"/>
                <w:color w:val="auto"/>
              </w:rPr>
            </w:pPr>
          </w:p>
        </w:tc>
        <w:tc>
          <w:tcPr>
            <w:tcW w:w="3920" w:type="dxa"/>
            <w:vAlign w:val="bottom"/>
            <w:gridSpan w:val="2"/>
          </w:tcPr>
          <w:p>
            <w:pPr>
              <w:ind w:left="240"/>
              <w:spacing w:after="0"/>
              <w:rPr>
                <w:sz w:val="20"/>
                <w:szCs w:val="20"/>
                <w:color w:val="auto"/>
              </w:rPr>
            </w:pPr>
            <w:r>
              <w:rPr>
                <w:rFonts w:ascii="Arial" w:cs="Arial" w:eastAsia="Arial" w:hAnsi="Arial"/>
                <w:sz w:val="18"/>
                <w:szCs w:val="18"/>
                <w:color w:val="auto"/>
              </w:rPr>
              <w:t>Payments of debt issuance costs</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(11,613)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 w:type="dxa"/>
            <w:vAlign w:val="bottom"/>
          </w:tcPr>
          <w:p>
            <w:pPr>
              <w:spacing w:after="0"/>
              <w:rPr>
                <w:sz w:val="19"/>
                <w:szCs w:val="19"/>
                <w:color w:val="auto"/>
              </w:rPr>
            </w:pPr>
          </w:p>
        </w:tc>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6"/>
              </w:rPr>
              <w:t>Net cash provided by (used for) financing activities</w:t>
            </w:r>
          </w:p>
        </w:tc>
        <w:tc>
          <w:tcPr>
            <w:tcW w:w="20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(61,457)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(10,556)</w:t>
            </w:r>
          </w:p>
        </w:tc>
      </w:tr>
      <w:tr>
        <w:trPr>
          <w:trHeight w:val="223"/>
        </w:trPr>
        <w:tc>
          <w:tcPr>
            <w:tcW w:w="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40" w:type="dxa"/>
            <w:vAlign w:val="bottom"/>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3"/>
        </w:trPr>
        <w:tc>
          <w:tcPr>
            <w:tcW w:w="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20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1"/>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years 2021 and 2019 include 52 weeks. Fiscal year 2020 includes 53 weeks.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 - Condensed Financial Information of Registrant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 (Parent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National Vision Holdings, Inc. (“NVHI,” or the “Company”) conducts substantially all of its activities through its indirect wholly owned subsidiary, National Vision, Inc. (“NVI”) and its subsidiaries. NVHI was incorporated in Delaware on February 14, 2014 under the name Nautilus Parent, Inc. There were no financial transactions between the inception date and March 13, 2014, the date the majority ownership of NVI was transferred from private equity funds managed by Berkshire Partners LLC to affiliates of Kohlberg Kravis Roberts &amp; Co. L.P. In the parent-company-only financial statements, NVHI’s investment in subsidiaries is stated at cost, plus equity in undistributed earnings of subsidiaries since the date of acquisition, less dividends. The parent-company-only financial statements should be read in conjunction with the NVHI consolidated financial statements.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2020, the Company issued $402.5 million principal amount of 2.50% convertible senior notes due 2025. The 2025 Notes pay interest semi-annually in arrears on May 15 and November 15 of each year, commencing on November 15, 2020, at an annual rate of 2.50% and are convertible into cash, shares of common stock or a combination of cash and shares of common stock, at our election, based on the applicable conversion rate at such time. NVHI contributed the proceeds from of the 2025 Notes to NVI as additional investments during the fiscal year 2020. See Note 4. “Long-term Debt” to the NVHI consolidated financial statements for details of the 2025 Notes.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Guarantees and Restrictions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Note 4. “Long-term Debt” to the NVHI consolidated financial statements, NVI used proceeds from the 2025 Notes to fully repay the outstanding amount on its revolving credit facility of $294.3 million and partially repaid $75 million on the term loan. As of January 1, 2022, NVI had $150.0 million of principal amount of long-term debt outstanding under its term loan and no outstanding balance under its $300.0 million revolving credit facility, which includes $6.4 million in outstanding letters of credit.</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terms of NVI’s amended credit agreement, provided no event of default has occurred and is continuing, NVI is permitted to pay dividends to NVHI with certain restrictions.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January 1, 2022. Based on that evaluation, the CEO and the CFO have concluded that, as of January 1, 2022, the Company’s disclosure controls and procedures are effective in ensuring that material information relating to the Company required to be disclosed in the Company’s periodic filings with the U.S. Securities and Exchange Commission (“SEC”) is made known to them in a timely manner.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and 15d-15(f) under the Exchange Act) for the Company. The Company’s internal control over financial reporting is designed to provide reasonable assurance regarding the reliability of financial reporting and the preparation of the financial statements of the Company in accordance with U.S. generally accepted accounting principles. The Company’s internal control over financial reporting includes those policies and procedures that:</w:t>
      </w:r>
    </w:p>
    <w:p>
      <w:pPr>
        <w:spacing w:after="0" w:line="63" w:lineRule="exact"/>
        <w:rPr>
          <w:sz w:val="20"/>
          <w:szCs w:val="20"/>
          <w:color w:val="auto"/>
        </w:rPr>
      </w:pPr>
    </w:p>
    <w:p>
      <w:pPr>
        <w:ind w:left="660" w:hanging="328"/>
        <w:spacing w:after="0" w:line="258"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receipts and expenditures are being made only in accordance with authorizations of the Company's management and directors; and</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with the participation of our CEO and CFO, has assessed the effectiveness of the Company’s internal control over financial reporting as of January 1, 2022 in accordance with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7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Based on this assessment, management concluded that the Company maintained effective internal control over financial reporting as of January 1, 2022. The Company’s independent registered public accounting firm, Deloitte &amp; Touche LLP, as auditors of our consolidated financial statements as of and for the year ended January 1, 2022, has issued their attestation report on management’s internal control over financial reporting which is set forth below.</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of the Exchange Act) that occurred during the most recent fiscal quarter that have materially affected, or are reasonably likely to materially affect, our internal control over financial reporting. We have not experienced any material impact to our internal controls over financial reporting despite the fact that most corporate employees of the Company began working remotely due to the COVID-19 pandemic, though we will continue to assess the impact on the design and operating effectiveness of our internal controls.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National Vision Holdings, Inc. and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National Vision Holdings, Inc. and subsidiaries (the “Company”) as of January 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January 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consolidated financial statements as of and for the year ended January 1, 2022, of the Company and our report dated February 27, 2022, expressed an unqualified opinion on those financial statements and included an explanatory paragraph regarding the Company’s adoption of Accounting Standards Update No. 2020-06, </w:t>
      </w:r>
      <w:r>
        <w:rPr>
          <w:rFonts w:ascii="Arial" w:cs="Arial" w:eastAsia="Arial" w:hAnsi="Arial"/>
          <w:sz w:val="17"/>
          <w:szCs w:val="17"/>
          <w:i w:val="1"/>
          <w:iCs w:val="1"/>
          <w:color w:val="auto"/>
        </w:rPr>
        <w:t>Debt—Debt with Conversion and Other Options (Subtopic 470-20) and Derivatives and Hedging—Contracts in Entity’s Own Equity (Subtopic</w:t>
      </w:r>
      <w:r>
        <w:rPr>
          <w:rFonts w:ascii="Arial" w:cs="Arial" w:eastAsia="Arial" w:hAnsi="Arial"/>
          <w:sz w:val="17"/>
          <w:szCs w:val="17"/>
          <w:color w:val="auto"/>
        </w:rPr>
        <w:t xml:space="preserve"> </w:t>
      </w:r>
      <w:r>
        <w:rPr>
          <w:rFonts w:ascii="Arial" w:cs="Arial" w:eastAsia="Arial" w:hAnsi="Arial"/>
          <w:sz w:val="17"/>
          <w:szCs w:val="17"/>
          <w:i w:val="1"/>
          <w:iCs w:val="1"/>
          <w:color w:val="auto"/>
        </w:rPr>
        <w:t>815-40): Accounting for Convertible Instruments and Contracts in an Entity’s Own Equity.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names, ages and positions of our executive officers as of February 28,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Age</w:t>
            </w:r>
          </w:p>
        </w:tc>
        <w:tc>
          <w:tcPr>
            <w:tcW w:w="5420" w:type="dxa"/>
            <w:vAlign w:val="bottom"/>
          </w:tcPr>
          <w:p>
            <w:pPr>
              <w:ind w:left="20"/>
              <w:spacing w:after="0"/>
              <w:rPr>
                <w:sz w:val="20"/>
                <w:szCs w:val="20"/>
                <w:color w:val="auto"/>
              </w:rPr>
            </w:pPr>
            <w:r>
              <w:rPr>
                <w:rFonts w:ascii="Arial" w:cs="Arial" w:eastAsia="Arial" w:hAnsi="Arial"/>
                <w:sz w:val="18"/>
                <w:szCs w:val="18"/>
                <w:color w:val="auto"/>
              </w:rPr>
              <w:t>Position</w:t>
            </w:r>
          </w:p>
        </w:tc>
      </w:tr>
      <w:tr>
        <w:trPr>
          <w:trHeight w:val="223"/>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 Reade Fahs</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tcBorders>
              <w:top w:val="single" w:sz="8" w:color="CCEEFF"/>
            </w:tcBorders>
            <w:shd w:val="clear" w:color="auto" w:fill="CCEEFF"/>
          </w:tcPr>
          <w:p>
            <w:pPr>
              <w:spacing w:after="0"/>
              <w:rPr>
                <w:sz w:val="19"/>
                <w:szCs w:val="19"/>
                <w:color w:val="auto"/>
              </w:rPr>
            </w:pPr>
          </w:p>
        </w:tc>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Patrick R. Moore</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w:t>
            </w:r>
          </w:p>
        </w:tc>
      </w:tr>
      <w:tr>
        <w:trPr>
          <w:trHeight w:val="22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Roger Francis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shd w:val="clear" w:color="auto" w:fill="CCEEFF"/>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Chief Stores Officer</w:t>
            </w:r>
          </w:p>
        </w:tc>
      </w:tr>
      <w:tr>
        <w:trPr>
          <w:trHeight w:val="22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Ravi Acharya</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Senior Vice President, Chief Technology Officer</w:t>
            </w:r>
          </w:p>
        </w:tc>
      </w:tr>
      <w:tr>
        <w:trPr>
          <w:trHeight w:val="23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Jared Brandman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r>
        <w:trPr>
          <w:trHeight w:val="22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Bill Clark</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Senior Vice President, Chief People Officer</w:t>
            </w:r>
          </w:p>
        </w:tc>
      </w:tr>
      <w:tr>
        <w:trPr>
          <w:trHeight w:val="23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Melissa Rasmussen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Chief Accounting Officer</w:t>
            </w: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L. Reade Fahs </w:t>
      </w:r>
      <w:r>
        <w:rPr>
          <w:rFonts w:ascii="Arial" w:cs="Arial" w:eastAsia="Arial" w:hAnsi="Arial"/>
          <w:sz w:val="18"/>
          <w:szCs w:val="18"/>
          <w:color w:val="auto"/>
        </w:rPr>
        <w:t>has served as the Chief Executive Officer of NVI since January 2003, having joined NVI in April 2002 as the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Officer, and was appointed the Chief Executive Officer of National Vision Holdings, Inc. in March 2014. Mr. Fahs has also served as our director since March 2014. Prior to joining NVI, Mr. Fahs served as the Chief Executive Officer of First Tuesday and was Managing Director of Vision Express U.K. Previously, Mr. Fahs worked at LensCrafters, which he joined in 1986 for a decade of their most rapid growth. Mr. Fahs is the chairman of the board of directors of VisionSpring and co-founder of Frames for the World. Mr. Fahs also serves on the boards of Pennsylvania College of Optometry at Salus University, RestoringVision, Ditto Technologies, Inc., Affordable Care, Inc. and Atlanta’s Alliance Theatre. Mr. Fahs holds a B.A. degree in English Literature from Harvard College.</w:t>
      </w:r>
    </w:p>
    <w:p>
      <w:pPr>
        <w:spacing w:after="0" w:line="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Patrick Moore </w:t>
      </w:r>
      <w:r>
        <w:rPr>
          <w:rFonts w:ascii="Arial" w:cs="Arial" w:eastAsia="Arial" w:hAnsi="Arial"/>
          <w:sz w:val="16"/>
          <w:szCs w:val="16"/>
          <w:color w:val="auto"/>
        </w:rPr>
        <w:t>has served as the Senior Vice President, Chief Financial Officer of NVI since September 2014, and was appointed the Senior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Chief Financial Officer of National Vision Holdings, Inc. in February 2015. Prior to joining NVI, Mr. Moore served in both divisional and group chief financial officer roles for Fiserv, Inc. (where he served as Senior Vice President, Finance and Chief Financial Officer of the Digital Solutions Group from March 2014 until September 2014), First Data Corporation (where he served as Senior Vice President, Business Transformation from August 2013 until February 2014 and Division Chief Financial Officer/Senior Vice President of First Data North America from October 2009 until July 2013), Fluor Corporation and BellSouth Corporation (now AT&amp;T). Mr. Moore began his career with BellSouth Corporation, serving in roles involving engineering, operations, finance, strategy, investor relations and merger integration. Mr. Moore holds a B.A. degree in Mechanical Engineering, as well as an MBA degree from the University of Alabama. Mr. Moore also attended the Stanford Executive program in 2002.</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Roger Francis </w:t>
      </w:r>
      <w:r>
        <w:rPr>
          <w:rFonts w:ascii="Arial" w:cs="Arial" w:eastAsia="Arial" w:hAnsi="Arial"/>
          <w:sz w:val="18"/>
          <w:szCs w:val="18"/>
          <w:color w:val="auto"/>
        </w:rPr>
        <w:t>has served as the Chief Stores Officer of NVI since May 2021 and oversees operations for more than 1,200 stores across all NVI brands.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joining NVI, Mr. Francis served as Senior Vice President, Health Hub Operations at CVS Health from July 2019 until April 2021. Prior to that, he served as Divisional Vice President for CVS Health from March 2017 until July 2019 and as an Area Vice President from February 2015 until March 2017. From May 2006 until February 2015, Mr. Francis served in various operations management roles for CVS Health. Mr. Francis holds B.S. degrees in pharmacy and health sciences from Wayne State University.</w:t>
      </w:r>
    </w:p>
    <w:p>
      <w:pPr>
        <w:spacing w:after="0" w:line="9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Ravi Acharya </w:t>
      </w:r>
      <w:r>
        <w:rPr>
          <w:rFonts w:ascii="Arial" w:cs="Arial" w:eastAsia="Arial" w:hAnsi="Arial"/>
          <w:sz w:val="18"/>
          <w:szCs w:val="18"/>
          <w:color w:val="auto"/>
        </w:rPr>
        <w:t>has served as the Senior Vice President, Chief Technology Officer of National Vision Holdings, Inc. since March 2020. Previously,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2015 until March 2019, Mr. Acharya served as the Divisional CIO and Vice President of eCommerce for Medtronic’s global Diabetes business unit and led direct-to-consumer and e-Commerce technology-driven solutions across multiple industries at companies including Equifax, Sears and Capgemini. Mr. Acharya earned an MBA from the Kellogg School of Management at Northwestern University and a B.S. in Electrical Engineering from the Illinois Institute of Technology.</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Jared Brandman </w:t>
      </w:r>
      <w:r>
        <w:rPr>
          <w:rFonts w:ascii="Arial" w:cs="Arial" w:eastAsia="Arial" w:hAnsi="Arial"/>
          <w:sz w:val="18"/>
          <w:szCs w:val="18"/>
          <w:color w:val="auto"/>
        </w:rPr>
        <w:t>has served as the Senior Vice President, General Counsel and Secretary of National Vision Holdings, Inc. since February 2019.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Brandman joined National Vision in 2017 as Vice President, Assistant General Counsel and Assistant Secretary. Prior to joining the Company, Mr. Brandman was Securities Counsel for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Coca-Cola Company from 2010 to 2017. Mr. Brandman holds a B.A. degree in organizational studies from the University of Michigan and a J.D.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degree from Emory University School of Law.</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Bill Clark </w:t>
      </w:r>
      <w:r>
        <w:rPr>
          <w:rFonts w:ascii="Arial" w:cs="Arial" w:eastAsia="Arial" w:hAnsi="Arial"/>
          <w:sz w:val="18"/>
          <w:szCs w:val="18"/>
          <w:color w:val="auto"/>
        </w:rPr>
        <w:t>has served as the Senior Vice President, Chief People Officer of National Vision Holdings, Inc. since June 2019. Prior to joining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Vision, he served as Senior Vice President, Human Resources at Five Below, Inc. from October 2014 until May 2019. Prior to Five Below, Mr. Clark served as Vice President of Retail HR at Dollar General Corporation from April 2012 until October 2014 and spent 10 years in key executive leadership roles at Walmart and Sam’s Club, including as Vice President of Field Human Resources, Vice President of Talent Management and Vice President of HR Administration and Strategy. Mr. Clark holds both a B.S. degree in Biology and a Master of Science degree in College Teaching from Northeastern State University in Oklahoma.</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Melissa Rasmussen </w:t>
      </w:r>
      <w:r>
        <w:rPr>
          <w:rFonts w:ascii="Arial" w:cs="Arial" w:eastAsia="Arial" w:hAnsi="Arial"/>
          <w:sz w:val="16"/>
          <w:szCs w:val="16"/>
          <w:color w:val="auto"/>
        </w:rPr>
        <w:t>has served as the Senior Vice President, Chief Accounting Officer of National Vision Holdings, Inc. since July 2019. Ms. Rasmussen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joined National Vision after spending 21 years at Lexmark International, Inc., where she was most recently Vice President and Corporate Controller from November 2016 to July 2019. From February 2012 to November 2016, Ms. Rasmussen served as Director of SEC Reporting and Corporate Consolidation for Lexmark. Prior to that, she held numerous finance and accounting leadership roles, including North America Controller and Global Consolidation Manager. Ms. Rasmussen holds a B.S. degree in Accounting from the University of Kentucky and is a certified public accountant.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additional information required by this item will be included in our definitive proxy statement for the 2022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2022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2022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2022 Annual Meeting of Stockholders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2022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10160" w:type="dxa"/>
            <w:vAlign w:val="bottom"/>
            <w:gridSpan w:val="1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28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auto"/>
              </w:rPr>
              <w:t>PART IV</w:t>
            </w:r>
          </w:p>
        </w:tc>
        <w:tc>
          <w:tcPr>
            <w:tcW w:w="888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160" w:type="dxa"/>
            <w:vAlign w:val="bottom"/>
            <w:gridSpan w:val="12"/>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60" w:type="dxa"/>
            <w:vAlign w:val="bottom"/>
            <w:gridSpan w:val="12"/>
          </w:tcPr>
          <w:p>
            <w:pPr>
              <w:spacing w:after="0"/>
              <w:rPr>
                <w:sz w:val="20"/>
                <w:szCs w:val="20"/>
                <w:color w:val="auto"/>
              </w:rPr>
            </w:pPr>
            <w:r>
              <w:rPr>
                <w:rFonts w:ascii="Arial" w:cs="Arial" w:eastAsia="Arial" w:hAnsi="Arial"/>
                <w:sz w:val="18"/>
                <w:szCs w:val="18"/>
                <w:color w:val="auto"/>
              </w:rPr>
              <w:t>The following documents are filed as a part of this report:</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0" w:type="dxa"/>
            <w:vAlign w:val="bottom"/>
          </w:tcPr>
          <w:p>
            <w:pPr>
              <w:spacing w:after="0"/>
              <w:rPr>
                <w:sz w:val="24"/>
                <w:szCs w:val="24"/>
                <w:color w:val="auto"/>
              </w:rPr>
            </w:pPr>
          </w:p>
        </w:tc>
        <w:tc>
          <w:tcPr>
            <w:tcW w:w="10120" w:type="dxa"/>
            <w:vAlign w:val="bottom"/>
            <w:gridSpan w:val="11"/>
          </w:tcPr>
          <w:p>
            <w:pPr>
              <w:ind w:left="700"/>
              <w:spacing w:after="0"/>
              <w:rPr>
                <w:sz w:val="20"/>
                <w:szCs w:val="20"/>
                <w:color w:val="auto"/>
              </w:rPr>
            </w:pPr>
            <w:r>
              <w:rPr>
                <w:rFonts w:ascii="Arial" w:cs="Arial" w:eastAsia="Arial" w:hAnsi="Arial"/>
                <w:sz w:val="18"/>
                <w:szCs w:val="18"/>
                <w:color w:val="auto"/>
              </w:rPr>
              <w:t>(1) Consolidated financial statements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80" w:type="dxa"/>
            <w:vAlign w:val="bottom"/>
            <w:gridSpan w:val="10"/>
          </w:tcPr>
          <w:p>
            <w:pPr>
              <w:ind w:left="160"/>
              <w:spacing w:after="0"/>
              <w:rPr>
                <w:rFonts w:ascii="Arial" w:cs="Arial" w:eastAsia="Arial" w:hAnsi="Arial"/>
                <w:sz w:val="18"/>
                <w:szCs w:val="18"/>
                <w:color w:val="auto"/>
              </w:rPr>
            </w:pPr>
            <w:r>
              <w:rPr>
                <w:rFonts w:ascii="Arial" w:cs="Arial" w:eastAsia="Arial" w:hAnsi="Arial"/>
                <w:sz w:val="18"/>
                <w:szCs w:val="18"/>
                <w:color w:val="auto"/>
              </w:rPr>
              <w:t xml:space="preserve">For the following consolidated financial information included herein, see Part II. Item 8.on Page </w:t>
            </w:r>
            <w:hyperlink w:anchor="page72">
              <w:r>
                <w:rPr>
                  <w:rFonts w:ascii="Arial" w:cs="Arial" w:eastAsia="Arial" w:hAnsi="Arial"/>
                  <w:sz w:val="18"/>
                  <w:szCs w:val="18"/>
                  <w:color w:val="0000FF"/>
                </w:rPr>
                <w:t>71</w:t>
              </w:r>
            </w:hyperlink>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0120" w:type="dxa"/>
            <w:vAlign w:val="bottom"/>
            <w:gridSpan w:val="11"/>
          </w:tcPr>
          <w:p>
            <w:pPr>
              <w:spacing w:after="0" w:line="190" w:lineRule="exact"/>
              <w:rPr>
                <w:rFonts w:ascii="Arial" w:cs="Arial" w:eastAsia="Arial" w:hAnsi="Arial"/>
                <w:sz w:val="18"/>
                <w:szCs w:val="18"/>
                <w:color w:val="0000FF"/>
              </w:rPr>
            </w:pPr>
            <w:hyperlink w:anchor="page74">
              <w:r>
                <w:rPr>
                  <w:rFonts w:ascii="Arial" w:cs="Arial" w:eastAsia="Arial" w:hAnsi="Arial"/>
                  <w:sz w:val="18"/>
                  <w:szCs w:val="18"/>
                  <w:color w:val="0000FF"/>
                </w:rPr>
                <w:t xml:space="preserve">Consolidated Balance Sheets as of </w:t>
              </w:r>
            </w:hyperlink>
            <w:hyperlink w:anchor="page75">
              <w:r>
                <w:rPr>
                  <w:rFonts w:ascii="Arial" w:cs="Arial" w:eastAsia="Arial" w:hAnsi="Arial"/>
                  <w:sz w:val="18"/>
                  <w:szCs w:val="18"/>
                  <w:color w:val="0000FF"/>
                </w:rPr>
                <w:t xml:space="preserve">January </w:t>
              </w:r>
            </w:hyperlink>
            <w:r>
              <w:rPr>
                <w:rFonts w:ascii="Arial" w:cs="Arial" w:eastAsia="Arial" w:hAnsi="Arial"/>
                <w:sz w:val="18"/>
                <w:szCs w:val="18"/>
                <w:color w:val="0000FF"/>
              </w:rPr>
              <w:t xml:space="preserve">1, </w:t>
            </w:r>
            <w:hyperlink w:anchor="page75">
              <w:r>
                <w:rPr>
                  <w:rFonts w:ascii="Arial" w:cs="Arial" w:eastAsia="Arial" w:hAnsi="Arial"/>
                  <w:sz w:val="18"/>
                  <w:szCs w:val="18"/>
                  <w:color w:val="0000FF"/>
                </w:rPr>
                <w:t>2022 and January 2, 2021</w:t>
              </w:r>
            </w:hyperlink>
          </w:p>
        </w:tc>
        <w:tc>
          <w:tcPr>
            <w:tcW w:w="1040" w:type="dxa"/>
            <w:vAlign w:val="bottom"/>
            <w:gridSpan w:val="3"/>
          </w:tcPr>
          <w:p>
            <w:pPr>
              <w:jc w:val="right"/>
              <w:spacing w:after="0" w:line="190" w:lineRule="exact"/>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120" w:type="dxa"/>
            <w:vAlign w:val="bottom"/>
            <w:gridSpan w:val="11"/>
          </w:tcPr>
          <w:p>
            <w:pPr>
              <w:spacing w:after="0"/>
              <w:rPr>
                <w:rFonts w:ascii="Arial" w:cs="Arial" w:eastAsia="Arial" w:hAnsi="Arial"/>
                <w:sz w:val="18"/>
                <w:szCs w:val="18"/>
                <w:color w:val="0000FF"/>
                <w:w w:val="95"/>
              </w:rPr>
            </w:pPr>
            <w:hyperlink w:anchor="page75">
              <w:r>
                <w:rPr>
                  <w:rFonts w:ascii="Arial" w:cs="Arial" w:eastAsia="Arial" w:hAnsi="Arial"/>
                  <w:sz w:val="18"/>
                  <w:szCs w:val="18"/>
                  <w:color w:val="0000FF"/>
                  <w:w w:val="95"/>
                </w:rPr>
                <w:t xml:space="preserve">Consolidated Statements of Operations and Comprehensive income for the fiscal years ended January </w:t>
              </w:r>
            </w:hyperlink>
            <w:r>
              <w:rPr>
                <w:rFonts w:ascii="Arial" w:cs="Arial" w:eastAsia="Arial" w:hAnsi="Arial"/>
                <w:sz w:val="18"/>
                <w:szCs w:val="18"/>
                <w:color w:val="0000FF"/>
                <w:w w:val="95"/>
              </w:rPr>
              <w:t xml:space="preserve">1, </w:t>
            </w:r>
            <w:hyperlink w:anchor="page75">
              <w:r>
                <w:rPr>
                  <w:rFonts w:ascii="Arial" w:cs="Arial" w:eastAsia="Arial" w:hAnsi="Arial"/>
                  <w:sz w:val="18"/>
                  <w:szCs w:val="18"/>
                  <w:color w:val="0000FF"/>
                  <w:w w:val="95"/>
                </w:rPr>
                <w:t>202</w:t>
              </w:r>
            </w:hyperlink>
            <w:r>
              <w:rPr>
                <w:rFonts w:ascii="Arial" w:cs="Arial" w:eastAsia="Arial" w:hAnsi="Arial"/>
                <w:sz w:val="18"/>
                <w:szCs w:val="18"/>
                <w:color w:val="0000FF"/>
                <w:w w:val="95"/>
              </w:rPr>
              <w:t xml:space="preserve">2, </w:t>
            </w:r>
            <w:hyperlink w:anchor="page75">
              <w:r>
                <w:rPr>
                  <w:rFonts w:ascii="Arial" w:cs="Arial" w:eastAsia="Arial" w:hAnsi="Arial"/>
                  <w:sz w:val="18"/>
                  <w:szCs w:val="18"/>
                  <w:color w:val="0000FF"/>
                  <w:w w:val="95"/>
                </w:rPr>
                <w:t xml:space="preserve">January </w:t>
              </w:r>
            </w:hyperlink>
            <w:r>
              <w:rPr>
                <w:rFonts w:ascii="Arial" w:cs="Arial" w:eastAsia="Arial" w:hAnsi="Arial"/>
                <w:sz w:val="18"/>
                <w:szCs w:val="18"/>
                <w:color w:val="0000FF"/>
                <w:w w:val="95"/>
              </w:rPr>
              <w:t xml:space="preserve">2, </w:t>
            </w:r>
            <w:hyperlink w:anchor="page75">
              <w:r>
                <w:rPr>
                  <w:rFonts w:ascii="Arial" w:cs="Arial" w:eastAsia="Arial" w:hAnsi="Arial"/>
                  <w:sz w:val="18"/>
                  <w:szCs w:val="18"/>
                  <w:color w:val="0000FF"/>
                  <w:w w:val="95"/>
                </w:rPr>
                <w:t>2021 and</w:t>
              </w:r>
            </w:hyperlink>
          </w:p>
        </w:tc>
        <w:tc>
          <w:tcPr>
            <w:tcW w:w="1040" w:type="dxa"/>
            <w:vAlign w:val="bottom"/>
            <w:gridSpan w:val="3"/>
            <w:vMerge w:val="restart"/>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83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75">
              <w:r>
                <w:rPr>
                  <w:rFonts w:ascii="Arial" w:cs="Arial" w:eastAsia="Arial" w:hAnsi="Arial"/>
                  <w:sz w:val="18"/>
                  <w:szCs w:val="18"/>
                  <w:color w:val="0000FF"/>
                </w:rPr>
                <w:t>December 28, 2019</w:t>
              </w:r>
            </w:hyperlink>
          </w:p>
        </w:tc>
        <w:tc>
          <w:tcPr>
            <w:tcW w:w="540" w:type="dxa"/>
            <w:vAlign w:val="bottom"/>
            <w:tcBorders>
              <w:top w:val="single" w:sz="8" w:color="0000FF"/>
            </w:tcBorders>
            <w:gridSpan w:val="2"/>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60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 xml:space="preserve">Consolidated Statements of Stockholders’ Equity for the fiscal years ended </w:t>
              </w:r>
            </w:hyperlink>
            <w:r>
              <w:rPr>
                <w:rFonts w:ascii="Arial" w:cs="Arial" w:eastAsia="Arial" w:hAnsi="Arial"/>
                <w:sz w:val="18"/>
                <w:szCs w:val="18"/>
                <w:color w:val="0000FF"/>
                <w:w w:val="89"/>
              </w:rPr>
              <w:t xml:space="preserve">January 1, 2022, </w:t>
            </w:r>
            <w:hyperlink w:anchor="page75">
              <w:r>
                <w:rPr>
                  <w:rFonts w:ascii="Arial" w:cs="Arial" w:eastAsia="Arial" w:hAnsi="Arial"/>
                  <w:sz w:val="18"/>
                  <w:szCs w:val="18"/>
                  <w:color w:val="0000FF"/>
                  <w:w w:val="89"/>
                </w:rPr>
                <w:t>January 2, 2021 and December 28, 2019</w:t>
              </w:r>
            </w:hyperlink>
          </w:p>
        </w:tc>
        <w:tc>
          <w:tcPr>
            <w:tcW w:w="5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76</w:t>
              </w:r>
            </w:hyperlink>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92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 xml:space="preserve">Consolidated Statements of Cash Flows for the fiscal years ended </w:t>
              </w:r>
            </w:hyperlink>
            <w:hyperlink w:anchor="page75">
              <w:r>
                <w:rPr>
                  <w:rFonts w:ascii="Arial" w:cs="Arial" w:eastAsia="Arial" w:hAnsi="Arial"/>
                  <w:sz w:val="18"/>
                  <w:szCs w:val="18"/>
                  <w:color w:val="0000FF"/>
                  <w:w w:val="89"/>
                </w:rPr>
                <w:t xml:space="preserve">January </w:t>
              </w:r>
            </w:hyperlink>
            <w:r>
              <w:rPr>
                <w:rFonts w:ascii="Arial" w:cs="Arial" w:eastAsia="Arial" w:hAnsi="Arial"/>
                <w:sz w:val="18"/>
                <w:szCs w:val="18"/>
                <w:color w:val="0000FF"/>
                <w:w w:val="89"/>
              </w:rPr>
              <w:t xml:space="preserve">1, 2022, </w:t>
            </w:r>
            <w:hyperlink w:anchor="page75">
              <w:r>
                <w:rPr>
                  <w:rFonts w:ascii="Arial" w:cs="Arial" w:eastAsia="Arial" w:hAnsi="Arial"/>
                  <w:sz w:val="18"/>
                  <w:szCs w:val="18"/>
                  <w:color w:val="0000FF"/>
                  <w:w w:val="89"/>
                </w:rPr>
                <w:t>January 2, 2021 and December 28, 2019</w:t>
              </w:r>
            </w:hyperlink>
          </w:p>
        </w:tc>
        <w:tc>
          <w:tcPr>
            <w:tcW w:w="1200" w:type="dxa"/>
            <w:vAlign w:val="bottom"/>
            <w:gridSpan w:val="3"/>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77</w:t>
              </w:r>
            </w:hyperlink>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20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78">
              <w:r>
                <w:rPr>
                  <w:rFonts w:ascii="Arial" w:cs="Arial" w:eastAsia="Arial" w:hAnsi="Arial"/>
                  <w:sz w:val="18"/>
                  <w:szCs w:val="18"/>
                  <w:color w:val="0000FF"/>
                  <w:w w:val="90"/>
                </w:rPr>
                <w:t>Notes to Consolidated Financial Statements</w:t>
              </w:r>
            </w:hyperlink>
          </w:p>
        </w:tc>
        <w:tc>
          <w:tcPr>
            <w:tcW w:w="6920" w:type="dxa"/>
            <w:vAlign w:val="bottom"/>
            <w:gridSpan w:val="8"/>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8">
              <w:r>
                <w:rPr>
                  <w:rFonts w:ascii="Arial" w:cs="Arial" w:eastAsia="Arial" w:hAnsi="Arial"/>
                  <w:sz w:val="18"/>
                  <w:szCs w:val="18"/>
                  <w:color w:val="0000FF"/>
                  <w:w w:val="79"/>
                </w:rPr>
                <w:t>78</w:t>
              </w:r>
            </w:hyperlink>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400" w:type="dxa"/>
            <w:vAlign w:val="bottom"/>
            <w:gridSpan w:val="4"/>
          </w:tcPr>
          <w:p>
            <w:pPr>
              <w:spacing w:after="0"/>
              <w:rPr>
                <w:rFonts w:ascii="Arial" w:cs="Arial" w:eastAsia="Arial" w:hAnsi="Arial"/>
                <w:sz w:val="18"/>
                <w:szCs w:val="18"/>
                <w:color w:val="0000FF"/>
                <w:w w:val="91"/>
              </w:rPr>
            </w:pPr>
            <w:hyperlink w:anchor="page110">
              <w:r>
                <w:rPr>
                  <w:rFonts w:ascii="Arial" w:cs="Arial" w:eastAsia="Arial" w:hAnsi="Arial"/>
                  <w:sz w:val="18"/>
                  <w:szCs w:val="18"/>
                  <w:color w:val="0000FF"/>
                  <w:w w:val="91"/>
                </w:rPr>
                <w:t>Schedule I – Condensed Financial Information of Registrant</w:t>
              </w:r>
            </w:hyperlink>
          </w:p>
        </w:tc>
        <w:tc>
          <w:tcPr>
            <w:tcW w:w="5720" w:type="dxa"/>
            <w:vAlign w:val="bottom"/>
            <w:gridSpan w:val="7"/>
          </w:tcPr>
          <w:p>
            <w:pPr>
              <w:spacing w:after="0"/>
              <w:rPr>
                <w:sz w:val="18"/>
                <w:szCs w:val="18"/>
                <w:color w:val="auto"/>
              </w:rPr>
            </w:pPr>
          </w:p>
        </w:tc>
        <w:tc>
          <w:tcPr>
            <w:tcW w:w="1040" w:type="dxa"/>
            <w:vAlign w:val="bottom"/>
            <w:gridSpan w:val="3"/>
          </w:tcPr>
          <w:p>
            <w:pPr>
              <w:jc w:val="right"/>
              <w:spacing w:after="0"/>
              <w:rPr>
                <w:rFonts w:ascii="Arial" w:cs="Arial" w:eastAsia="Arial" w:hAnsi="Arial"/>
                <w:sz w:val="18"/>
                <w:szCs w:val="18"/>
                <w:color w:val="0000FF"/>
              </w:rPr>
            </w:pPr>
            <w:hyperlink w:anchor="page110">
              <w:r>
                <w:rPr>
                  <w:rFonts w:ascii="Arial" w:cs="Arial" w:eastAsia="Arial" w:hAnsi="Arial"/>
                  <w:sz w:val="18"/>
                  <w:szCs w:val="18"/>
                  <w:color w:val="0000FF"/>
                </w:rPr>
                <w:t>110</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 Financial statement Schedule I as filed in Part II. Item 8. of this Form 10-K:</w:t>
      </w:r>
    </w:p>
    <w:p>
      <w:pPr>
        <w:spacing w:after="0" w:line="29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Schedule I - Condensed financial information of the Registrant</w:t>
      </w:r>
    </w:p>
    <w:p>
      <w:pPr>
        <w:spacing w:after="0" w:line="23" w:lineRule="exact"/>
        <w:rPr>
          <w:sz w:val="20"/>
          <w:szCs w:val="20"/>
          <w:color w:val="auto"/>
        </w:rPr>
      </w:pPr>
    </w:p>
    <w:p>
      <w:pPr>
        <w:ind w:left="1440" w:right="1180"/>
        <w:spacing w:after="0" w:line="224" w:lineRule="auto"/>
        <w:rPr>
          <w:sz w:val="20"/>
          <w:szCs w:val="20"/>
          <w:color w:val="auto"/>
        </w:rPr>
      </w:pPr>
      <w:r>
        <w:rPr>
          <w:rFonts w:ascii="Arial" w:cs="Arial" w:eastAsia="Arial" w:hAnsi="Arial"/>
          <w:sz w:val="18"/>
          <w:szCs w:val="18"/>
          <w:color w:val="auto"/>
        </w:rPr>
        <w:t>All other financial schedules have been omitted because the required information is not presented in amounts sufficient to require submission of the schedule, or because the information required is included in the Consolidated Financial Statements, including notes thereto.</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(3) Exhibits:</w:t>
      </w:r>
    </w:p>
    <w:p>
      <w:pPr>
        <w:spacing w:after="0" w:line="200" w:lineRule="exact"/>
        <w:rPr>
          <w:sz w:val="20"/>
          <w:szCs w:val="20"/>
          <w:color w:val="auto"/>
        </w:rPr>
      </w:pPr>
    </w:p>
    <w:p>
      <w:pPr>
        <w:spacing w:after="0" w:line="308"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The exhibits listed in the accompanying Exhibit Index attached hereto are filed or incorporated by reference into this Form 10-K.</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740" w:type="dxa"/>
            <w:vAlign w:val="bottom"/>
            <w:gridSpan w:val="8"/>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00" w:type="dxa"/>
            <w:vAlign w:val="bottom"/>
            <w:gridSpan w:val="3"/>
          </w:tcPr>
          <w:p>
            <w:pPr>
              <w:ind w:left="33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20" w:type="dxa"/>
            <w:vAlign w:val="bottom"/>
            <w:gridSpan w:val="7"/>
          </w:tcPr>
          <w:p>
            <w:pPr>
              <w:spacing w:after="0"/>
              <w:rPr>
                <w:sz w:val="20"/>
                <w:szCs w:val="20"/>
                <w:color w:val="auto"/>
              </w:rPr>
            </w:pPr>
            <w:r>
              <w:rPr>
                <w:rFonts w:ascii="Arial" w:cs="Arial" w:eastAsia="Arial" w:hAnsi="Arial"/>
                <w:sz w:val="18"/>
                <w:szCs w:val="18"/>
                <w:b w:val="1"/>
                <w:bCs w:val="1"/>
                <w:color w:val="auto"/>
              </w:rPr>
              <w:t>Exhibit No.</w:t>
            </w:r>
          </w:p>
        </w:tc>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60" w:type="dxa"/>
            <w:vAlign w:val="bottom"/>
            <w:tcBorders>
              <w:top w:val="single" w:sz="8" w:color="auto"/>
            </w:tcBorders>
            <w:gridSpan w:val="2"/>
          </w:tcPr>
          <w:p>
            <w:pPr>
              <w:ind w:left="20"/>
              <w:spacing w:after="0" w:line="182" w:lineRule="exact"/>
              <w:rPr>
                <w:rFonts w:ascii="Arial" w:cs="Arial" w:eastAsia="Arial" w:hAnsi="Arial"/>
                <w:sz w:val="18"/>
                <w:szCs w:val="18"/>
                <w:color w:val="0000FF"/>
                <w:w w:val="87"/>
              </w:rPr>
            </w:pPr>
            <w:hyperlink r:id="rId15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color w:val="auto"/>
                <w:w w:val="93"/>
              </w:rPr>
              <w:t>Third Amended and Restated Certificate of Incorporation of National Vision Holdings, Inc. - incorporated herein by reference to</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Exhibit 3.1 to the Company’s Current Report on Form 8-K filed on June 10, 2021</w:t>
            </w:r>
          </w:p>
        </w:tc>
        <w:tc>
          <w:tcPr>
            <w:tcW w:w="0" w:type="dxa"/>
            <w:vAlign w:val="bottom"/>
          </w:tcPr>
          <w:p>
            <w:pPr>
              <w:spacing w:after="0"/>
              <w:rPr>
                <w:sz w:val="1"/>
                <w:szCs w:val="1"/>
                <w:color w:val="auto"/>
              </w:rPr>
            </w:pPr>
          </w:p>
        </w:tc>
      </w:tr>
      <w:tr>
        <w:trPr>
          <w:trHeight w:val="190"/>
        </w:trPr>
        <w:tc>
          <w:tcPr>
            <w:tcW w:w="260" w:type="dxa"/>
            <w:vAlign w:val="bottom"/>
            <w:gridSpan w:val="2"/>
          </w:tcPr>
          <w:p>
            <w:pPr>
              <w:ind w:left="20"/>
              <w:spacing w:after="0" w:line="190" w:lineRule="exact"/>
              <w:rPr>
                <w:rFonts w:ascii="Arial" w:cs="Arial" w:eastAsia="Arial" w:hAnsi="Arial"/>
                <w:sz w:val="18"/>
                <w:szCs w:val="18"/>
                <w:color w:val="0000FF"/>
                <w:w w:val="87"/>
              </w:rPr>
            </w:pPr>
            <w:hyperlink r:id="rId15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5"/>
              </w:rPr>
              <w:t>Third Amended and Restated Bylaws of National Vision Holdings, Inc. - incorporated herein by reference to Exhibit 3.2 to the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Company’s Current Report on Form 8-K filed on June 10, 2021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0" w:type="dxa"/>
            <w:vAlign w:val="bottom"/>
            <w:tcBorders>
              <w:bottom w:val="single" w:sz="8" w:color="0000FF"/>
            </w:tcBorders>
          </w:tcPr>
          <w:p>
            <w:pPr>
              <w:spacing w:after="0" w:line="190" w:lineRule="exact"/>
              <w:rPr>
                <w:rFonts w:ascii="Arial" w:cs="Arial" w:eastAsia="Arial" w:hAnsi="Arial"/>
                <w:sz w:val="18"/>
                <w:szCs w:val="18"/>
                <w:color w:val="0000FF"/>
                <w:w w:val="87"/>
              </w:rPr>
            </w:pPr>
            <w:hyperlink w:anchor="page124">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Description of Securities of the Registrant</w:t>
            </w:r>
          </w:p>
        </w:tc>
        <w:tc>
          <w:tcPr>
            <w:tcW w:w="0" w:type="dxa"/>
            <w:vAlign w:val="bottom"/>
          </w:tcPr>
          <w:p>
            <w:pPr>
              <w:spacing w:after="0"/>
              <w:rPr>
                <w:sz w:val="1"/>
                <w:szCs w:val="1"/>
                <w:color w:val="auto"/>
              </w:rPr>
            </w:pPr>
          </w:p>
        </w:tc>
      </w:tr>
      <w:tr>
        <w:trPr>
          <w:trHeight w:val="210"/>
        </w:trPr>
        <w:tc>
          <w:tcPr>
            <w:tcW w:w="260" w:type="dxa"/>
            <w:vAlign w:val="bottom"/>
            <w:gridSpan w:val="2"/>
          </w:tcPr>
          <w:p>
            <w:pPr>
              <w:ind w:left="20"/>
              <w:spacing w:after="0" w:line="196" w:lineRule="exact"/>
              <w:rPr>
                <w:rFonts w:ascii="Arial" w:cs="Arial" w:eastAsia="Arial" w:hAnsi="Arial"/>
                <w:sz w:val="18"/>
                <w:szCs w:val="18"/>
                <w:color w:val="0000FF"/>
                <w:w w:val="87"/>
              </w:rPr>
            </w:pPr>
            <w:hyperlink r:id="rId154">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line="196" w:lineRule="exact"/>
              <w:rPr>
                <w:sz w:val="20"/>
                <w:szCs w:val="20"/>
                <w:color w:val="auto"/>
              </w:rPr>
            </w:pPr>
            <w:r>
              <w:rPr>
                <w:rFonts w:ascii="Arial" w:cs="Arial" w:eastAsia="Arial" w:hAnsi="Arial"/>
                <w:sz w:val="18"/>
                <w:szCs w:val="18"/>
                <w:color w:val="auto"/>
                <w:w w:val="95"/>
              </w:rPr>
              <w:t xml:space="preserve">Indenture, dated as of May 12, 2020, between National Vision Holdings, Inc. and U.S. Bank National Association, as trustee </w:t>
            </w:r>
            <w:r>
              <w:rPr>
                <w:rFonts w:ascii="Arial" w:cs="Arial" w:eastAsia="Arial" w:hAnsi="Arial"/>
                <w:sz w:val="18"/>
                <w:szCs w:val="18"/>
                <w:color w:val="212529"/>
                <w:w w:val="95"/>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incorporated herein by reference to Exhibit 4.1 to the Company’s Current Report on Form 8-K filed on May 12, 2020</w:t>
            </w:r>
          </w:p>
        </w:tc>
        <w:tc>
          <w:tcPr>
            <w:tcW w:w="0" w:type="dxa"/>
            <w:vAlign w:val="bottom"/>
          </w:tcPr>
          <w:p>
            <w:pPr>
              <w:spacing w:after="0"/>
              <w:rPr>
                <w:sz w:val="1"/>
                <w:szCs w:val="1"/>
                <w:color w:val="auto"/>
              </w:rPr>
            </w:pPr>
          </w:p>
        </w:tc>
      </w:tr>
      <w:tr>
        <w:trPr>
          <w:trHeight w:val="202"/>
        </w:trPr>
        <w:tc>
          <w:tcPr>
            <w:tcW w:w="260" w:type="dxa"/>
            <w:vAlign w:val="bottom"/>
            <w:gridSpan w:val="2"/>
          </w:tcPr>
          <w:p>
            <w:pPr>
              <w:ind w:left="20"/>
              <w:spacing w:after="0" w:line="202" w:lineRule="exact"/>
              <w:rPr>
                <w:rFonts w:ascii="Arial" w:cs="Arial" w:eastAsia="Arial" w:hAnsi="Arial"/>
                <w:sz w:val="18"/>
                <w:szCs w:val="18"/>
                <w:color w:val="0000FF"/>
                <w:w w:val="87"/>
              </w:rPr>
            </w:pPr>
            <w:hyperlink r:id="rId154">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2" w:lineRule="exact"/>
              <w:rPr>
                <w:sz w:val="20"/>
                <w:szCs w:val="20"/>
                <w:color w:val="auto"/>
              </w:rPr>
            </w:pPr>
            <w:r>
              <w:rPr>
                <w:rFonts w:ascii="Arial" w:cs="Arial" w:eastAsia="Arial" w:hAnsi="Arial"/>
                <w:sz w:val="18"/>
                <w:szCs w:val="18"/>
                <w:color w:val="auto"/>
                <w:w w:val="98"/>
              </w:rPr>
              <w:t xml:space="preserve">Form of 2.50% Convertible Senior Note due 2025 </w:t>
            </w:r>
            <w:r>
              <w:rPr>
                <w:rFonts w:ascii="Arial" w:cs="Arial" w:eastAsia="Arial" w:hAnsi="Arial"/>
                <w:sz w:val="18"/>
                <w:szCs w:val="18"/>
                <w:color w:val="212529"/>
                <w:w w:val="98"/>
              </w:rPr>
              <w:t>-</w:t>
            </w:r>
            <w:r>
              <w:rPr>
                <w:rFonts w:ascii="Arial" w:cs="Arial" w:eastAsia="Arial" w:hAnsi="Arial"/>
                <w:sz w:val="18"/>
                <w:szCs w:val="18"/>
                <w:color w:val="auto"/>
                <w:w w:val="98"/>
              </w:rPr>
              <w:t xml:space="preserve"> incorporated herein by reference to Exhibit A within Exhibit 4.1 to the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Company’s Current Report on Form 8-K filed on May 12, 2020</w:t>
            </w:r>
          </w:p>
        </w:tc>
        <w:tc>
          <w:tcPr>
            <w:tcW w:w="0" w:type="dxa"/>
            <w:vAlign w:val="bottom"/>
          </w:tcPr>
          <w:p>
            <w:pPr>
              <w:spacing w:after="0"/>
              <w:rPr>
                <w:sz w:val="1"/>
                <w:szCs w:val="1"/>
                <w:color w:val="auto"/>
              </w:rPr>
            </w:pPr>
          </w:p>
        </w:tc>
      </w:tr>
      <w:tr>
        <w:trPr>
          <w:trHeight w:val="190"/>
        </w:trPr>
        <w:tc>
          <w:tcPr>
            <w:tcW w:w="440" w:type="dxa"/>
            <w:vAlign w:val="bottom"/>
            <w:gridSpan w:val="4"/>
          </w:tcPr>
          <w:p>
            <w:pPr>
              <w:ind w:left="20"/>
              <w:spacing w:after="0" w:line="190" w:lineRule="exact"/>
              <w:rPr>
                <w:rFonts w:ascii="Arial" w:cs="Arial" w:eastAsia="Arial" w:hAnsi="Arial"/>
                <w:sz w:val="18"/>
                <w:szCs w:val="18"/>
                <w:color w:val="0000FF"/>
              </w:rPr>
            </w:pPr>
            <w:hyperlink r:id="rId15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9"/>
              </w:rPr>
              <w:t>Joinder and Amendment and Restatement Agreement, including as Exhibit A thereto, the Amended and Restated Credit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00" w:type="dxa"/>
            <w:vAlign w:val="bottom"/>
            <w:gridSpan w:val="3"/>
          </w:tcPr>
          <w:p>
            <w:pPr>
              <w:ind w:left="20"/>
              <w:spacing w:after="0" w:line="142" w:lineRule="exact"/>
              <w:rPr>
                <w:sz w:val="20"/>
                <w:szCs w:val="20"/>
                <w:color w:val="auto"/>
              </w:rPr>
            </w:pPr>
            <w:r>
              <w:rPr>
                <w:rFonts w:ascii="Arial" w:cs="Arial" w:eastAsia="Arial" w:hAnsi="Arial"/>
                <w:sz w:val="16"/>
                <w:szCs w:val="16"/>
                <w:color w:val="auto"/>
              </w:rPr>
              <w:t>Agreement, dated as of July 18, 2019, by and among Nautilus Acquisition Holdings, Inc., National Vision, Inc., certain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5"/>
              </w:rPr>
              <w:t>subsidiaries of National Vision, Inc., as guarantors, Goldman Sachs Bank USA, as former administrative agent and collateral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2"/>
              </w:rPr>
              <w:t>agent, Bank of America, N.A., as new administrative agent and collateral agent, and the lenders from time to time party thereto -</w:t>
            </w:r>
          </w:p>
        </w:tc>
        <w:tc>
          <w:tcPr>
            <w:tcW w:w="0" w:type="dxa"/>
            <w:vAlign w:val="bottom"/>
          </w:tcPr>
          <w:p>
            <w:pPr>
              <w:spacing w:after="0"/>
              <w:rPr>
                <w:sz w:val="1"/>
                <w:szCs w:val="1"/>
                <w:color w:val="auto"/>
              </w:rPr>
            </w:pPr>
          </w:p>
        </w:tc>
      </w:tr>
      <w:tr>
        <w:trPr>
          <w:trHeight w:val="230"/>
        </w:trPr>
        <w:tc>
          <w:tcPr>
            <w:tcW w:w="440" w:type="dxa"/>
            <w:vAlign w:val="bottom"/>
            <w:gridSpan w:val="4"/>
            <w:vMerge w:val="restart"/>
          </w:tcPr>
          <w:p>
            <w:pPr>
              <w:ind w:left="20"/>
              <w:spacing w:after="0"/>
              <w:rPr>
                <w:rFonts w:ascii="Arial" w:cs="Arial" w:eastAsia="Arial" w:hAnsi="Arial"/>
                <w:sz w:val="18"/>
                <w:szCs w:val="18"/>
                <w:color w:val="0000FF"/>
              </w:rPr>
            </w:pPr>
            <w:hyperlink r:id="rId156">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w w:val="97"/>
              </w:rPr>
              <w:t>incorporated herein by reference to Exhibit 10.1 to the Company’s Quarterly Report on Form 10-Q filed on August 6, 2019</w:t>
            </w:r>
          </w:p>
        </w:tc>
        <w:tc>
          <w:tcPr>
            <w:tcW w:w="0" w:type="dxa"/>
            <w:vAlign w:val="bottom"/>
          </w:tcPr>
          <w:p>
            <w:pPr>
              <w:spacing w:after="0"/>
              <w:rPr>
                <w:sz w:val="1"/>
                <w:szCs w:val="1"/>
                <w:color w:val="auto"/>
              </w:rPr>
            </w:pPr>
          </w:p>
        </w:tc>
      </w:tr>
      <w:tr>
        <w:trPr>
          <w:trHeight w:val="188"/>
        </w:trPr>
        <w:tc>
          <w:tcPr>
            <w:tcW w:w="44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68" w:lineRule="exact"/>
              <w:rPr>
                <w:sz w:val="20"/>
                <w:szCs w:val="20"/>
                <w:color w:val="auto"/>
              </w:rPr>
            </w:pPr>
            <w:r>
              <w:rPr>
                <w:rFonts w:ascii="Arial" w:cs="Arial" w:eastAsia="Arial" w:hAnsi="Arial"/>
                <w:sz w:val="18"/>
                <w:szCs w:val="18"/>
                <w:color w:val="auto"/>
                <w:w w:val="93"/>
              </w:rPr>
              <w:t xml:space="preserve">Amendment No. 1, dated as of May 5, 2020, to the Amended and Restated Credit Agreement, dated as of July 18, 2019 </w:t>
            </w:r>
            <w:r>
              <w:rPr>
                <w:rFonts w:ascii="Arial" w:cs="Arial" w:eastAsia="Arial" w:hAnsi="Arial"/>
                <w:sz w:val="18"/>
                <w:szCs w:val="18"/>
                <w:color w:val="212529"/>
                <w:w w:val="93"/>
              </w:rPr>
              <w:t>by and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212529"/>
                <w:w w:val="92"/>
              </w:rPr>
              <w:t>among Nautilus Acquisition Holdings, Inc., National Vision, Inc., certain subsidiaries of National Vision, Inc., as guarantors, Bank</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2" w:lineRule="exact"/>
              <w:rPr>
                <w:sz w:val="20"/>
                <w:szCs w:val="20"/>
                <w:color w:val="auto"/>
              </w:rPr>
            </w:pPr>
            <w:r>
              <w:rPr>
                <w:rFonts w:ascii="Arial" w:cs="Arial" w:eastAsia="Arial" w:hAnsi="Arial"/>
                <w:sz w:val="18"/>
                <w:szCs w:val="18"/>
                <w:color w:val="212529"/>
                <w:w w:val="96"/>
              </w:rPr>
              <w:t>of America, N.A., as administrative agent and collateral agent, and the lenders from time to time party thereto - incorporated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212529"/>
              </w:rPr>
              <w:t>herein by reference to Exhibit 10.1 to the Company’s Quarterly Report on Form 10-Q filed on May 7, 2020</w:t>
            </w:r>
          </w:p>
        </w:tc>
        <w:tc>
          <w:tcPr>
            <w:tcW w:w="0" w:type="dxa"/>
            <w:vAlign w:val="bottom"/>
          </w:tcPr>
          <w:p>
            <w:pPr>
              <w:spacing w:after="0"/>
              <w:rPr>
                <w:sz w:val="1"/>
                <w:szCs w:val="1"/>
                <w:color w:val="auto"/>
              </w:rPr>
            </w:pPr>
          </w:p>
        </w:tc>
      </w:tr>
      <w:tr>
        <w:trPr>
          <w:trHeight w:val="203"/>
        </w:trPr>
        <w:tc>
          <w:tcPr>
            <w:tcW w:w="440" w:type="dxa"/>
            <w:vAlign w:val="bottom"/>
            <w:gridSpan w:val="4"/>
          </w:tcPr>
          <w:p>
            <w:pPr>
              <w:ind w:left="20"/>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182" w:lineRule="exact"/>
              <w:rPr>
                <w:sz w:val="20"/>
                <w:szCs w:val="20"/>
                <w:color w:val="auto"/>
              </w:rPr>
            </w:pPr>
            <w:r>
              <w:rPr>
                <w:rFonts w:ascii="Arial" w:cs="Arial" w:eastAsia="Arial" w:hAnsi="Arial"/>
                <w:sz w:val="18"/>
                <w:szCs w:val="18"/>
                <w:color w:val="auto"/>
                <w:w w:val="92"/>
              </w:rPr>
              <w:t>Amendment No. 2, dated June 2, 2021, the Amended and Restated Credit Agreement, dated as of July, 18, 2019, by and among</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w w:val="96"/>
              </w:rPr>
              <w:t>Nautilus Acquisition Holdings, Inc., National Vision, Inc., certain subsidiaries of National Vision, Inc., as guarantors, Bank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2" w:lineRule="exact"/>
              <w:rPr>
                <w:sz w:val="20"/>
                <w:szCs w:val="20"/>
                <w:color w:val="auto"/>
              </w:rPr>
            </w:pPr>
            <w:r>
              <w:rPr>
                <w:rFonts w:ascii="Arial" w:cs="Arial" w:eastAsia="Arial" w:hAnsi="Arial"/>
                <w:sz w:val="18"/>
                <w:szCs w:val="18"/>
                <w:color w:val="auto"/>
                <w:w w:val="91"/>
              </w:rPr>
              <w:t>America, N.A., as administrative agent and collateral agent, and the lenders from time to time party thereto -incorporated herein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reference to Exhibit 10.1 to the Company’s Current Report on Form 8-K filed on June 3, 2021</w:t>
            </w:r>
          </w:p>
        </w:tc>
        <w:tc>
          <w:tcPr>
            <w:tcW w:w="0" w:type="dxa"/>
            <w:vAlign w:val="bottom"/>
          </w:tcPr>
          <w:p>
            <w:pPr>
              <w:spacing w:after="0"/>
              <w:rPr>
                <w:sz w:val="1"/>
                <w:szCs w:val="1"/>
                <w:color w:val="auto"/>
              </w:rPr>
            </w:pPr>
          </w:p>
        </w:tc>
      </w:tr>
      <w:tr>
        <w:trPr>
          <w:trHeight w:val="203"/>
        </w:trPr>
        <w:tc>
          <w:tcPr>
            <w:tcW w:w="440" w:type="dxa"/>
            <w:vAlign w:val="bottom"/>
            <w:gridSpan w:val="4"/>
          </w:tcPr>
          <w:p>
            <w:pPr>
              <w:ind w:left="20"/>
              <w:spacing w:after="0" w:line="202" w:lineRule="exact"/>
              <w:rPr>
                <w:rFonts w:ascii="Arial" w:cs="Arial" w:eastAsia="Arial" w:hAnsi="Arial"/>
                <w:sz w:val="18"/>
                <w:szCs w:val="18"/>
                <w:color w:val="0000FF"/>
              </w:rPr>
            </w:pPr>
            <w:hyperlink r:id="rId158">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gridSpan w:val="3"/>
          </w:tcPr>
          <w:p>
            <w:pPr>
              <w:ind w:left="20"/>
              <w:spacing w:after="0" w:line="202" w:lineRule="exact"/>
              <w:rPr>
                <w:sz w:val="20"/>
                <w:szCs w:val="20"/>
                <w:color w:val="auto"/>
              </w:rPr>
            </w:pPr>
            <w:r>
              <w:rPr>
                <w:rFonts w:ascii="Arial" w:cs="Arial" w:eastAsia="Arial" w:hAnsi="Arial"/>
                <w:sz w:val="18"/>
                <w:szCs w:val="18"/>
                <w:color w:val="auto"/>
                <w:w w:val="94"/>
              </w:rPr>
              <w:t>First Lien Guarantee, dated as of March 13, 2014, by the guarantors party thereto - incorporated herein by reference to Exhibit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10.6 to the Company’s Form S-1 Registration Statement filed on September 29, 2017</w:t>
            </w:r>
          </w:p>
        </w:tc>
        <w:tc>
          <w:tcPr>
            <w:tcW w:w="0" w:type="dxa"/>
            <w:vAlign w:val="bottom"/>
          </w:tcPr>
          <w:p>
            <w:pPr>
              <w:spacing w:after="0"/>
              <w:rPr>
                <w:sz w:val="1"/>
                <w:szCs w:val="1"/>
                <w:color w:val="auto"/>
              </w:rPr>
            </w:pPr>
          </w:p>
        </w:tc>
      </w:tr>
      <w:tr>
        <w:trPr>
          <w:trHeight w:val="190"/>
        </w:trPr>
        <w:tc>
          <w:tcPr>
            <w:tcW w:w="440" w:type="dxa"/>
            <w:vAlign w:val="bottom"/>
            <w:gridSpan w:val="4"/>
          </w:tcPr>
          <w:p>
            <w:pPr>
              <w:ind w:left="20"/>
              <w:spacing w:after="0" w:line="190" w:lineRule="exact"/>
              <w:rPr>
                <w:rFonts w:ascii="Arial" w:cs="Arial" w:eastAsia="Arial" w:hAnsi="Arial"/>
                <w:sz w:val="18"/>
                <w:szCs w:val="18"/>
                <w:color w:val="0000FF"/>
              </w:rPr>
            </w:pPr>
            <w:hyperlink r:id="rId159">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2"/>
              </w:rPr>
              <w:t>First Lien Security Agreement, dated as of March 13, 2014, among Nautilus Acquisition Holdings, Inc., Nautilus Merger Sub, Inc.,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00" w:type="dxa"/>
            <w:vAlign w:val="bottom"/>
            <w:gridSpan w:val="3"/>
          </w:tcPr>
          <w:p>
            <w:pPr>
              <w:ind w:left="20"/>
              <w:spacing w:after="0" w:line="142" w:lineRule="exact"/>
              <w:rPr>
                <w:sz w:val="20"/>
                <w:szCs w:val="20"/>
                <w:color w:val="auto"/>
              </w:rPr>
            </w:pPr>
            <w:r>
              <w:rPr>
                <w:rFonts w:ascii="Arial" w:cs="Arial" w:eastAsia="Arial" w:hAnsi="Arial"/>
                <w:sz w:val="16"/>
                <w:szCs w:val="16"/>
                <w:color w:val="auto"/>
              </w:rPr>
              <w:t>Vision Holdings Corp., National Vision, Inc., subsidiary grantors party thereto, Goldman Sachs Bank USA, as collateral agent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w w:val="92"/>
              </w:rPr>
              <w:t>incorporated herein by reference to Exhibit 10.7 to the Company’s Form S-1 Registration Statement filed on September 29, 2017</w:t>
            </w:r>
          </w:p>
        </w:tc>
        <w:tc>
          <w:tcPr>
            <w:tcW w:w="0" w:type="dxa"/>
            <w:vAlign w:val="bottom"/>
          </w:tcPr>
          <w:p>
            <w:pPr>
              <w:spacing w:after="0"/>
              <w:rPr>
                <w:sz w:val="1"/>
                <w:szCs w:val="1"/>
                <w:color w:val="auto"/>
              </w:rPr>
            </w:pPr>
          </w:p>
        </w:tc>
      </w:tr>
      <w:tr>
        <w:trPr>
          <w:trHeight w:val="190"/>
        </w:trPr>
        <w:tc>
          <w:tcPr>
            <w:tcW w:w="440" w:type="dxa"/>
            <w:vAlign w:val="bottom"/>
            <w:gridSpan w:val="4"/>
          </w:tcPr>
          <w:p>
            <w:pPr>
              <w:ind w:left="20"/>
              <w:spacing w:after="0" w:line="190" w:lineRule="exact"/>
              <w:rPr>
                <w:rFonts w:ascii="Arial" w:cs="Arial" w:eastAsia="Arial" w:hAnsi="Arial"/>
                <w:sz w:val="18"/>
                <w:szCs w:val="18"/>
                <w:color w:val="0000FF"/>
              </w:rPr>
            </w:pPr>
            <w:hyperlink r:id="rId160">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3"/>
              </w:rPr>
              <w:t>First Lien Pledge Agreement, dated as of March 13, 2014, among Nautilus Acquisition Holdings, Inc., Nautilus Merger Sub, Inc.,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00" w:type="dxa"/>
            <w:vAlign w:val="bottom"/>
            <w:gridSpan w:val="3"/>
          </w:tcPr>
          <w:p>
            <w:pPr>
              <w:ind w:left="20"/>
              <w:spacing w:after="0" w:line="142" w:lineRule="exact"/>
              <w:rPr>
                <w:sz w:val="20"/>
                <w:szCs w:val="20"/>
                <w:color w:val="auto"/>
              </w:rPr>
            </w:pPr>
            <w:r>
              <w:rPr>
                <w:rFonts w:ascii="Arial" w:cs="Arial" w:eastAsia="Arial" w:hAnsi="Arial"/>
                <w:sz w:val="16"/>
                <w:szCs w:val="16"/>
                <w:color w:val="auto"/>
              </w:rPr>
              <w:t>Vision Holdings Corp., National Vision, Inc. subsidiary pledgors party thereto, Goldman Sachs Bank USA, as collateral agent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w w:val="92"/>
              </w:rPr>
              <w:t>incorporated herein by reference to Exhibit 10.8 to the Company’s Form S-1 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gridSpan w:val="7"/>
          </w:tcPr>
          <w:p>
            <w:pPr>
              <w:spacing w:after="0" w:line="190" w:lineRule="exact"/>
              <w:rPr>
                <w:rFonts w:ascii="Arial" w:cs="Arial" w:eastAsia="Arial" w:hAnsi="Arial"/>
                <w:sz w:val="18"/>
                <w:szCs w:val="18"/>
                <w:color w:val="0000FF"/>
              </w:rPr>
            </w:pPr>
            <w:hyperlink r:id="rId161">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3"/>
              </w:rPr>
              <w:t>National Vision Holdings, Inc. 2017 Omnibus Incentive Plan - incorporated herein by reference to Exhibit 10.2 to the Company’s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Current Report on Form 8-K filed on October 31,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gridSpan w:val="7"/>
          </w:tcPr>
          <w:p>
            <w:pPr>
              <w:spacing w:after="0" w:line="190" w:lineRule="exact"/>
              <w:rPr>
                <w:rFonts w:ascii="Arial" w:cs="Arial" w:eastAsia="Arial" w:hAnsi="Arial"/>
                <w:sz w:val="18"/>
                <w:szCs w:val="18"/>
                <w:color w:val="0000FF"/>
              </w:rPr>
            </w:pPr>
            <w:hyperlink r:id="rId162">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3"/>
              </w:rPr>
              <w:t>Form of Restricted Stock Agreement for Non-Employee Directors under the 2017 Omnibus Incentive Plan - incorporated herein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5" w:lineRule="exact"/>
              <w:rPr>
                <w:sz w:val="20"/>
                <w:szCs w:val="20"/>
                <w:color w:val="auto"/>
              </w:rPr>
            </w:pPr>
            <w:r>
              <w:rPr>
                <w:rFonts w:ascii="Arial" w:cs="Arial" w:eastAsia="Arial" w:hAnsi="Arial"/>
                <w:sz w:val="18"/>
                <w:szCs w:val="18"/>
                <w:color w:val="auto"/>
                <w:w w:val="92"/>
              </w:rPr>
              <w:t>by reference to Exhibit 10.15 to the Company’s Amendment No. 2 to Form S-1 Registration Statement filed on October 16,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gridSpan w:val="7"/>
          </w:tcPr>
          <w:p>
            <w:pPr>
              <w:spacing w:after="0" w:line="190" w:lineRule="exact"/>
              <w:rPr>
                <w:rFonts w:ascii="Arial" w:cs="Arial" w:eastAsia="Arial" w:hAnsi="Arial"/>
                <w:sz w:val="18"/>
                <w:szCs w:val="18"/>
                <w:color w:val="0000FF"/>
              </w:rPr>
            </w:pPr>
            <w:hyperlink r:id="rId163">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4"/>
              </w:rPr>
              <w:t>Form of Stock Option Agreement under the 2017 Omnibus Incentive Plan, as adopted February 2019 - incorporated herein by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reference to Exhibit 10.2 to the Company’s Quarterly Report on Form 10-Q filed on May 9, 2019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gridSpan w:val="7"/>
          </w:tcPr>
          <w:p>
            <w:pPr>
              <w:spacing w:after="0" w:line="190" w:lineRule="exact"/>
              <w:rPr>
                <w:rFonts w:ascii="Arial" w:cs="Arial" w:eastAsia="Arial" w:hAnsi="Arial"/>
                <w:sz w:val="18"/>
                <w:szCs w:val="18"/>
                <w:color w:val="0000FF"/>
              </w:rPr>
            </w:pPr>
            <w:hyperlink r:id="rId164">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0"/>
              </w:rPr>
              <w:t>Form of Restricted Stock Unit Agreement under the 2017 Omnibus Incentive Plan, as adopted February 2019 - incorporated herein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0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by reference to Exhibit 10.3 to the Company’s Quarterly Report on Form 10-Q filed on May 9, 2019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gridSpan w:val="7"/>
          </w:tcPr>
          <w:p>
            <w:pPr>
              <w:spacing w:after="0" w:line="190" w:lineRule="exact"/>
              <w:rPr>
                <w:rFonts w:ascii="Arial" w:cs="Arial" w:eastAsia="Arial" w:hAnsi="Arial"/>
                <w:sz w:val="18"/>
                <w:szCs w:val="18"/>
                <w:color w:val="0000FF"/>
              </w:rPr>
            </w:pPr>
            <w:hyperlink r:id="rId165">
              <w:r>
                <w:rPr>
                  <w:rFonts w:ascii="Arial" w:cs="Arial" w:eastAsia="Arial" w:hAnsi="Arial"/>
                  <w:sz w:val="18"/>
                  <w:szCs w:val="18"/>
                  <w:color w:val="0000FF"/>
                </w:rPr>
                <w:t>10.</w:t>
              </w:r>
              <w:r>
                <w:rPr>
                  <w:rFonts w:ascii="Arial" w:cs="Arial" w:eastAsia="Arial" w:hAnsi="Arial"/>
                  <w:sz w:val="18"/>
                  <w:szCs w:val="18"/>
                  <w:u w:val="single" w:color="auto"/>
                  <w:color w:val="0000FF"/>
                </w:rPr>
                <w:t>11†</w:t>
              </w:r>
            </w:hyperlink>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1"/>
              </w:rPr>
              <w:t>Form of Performance Stock Unit Agreement under the 2017 Omnibus Incentive Plan, as adopted February 2021 – incorporated 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reference to Exhibit 10.1 to the Company’s Quarterly Report on Form 10-Q filed on May 13, 2021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gridSpan w:val="7"/>
          </w:tcPr>
          <w:p>
            <w:pPr>
              <w:spacing w:after="0" w:line="190" w:lineRule="exact"/>
              <w:rPr>
                <w:rFonts w:ascii="Arial" w:cs="Arial" w:eastAsia="Arial" w:hAnsi="Arial"/>
                <w:sz w:val="18"/>
                <w:szCs w:val="18"/>
                <w:color w:val="0000FF"/>
              </w:rPr>
            </w:pPr>
            <w:hyperlink r:id="rId166">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950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3"/>
              </w:rPr>
              <w:t>Form of Performance Stock Unit Agreement under the 2017 Omnibus Incentive Plan, as adopted February 2020 – incorporated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500" w:type="dxa"/>
            <w:vAlign w:val="bottom"/>
            <w:gridSpan w:val="3"/>
          </w:tcPr>
          <w:p>
            <w:pPr>
              <w:ind w:left="20"/>
              <w:spacing w:after="0"/>
              <w:rPr>
                <w:sz w:val="20"/>
                <w:szCs w:val="20"/>
                <w:color w:val="auto"/>
              </w:rPr>
            </w:pPr>
            <w:r>
              <w:rPr>
                <w:rFonts w:ascii="Arial" w:cs="Arial" w:eastAsia="Arial" w:hAnsi="Arial"/>
                <w:sz w:val="18"/>
                <w:szCs w:val="18"/>
                <w:color w:val="auto"/>
              </w:rPr>
              <w:t>herein by reference to Exhibit 10.3 to the Company’s Quarterly Report on Form 10-Q filed on May 7, 2020</w:t>
            </w:r>
          </w:p>
        </w:tc>
        <w:tc>
          <w:tcPr>
            <w:tcW w:w="0" w:type="dxa"/>
            <w:vAlign w:val="bottom"/>
          </w:tcPr>
          <w:p>
            <w:pPr>
              <w:spacing w:after="0"/>
              <w:rPr>
                <w:sz w:val="1"/>
                <w:szCs w:val="1"/>
                <w:color w:val="auto"/>
              </w:rPr>
            </w:pPr>
          </w:p>
        </w:tc>
      </w:tr>
      <w:tr>
        <w:trPr>
          <w:trHeight w:val="75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2"/>
          </w:tcPr>
          <w:p>
            <w:pPr>
              <w:ind w:left="3760"/>
              <w:spacing w:after="0"/>
              <w:rPr>
                <w:sz w:val="20"/>
                <w:szCs w:val="20"/>
                <w:color w:val="auto"/>
              </w:rPr>
            </w:pPr>
            <w:r>
              <w:rPr>
                <w:rFonts w:ascii="Arial" w:cs="Arial" w:eastAsia="Arial" w:hAnsi="Arial"/>
                <w:sz w:val="18"/>
                <w:szCs w:val="18"/>
                <w:color w:val="auto"/>
              </w:rPr>
              <w:t>119</w:t>
            </w: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1520" w:type="dxa"/>
            <w:vAlign w:val="bottom"/>
            <w:gridSpan w:val="5"/>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9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gridSpan w:val="3"/>
          </w:tcPr>
          <w:p>
            <w:pPr>
              <w:spacing w:after="0"/>
              <w:rPr>
                <w:rFonts w:ascii="Arial" w:cs="Arial" w:eastAsia="Arial" w:hAnsi="Arial"/>
                <w:sz w:val="18"/>
                <w:szCs w:val="18"/>
                <w:color w:val="0000FF"/>
              </w:rPr>
            </w:pPr>
            <w:hyperlink r:id="rId169">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240" w:type="dxa"/>
            <w:vAlign w:val="bottom"/>
          </w:tcPr>
          <w:p>
            <w:pPr>
              <w:spacing w:after="0"/>
              <w:rPr>
                <w:sz w:val="24"/>
                <w:szCs w:val="24"/>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w w:val="93"/>
              </w:rPr>
              <w:t>Form of Restricted Stock Agreement for Non-Employee Directors under the 2017 Omnibus Incentive Plan, as adopted February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5" w:lineRule="exact"/>
              <w:rPr>
                <w:sz w:val="20"/>
                <w:szCs w:val="20"/>
                <w:color w:val="auto"/>
              </w:rPr>
            </w:pPr>
            <w:r>
              <w:rPr>
                <w:rFonts w:ascii="Arial" w:cs="Arial" w:eastAsia="Arial" w:hAnsi="Arial"/>
                <w:sz w:val="18"/>
                <w:szCs w:val="18"/>
                <w:color w:val="auto"/>
                <w:w w:val="94"/>
              </w:rPr>
              <w:t>2019 - incorporated herein by reference to Exhibit 10.5 to the Company’s Quarterly Report on Form 10-Q filed on May 9, 2019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0">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3"/>
              </w:rPr>
              <w:t>2014 Stock Incentive Plan for Key Employees of National Vision Holdings, Inc. (formerly known as Nautilus Parent, Inc.) and 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20" w:type="dxa"/>
            <w:vAlign w:val="bottom"/>
          </w:tcPr>
          <w:p>
            <w:pPr>
              <w:ind w:left="240"/>
              <w:spacing w:after="0" w:line="142" w:lineRule="exact"/>
              <w:rPr>
                <w:sz w:val="20"/>
                <w:szCs w:val="20"/>
                <w:color w:val="auto"/>
              </w:rPr>
            </w:pPr>
            <w:r>
              <w:rPr>
                <w:rFonts w:ascii="Arial" w:cs="Arial" w:eastAsia="Arial" w:hAnsi="Arial"/>
                <w:sz w:val="16"/>
                <w:szCs w:val="16"/>
                <w:color w:val="auto"/>
              </w:rPr>
              <w:t>Subsidiaries - incorporated herein by reference to Exhibit 10.16 to the Company’s Form S-1 Registration Statement filed 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1">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6"/>
              </w:rPr>
              <w:t>Amendment No. 1 to the 2014 Stock Incentive Plan for Key Employees of National Vision Holdings, Inc. (formerly known as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20" w:type="dxa"/>
            <w:vAlign w:val="bottom"/>
          </w:tcPr>
          <w:p>
            <w:pPr>
              <w:ind w:left="240"/>
              <w:spacing w:after="0" w:line="142" w:lineRule="exact"/>
              <w:rPr>
                <w:sz w:val="20"/>
                <w:szCs w:val="20"/>
                <w:color w:val="auto"/>
              </w:rPr>
            </w:pPr>
            <w:r>
              <w:rPr>
                <w:rFonts w:ascii="Arial" w:cs="Arial" w:eastAsia="Arial" w:hAnsi="Arial"/>
                <w:sz w:val="16"/>
                <w:szCs w:val="16"/>
                <w:color w:val="auto"/>
              </w:rPr>
              <w:t>Nautilus Parent, Inc.) and its Subsidiaries - incorporated herein by reference to Exhibit 10.17 to the Company’s Form S-1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2">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6"/>
              </w:rPr>
              <w:t>Amendment No. 2 to the 2014 Stock Incentive Plan for Key Employees of National Vision Holdings, Inc. (formerly known as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20" w:type="dxa"/>
            <w:vAlign w:val="bottom"/>
          </w:tcPr>
          <w:p>
            <w:pPr>
              <w:ind w:left="240"/>
              <w:spacing w:after="0" w:line="142" w:lineRule="exact"/>
              <w:rPr>
                <w:sz w:val="20"/>
                <w:szCs w:val="20"/>
                <w:color w:val="auto"/>
              </w:rPr>
            </w:pPr>
            <w:r>
              <w:rPr>
                <w:rFonts w:ascii="Arial" w:cs="Arial" w:eastAsia="Arial" w:hAnsi="Arial"/>
                <w:sz w:val="16"/>
                <w:szCs w:val="16"/>
                <w:color w:val="auto"/>
              </w:rPr>
              <w:t>Nautilus Parent, Inc.) and its Subsidiaries - incorporated herein by reference to Exhibit 10.18 to the Company’s Form S-1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3">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7"/>
              </w:rPr>
              <w:t>Form of Stock Option Agreement under the 2014 Stock Incentive Plan for Key Employees of National Vision Holdings, Inc.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20" w:type="dxa"/>
            <w:vAlign w:val="bottom"/>
          </w:tcPr>
          <w:p>
            <w:pPr>
              <w:ind w:left="240"/>
              <w:spacing w:after="0" w:line="142" w:lineRule="exact"/>
              <w:rPr>
                <w:sz w:val="20"/>
                <w:szCs w:val="20"/>
                <w:color w:val="auto"/>
              </w:rPr>
            </w:pPr>
            <w:r>
              <w:rPr>
                <w:rFonts w:ascii="Arial" w:cs="Arial" w:eastAsia="Arial" w:hAnsi="Arial"/>
                <w:sz w:val="16"/>
                <w:szCs w:val="16"/>
                <w:color w:val="auto"/>
              </w:rPr>
              <w:t>(formerly known as Nautilus Parent, Inc.) and its Subsidiaries - incorporated herein by reference to Exhibit 10.19 to the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Company’s Form S-1 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4">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3"/>
              </w:rPr>
              <w:t>Form of Management Stockholder’s Agreement - incorporated herein by reference to Exhibit 10.20 to the Company’s Form S-1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5" w:lineRule="exact"/>
              <w:rPr>
                <w:sz w:val="20"/>
                <w:szCs w:val="20"/>
                <w:color w:val="auto"/>
              </w:rPr>
            </w:pPr>
            <w:r>
              <w:rPr>
                <w:rFonts w:ascii="Arial" w:cs="Arial" w:eastAsia="Arial" w:hAnsi="Arial"/>
                <w:sz w:val="18"/>
                <w:szCs w:val="18"/>
                <w:color w:val="auto"/>
              </w:rPr>
              <w:t>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5">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1"/>
              </w:rPr>
              <w:t>National Vision, Inc. Severance Plan, as amended and restated as of March 15, 2017 - incorporated herein by reference to Exhibit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5" w:lineRule="exact"/>
              <w:rPr>
                <w:sz w:val="20"/>
                <w:szCs w:val="20"/>
                <w:color w:val="auto"/>
              </w:rPr>
            </w:pPr>
            <w:r>
              <w:rPr>
                <w:rFonts w:ascii="Arial" w:cs="Arial" w:eastAsia="Arial" w:hAnsi="Arial"/>
                <w:sz w:val="18"/>
                <w:szCs w:val="18"/>
                <w:color w:val="auto"/>
              </w:rPr>
              <w:t>10.24 to the Company’s Form S-1 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6">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2"/>
              </w:rPr>
              <w:t>National Vision, Inc. Severance Plan Summary Plan Description (Executives), effective as of July 21, 2011 - incorporated herein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5" w:lineRule="exact"/>
              <w:rPr>
                <w:sz w:val="20"/>
                <w:szCs w:val="20"/>
                <w:color w:val="auto"/>
              </w:rPr>
            </w:pPr>
            <w:r>
              <w:rPr>
                <w:rFonts w:ascii="Arial" w:cs="Arial" w:eastAsia="Arial" w:hAnsi="Arial"/>
                <w:sz w:val="18"/>
                <w:szCs w:val="18"/>
                <w:color w:val="auto"/>
              </w:rPr>
              <w:t>by reference to Exhibit 10.25 to the Company’s Form S-1 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7">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7"/>
              </w:rPr>
              <w:t>National Vision Holdings, Inc. Executive Severance Plan - incorporated by reference to Exhibit 10.1 filed to the Company’s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5" w:lineRule="exact"/>
              <w:rPr>
                <w:sz w:val="20"/>
                <w:szCs w:val="20"/>
                <w:color w:val="auto"/>
              </w:rPr>
            </w:pPr>
            <w:r>
              <w:rPr>
                <w:rFonts w:ascii="Arial" w:cs="Arial" w:eastAsia="Arial" w:hAnsi="Arial"/>
                <w:sz w:val="18"/>
                <w:szCs w:val="18"/>
                <w:color w:val="auto"/>
              </w:rPr>
              <w:t>Current Report on Form 8-K filed on December 18, 2018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8">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3"/>
              </w:rPr>
              <w:t>Letter Agreement between National Vision, Inc. and Essilor of America, Inc., dated as of May 25, 2011 - incorporated herein by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5" w:lineRule="exact"/>
              <w:rPr>
                <w:sz w:val="20"/>
                <w:szCs w:val="20"/>
                <w:color w:val="auto"/>
              </w:rPr>
            </w:pPr>
            <w:r>
              <w:rPr>
                <w:rFonts w:ascii="Arial" w:cs="Arial" w:eastAsia="Arial" w:hAnsi="Arial"/>
                <w:sz w:val="18"/>
                <w:szCs w:val="18"/>
                <w:color w:val="auto"/>
              </w:rPr>
              <w:t>reference to Exhibit 10.29 to the Company’s Form S-1 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79">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4"/>
              </w:rPr>
              <w:t>Letter of Amendment between National Vision, Inc. and Essilor of America, Inc., dated as of December 2, 2014 - incorporated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5" w:lineRule="exact"/>
              <w:rPr>
                <w:sz w:val="20"/>
                <w:szCs w:val="20"/>
                <w:color w:val="auto"/>
              </w:rPr>
            </w:pPr>
            <w:r>
              <w:rPr>
                <w:rFonts w:ascii="Arial" w:cs="Arial" w:eastAsia="Arial" w:hAnsi="Arial"/>
                <w:sz w:val="18"/>
                <w:szCs w:val="18"/>
                <w:color w:val="auto"/>
              </w:rPr>
              <w:t>herein by reference to Exhibit 10.30 to the Company’s Form S-1 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80">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3"/>
              </w:rPr>
              <w:t>Letter Agreement between National Vision, Inc. and Essilor of America, Inc. dated as of March 9, 2018 - incorporated herein by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5" w:lineRule="exact"/>
              <w:rPr>
                <w:sz w:val="20"/>
                <w:szCs w:val="20"/>
                <w:color w:val="auto"/>
              </w:rPr>
            </w:pPr>
            <w:r>
              <w:rPr>
                <w:rFonts w:ascii="Arial" w:cs="Arial" w:eastAsia="Arial" w:hAnsi="Arial"/>
                <w:sz w:val="18"/>
                <w:szCs w:val="18"/>
                <w:color w:val="auto"/>
              </w:rPr>
              <w:t>reference to Exhibit 10.1 to the Company’s Form 10-Q filed on May 15, 2018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81">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1"/>
              </w:rPr>
              <w:t xml:space="preserve">Letter Agreement between National Vision, Inc. and Essilor of America, Inc., dated as of November 12, 2018 </w:t>
            </w:r>
            <w:r>
              <w:rPr>
                <w:rFonts w:ascii="Arial" w:cs="Arial" w:eastAsia="Arial" w:hAnsi="Arial"/>
                <w:sz w:val="18"/>
                <w:szCs w:val="18"/>
                <w:color w:val="0000FF"/>
                <w:w w:val="91"/>
              </w:rPr>
              <w:t>-</w:t>
            </w:r>
            <w:r>
              <w:rPr>
                <w:rFonts w:ascii="Arial" w:cs="Arial" w:eastAsia="Arial" w:hAnsi="Arial"/>
                <w:sz w:val="18"/>
                <w:szCs w:val="18"/>
                <w:color w:val="auto"/>
                <w:w w:val="91"/>
              </w:rPr>
              <w:t xml:space="preserve"> incorporated herein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5" w:lineRule="exact"/>
              <w:rPr>
                <w:sz w:val="20"/>
                <w:szCs w:val="20"/>
                <w:color w:val="auto"/>
              </w:rPr>
            </w:pPr>
            <w:r>
              <w:rPr>
                <w:rFonts w:ascii="Arial" w:cs="Arial" w:eastAsia="Arial" w:hAnsi="Arial"/>
                <w:sz w:val="18"/>
                <w:szCs w:val="18"/>
                <w:color w:val="auto"/>
              </w:rPr>
              <w:t>by reference to Exhibit 10.36 to the Company’s Form 10-K filed on February 27, 2019</w:t>
            </w:r>
          </w:p>
        </w:tc>
        <w:tc>
          <w:tcPr>
            <w:tcW w:w="0" w:type="dxa"/>
            <w:vAlign w:val="bottom"/>
          </w:tcPr>
          <w:p>
            <w:pPr>
              <w:spacing w:after="0"/>
              <w:rPr>
                <w:sz w:val="1"/>
                <w:szCs w:val="1"/>
                <w:color w:val="auto"/>
              </w:rPr>
            </w:pPr>
          </w:p>
        </w:tc>
      </w:tr>
      <w:tr>
        <w:trPr>
          <w:trHeight w:val="190"/>
        </w:trPr>
        <w:tc>
          <w:tcPr>
            <w:tcW w:w="520" w:type="dxa"/>
            <w:vAlign w:val="bottom"/>
            <w:gridSpan w:val="3"/>
          </w:tcPr>
          <w:p>
            <w:pPr>
              <w:ind w:left="20"/>
              <w:spacing w:after="0" w:line="190" w:lineRule="exact"/>
              <w:rPr>
                <w:rFonts w:ascii="Arial" w:cs="Arial" w:eastAsia="Arial" w:hAnsi="Arial"/>
                <w:sz w:val="18"/>
                <w:szCs w:val="18"/>
                <w:color w:val="0000FF"/>
              </w:rPr>
            </w:pPr>
            <w:hyperlink r:id="rId182">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2"/>
              </w:rPr>
              <w:t>Letter Agreement by and between National Vision, Inc. and Wal-Mart Stores, Inc. re: Management &amp; Services Agreement, 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20" w:type="dxa"/>
            <w:vAlign w:val="bottom"/>
          </w:tcPr>
          <w:p>
            <w:pPr>
              <w:ind w:left="240"/>
              <w:spacing w:after="0" w:line="142" w:lineRule="exact"/>
              <w:rPr>
                <w:sz w:val="20"/>
                <w:szCs w:val="20"/>
                <w:color w:val="auto"/>
              </w:rPr>
            </w:pPr>
            <w:r>
              <w:rPr>
                <w:rFonts w:ascii="Arial" w:cs="Arial" w:eastAsia="Arial" w:hAnsi="Arial"/>
                <w:sz w:val="16"/>
                <w:szCs w:val="16"/>
                <w:color w:val="auto"/>
              </w:rPr>
              <w:t>as of January 11, 2017 - incorporated herein by reference to Exhibit 10.32 to the Company’s Form S-1 Registration Statement filed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83">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3"/>
              </w:rPr>
              <w:t>Management &amp; Services Agreement by and between National Vision, Inc. and Wal-Mart Stores, Inc., dated as of May 1, 2012 -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5" w:lineRule="exact"/>
              <w:rPr>
                <w:sz w:val="20"/>
                <w:szCs w:val="20"/>
                <w:color w:val="auto"/>
              </w:rPr>
            </w:pPr>
            <w:r>
              <w:rPr>
                <w:rFonts w:ascii="Arial" w:cs="Arial" w:eastAsia="Arial" w:hAnsi="Arial"/>
                <w:sz w:val="18"/>
                <w:szCs w:val="18"/>
                <w:color w:val="auto"/>
                <w:w w:val="93"/>
              </w:rPr>
              <w:t>incorporated herein by reference to Exhibit 10.31 to the Company’s Form S-1 Registration Statement filed on October 16,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84">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0"/>
              </w:rPr>
              <w:t>Amendment 3 to the Management and Services Agreement between Walmart, Inc. and National Vision, Inc. effective as of January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20" w:type="dxa"/>
            <w:vAlign w:val="bottom"/>
          </w:tcPr>
          <w:p>
            <w:pPr>
              <w:ind w:left="240"/>
              <w:spacing w:after="0" w:line="142" w:lineRule="exact"/>
              <w:rPr>
                <w:sz w:val="20"/>
                <w:szCs w:val="20"/>
                <w:color w:val="auto"/>
              </w:rPr>
            </w:pPr>
            <w:r>
              <w:rPr>
                <w:rFonts w:ascii="Arial" w:cs="Arial" w:eastAsia="Arial" w:hAnsi="Arial"/>
                <w:sz w:val="16"/>
                <w:szCs w:val="16"/>
                <w:color w:val="auto"/>
              </w:rPr>
              <w:t>23, 2020 -incorporated herein by reference to Exhibit 10.1 to the Company’s Current Report on Form 8-K filed on January 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gridSpan w:val="4"/>
            <w:vMerge w:val="restart"/>
          </w:tcPr>
          <w:p>
            <w:pPr>
              <w:spacing w:after="0"/>
              <w:rPr>
                <w:rFonts w:ascii="Arial" w:cs="Arial" w:eastAsia="Arial" w:hAnsi="Arial"/>
                <w:sz w:val="18"/>
                <w:szCs w:val="18"/>
                <w:color w:val="0000FF"/>
              </w:rPr>
            </w:pPr>
            <w:hyperlink r:id="rId185">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9720" w:type="dxa"/>
            <w:vAlign w:val="bottom"/>
          </w:tcPr>
          <w:p>
            <w:pPr>
              <w:ind w:left="24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00" w:type="dxa"/>
            <w:vAlign w:val="bottom"/>
            <w:gridSpan w:val="4"/>
            <w:vMerge w:val="continue"/>
          </w:tcPr>
          <w:p>
            <w:pPr>
              <w:spacing w:after="0"/>
              <w:rPr>
                <w:sz w:val="16"/>
                <w:szCs w:val="16"/>
                <w:color w:val="auto"/>
              </w:rPr>
            </w:pPr>
          </w:p>
        </w:tc>
        <w:tc>
          <w:tcPr>
            <w:tcW w:w="9720" w:type="dxa"/>
            <w:vAlign w:val="bottom"/>
          </w:tcPr>
          <w:p>
            <w:pPr>
              <w:ind w:left="240"/>
              <w:spacing w:after="0" w:line="168" w:lineRule="exact"/>
              <w:rPr>
                <w:sz w:val="20"/>
                <w:szCs w:val="20"/>
                <w:color w:val="auto"/>
              </w:rPr>
            </w:pPr>
            <w:r>
              <w:rPr>
                <w:rFonts w:ascii="Arial" w:cs="Arial" w:eastAsia="Arial" w:hAnsi="Arial"/>
                <w:sz w:val="18"/>
                <w:szCs w:val="18"/>
                <w:color w:val="auto"/>
                <w:w w:val="92"/>
              </w:rPr>
              <w:t>Amendment 4 to the Management &amp; Services Agreement between Walmart Inc. and National Vision, Inc., effective as of July 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w w:val="95"/>
              </w:rPr>
              <w:t>2020 - incorporated herein by reference to Exhibit 10.1 to the Company’s Current Report on Form 8-K filed on July 20, 2020.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gridSpan w:val="4"/>
          </w:tcPr>
          <w:p>
            <w:pPr>
              <w:spacing w:after="0" w:line="202" w:lineRule="exact"/>
              <w:rPr>
                <w:rFonts w:ascii="Arial" w:cs="Arial" w:eastAsia="Arial" w:hAnsi="Arial"/>
                <w:sz w:val="18"/>
                <w:szCs w:val="18"/>
                <w:color w:val="0000FF"/>
              </w:rPr>
            </w:pPr>
            <w:hyperlink r:id="rId186">
              <w:r>
                <w:rPr>
                  <w:rFonts w:ascii="Arial" w:cs="Arial" w:eastAsia="Arial" w:hAnsi="Arial"/>
                  <w:sz w:val="18"/>
                  <w:szCs w:val="18"/>
                  <w:color w:val="0000FF"/>
                </w:rPr>
                <w:t>10.</w:t>
              </w:r>
              <w:r>
                <w:rPr>
                  <w:rFonts w:ascii="Arial" w:cs="Arial" w:eastAsia="Arial" w:hAnsi="Arial"/>
                  <w:sz w:val="18"/>
                  <w:szCs w:val="18"/>
                  <w:u w:val="single" w:color="auto"/>
                  <w:color w:val="0000FF"/>
                </w:rPr>
                <w:t>30‡</w:t>
              </w:r>
            </w:hyperlink>
          </w:p>
        </w:tc>
        <w:tc>
          <w:tcPr>
            <w:tcW w:w="9720" w:type="dxa"/>
            <w:vAlign w:val="bottom"/>
          </w:tcPr>
          <w:p>
            <w:pPr>
              <w:ind w:left="240"/>
              <w:spacing w:after="0" w:line="202" w:lineRule="exact"/>
              <w:rPr>
                <w:sz w:val="20"/>
                <w:szCs w:val="20"/>
                <w:color w:val="auto"/>
              </w:rPr>
            </w:pPr>
            <w:r>
              <w:rPr>
                <w:rFonts w:ascii="Arial" w:cs="Arial" w:eastAsia="Arial" w:hAnsi="Arial"/>
                <w:sz w:val="18"/>
                <w:szCs w:val="18"/>
                <w:color w:val="auto"/>
                <w:w w:val="99"/>
              </w:rPr>
              <w:t>Amended and Restated Supplier Agreement between National Vision, Inc. and Walmart, dated as of January 17, 2017 -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20" w:type="dxa"/>
            <w:vAlign w:val="bottom"/>
          </w:tcPr>
          <w:p>
            <w:pPr>
              <w:ind w:left="240"/>
              <w:spacing w:after="0" w:line="195" w:lineRule="exact"/>
              <w:rPr>
                <w:sz w:val="20"/>
                <w:szCs w:val="20"/>
                <w:color w:val="auto"/>
              </w:rPr>
            </w:pPr>
            <w:r>
              <w:rPr>
                <w:rFonts w:ascii="Arial" w:cs="Arial" w:eastAsia="Arial" w:hAnsi="Arial"/>
                <w:sz w:val="18"/>
                <w:szCs w:val="18"/>
                <w:color w:val="auto"/>
                <w:w w:val="91"/>
              </w:rPr>
              <w:t>incorporated herein by reference to Exhibit 10.33 to the Company’s Form S-1 Registration Statement filed on September 29, 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87">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9720" w:type="dxa"/>
            <w:vAlign w:val="bottom"/>
          </w:tcPr>
          <w:p>
            <w:pPr>
              <w:ind w:left="240"/>
              <w:spacing w:after="0" w:line="190" w:lineRule="exact"/>
              <w:rPr>
                <w:sz w:val="20"/>
                <w:szCs w:val="20"/>
                <w:color w:val="auto"/>
              </w:rPr>
            </w:pPr>
            <w:r>
              <w:rPr>
                <w:rFonts w:ascii="Arial" w:cs="Arial" w:eastAsia="Arial" w:hAnsi="Arial"/>
                <w:sz w:val="18"/>
                <w:szCs w:val="18"/>
                <w:color w:val="auto"/>
                <w:w w:val="95"/>
              </w:rPr>
              <w:t>Option Agreement for Patrick R. Moore under the 2017 Omnibus Incentive Plan - incorporated herein by reference to Exhibit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ind w:left="240"/>
              <w:spacing w:after="0"/>
              <w:rPr>
                <w:sz w:val="20"/>
                <w:szCs w:val="20"/>
                <w:color w:val="auto"/>
              </w:rPr>
            </w:pPr>
            <w:r>
              <w:rPr>
                <w:rFonts w:ascii="Arial" w:cs="Arial" w:eastAsia="Arial" w:hAnsi="Arial"/>
                <w:sz w:val="18"/>
                <w:szCs w:val="18"/>
                <w:color w:val="auto"/>
              </w:rPr>
              <w:t>10.34 to the Company’s Amendment No. 2 to Form S-1 Registration Statement filed on October 16, 2017</w:t>
            </w:r>
          </w:p>
        </w:tc>
        <w:tc>
          <w:tcPr>
            <w:tcW w:w="0" w:type="dxa"/>
            <w:vAlign w:val="bottom"/>
          </w:tcPr>
          <w:p>
            <w:pPr>
              <w:spacing w:after="0"/>
              <w:rPr>
                <w:sz w:val="1"/>
                <w:szCs w:val="1"/>
                <w:color w:val="auto"/>
              </w:rPr>
            </w:pPr>
          </w:p>
        </w:tc>
      </w:tr>
      <w:tr>
        <w:trPr>
          <w:trHeight w:val="728"/>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20" w:type="dxa"/>
            <w:vAlign w:val="bottom"/>
          </w:tcPr>
          <w:p>
            <w:pPr>
              <w:ind w:left="39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520" w:type="dxa"/>
            <w:vAlign w:val="bottom"/>
            <w:gridSpan w:val="5"/>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9700" w:type="dxa"/>
            <w:vAlign w:val="bottom"/>
          </w:tcPr>
          <w:p>
            <w:pPr>
              <w:spacing w:after="0"/>
              <w:rPr>
                <w:sz w:val="17"/>
                <w:szCs w:val="17"/>
                <w:color w:val="auto"/>
              </w:rPr>
            </w:pPr>
          </w:p>
        </w:tc>
      </w:tr>
      <w:tr>
        <w:trPr>
          <w:trHeight w:val="668"/>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gridSpan w:val="3"/>
          </w:tcPr>
          <w:p>
            <w:pPr>
              <w:spacing w:after="0"/>
              <w:rPr>
                <w:rFonts w:ascii="Arial" w:cs="Arial" w:eastAsia="Arial" w:hAnsi="Arial"/>
                <w:sz w:val="18"/>
                <w:szCs w:val="18"/>
                <w:color w:val="0000FF"/>
              </w:rPr>
            </w:pPr>
            <w:hyperlink r:id="rId190">
              <w:r>
                <w:rPr>
                  <w:rFonts w:ascii="Arial" w:cs="Arial" w:eastAsia="Arial" w:hAnsi="Arial"/>
                  <w:sz w:val="18"/>
                  <w:szCs w:val="18"/>
                  <w:color w:val="0000FF"/>
                </w:rPr>
                <w:t>10.</w:t>
              </w:r>
              <w:r>
                <w:rPr>
                  <w:rFonts w:ascii="Arial" w:cs="Arial" w:eastAsia="Arial" w:hAnsi="Arial"/>
                  <w:sz w:val="18"/>
                  <w:szCs w:val="18"/>
                  <w:u w:val="single" w:color="auto"/>
                  <w:color w:val="0000FF"/>
                </w:rPr>
                <w:t>32†</w:t>
              </w:r>
            </w:hyperlink>
          </w:p>
        </w:tc>
        <w:tc>
          <w:tcPr>
            <w:tcW w:w="240" w:type="dxa"/>
            <w:vAlign w:val="bottom"/>
          </w:tcPr>
          <w:p>
            <w:pPr>
              <w:spacing w:after="0"/>
              <w:rPr>
                <w:sz w:val="24"/>
                <w:szCs w:val="24"/>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w w:val="91"/>
              </w:rPr>
              <w:t>Restricted Stock Award Agreement for David M. Tehle under the 2014 Stock Incentive Plan for Key Employees of National Vision</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00" w:type="dxa"/>
            <w:vAlign w:val="bottom"/>
          </w:tcPr>
          <w:p>
            <w:pPr>
              <w:ind w:left="240"/>
              <w:spacing w:after="0" w:line="142" w:lineRule="exact"/>
              <w:rPr>
                <w:sz w:val="20"/>
                <w:szCs w:val="20"/>
                <w:color w:val="auto"/>
              </w:rPr>
            </w:pPr>
            <w:r>
              <w:rPr>
                <w:rFonts w:ascii="Arial" w:cs="Arial" w:eastAsia="Arial" w:hAnsi="Arial"/>
                <w:sz w:val="16"/>
                <w:szCs w:val="16"/>
                <w:color w:val="auto"/>
              </w:rPr>
              <w:t>Holdings, Inc. (formerly known as Nautilus Parent, Inc.) and its Subsidiaries - incorporated herein by reference to Exhibit 10.35 to</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the Company’s Amendment No. 2 to Form S-1 Registration Statement filed on October 16, 2017</w:t>
            </w: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91">
              <w:r>
                <w:rPr>
                  <w:rFonts w:ascii="Arial" w:cs="Arial" w:eastAsia="Arial" w:hAnsi="Arial"/>
                  <w:sz w:val="18"/>
                  <w:szCs w:val="18"/>
                  <w:color w:val="0000FF"/>
                </w:rPr>
                <w:t>10.</w:t>
              </w:r>
              <w:r>
                <w:rPr>
                  <w:rFonts w:ascii="Arial" w:cs="Arial" w:eastAsia="Arial" w:hAnsi="Arial"/>
                  <w:sz w:val="18"/>
                  <w:szCs w:val="18"/>
                  <w:u w:val="single" w:color="auto"/>
                  <w:color w:val="0000FF"/>
                </w:rPr>
                <w:t>33†</w:t>
              </w:r>
            </w:hyperlink>
          </w:p>
        </w:tc>
        <w:tc>
          <w:tcPr>
            <w:tcW w:w="9700" w:type="dxa"/>
            <w:vAlign w:val="bottom"/>
          </w:tcPr>
          <w:p>
            <w:pPr>
              <w:ind w:left="240"/>
              <w:spacing w:after="0" w:line="190" w:lineRule="exact"/>
              <w:rPr>
                <w:sz w:val="20"/>
                <w:szCs w:val="20"/>
                <w:color w:val="auto"/>
              </w:rPr>
            </w:pPr>
            <w:r>
              <w:rPr>
                <w:rFonts w:ascii="Arial" w:cs="Arial" w:eastAsia="Arial" w:hAnsi="Arial"/>
                <w:sz w:val="18"/>
                <w:szCs w:val="18"/>
                <w:color w:val="auto"/>
                <w:w w:val="94"/>
              </w:rPr>
              <w:t>Form of Director Indemnification Agreement - incorporated herein by reference to Exhibit 10.36 to the Company’s Amendment</w:t>
            </w: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00" w:type="dxa"/>
            <w:vAlign w:val="bottom"/>
          </w:tcPr>
          <w:p>
            <w:pPr>
              <w:ind w:left="240"/>
              <w:spacing w:after="0" w:line="195" w:lineRule="exact"/>
              <w:rPr>
                <w:sz w:val="20"/>
                <w:szCs w:val="20"/>
                <w:color w:val="auto"/>
              </w:rPr>
            </w:pPr>
            <w:r>
              <w:rPr>
                <w:rFonts w:ascii="Arial" w:cs="Arial" w:eastAsia="Arial" w:hAnsi="Arial"/>
                <w:sz w:val="18"/>
                <w:szCs w:val="18"/>
                <w:color w:val="auto"/>
              </w:rPr>
              <w:t>No. 2 to Form S-1 Registration Statement filed on October 16, 2017</w:t>
            </w: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92">
              <w:r>
                <w:rPr>
                  <w:rFonts w:ascii="Arial" w:cs="Arial" w:eastAsia="Arial" w:hAnsi="Arial"/>
                  <w:sz w:val="18"/>
                  <w:szCs w:val="18"/>
                  <w:color w:val="0000FF"/>
                </w:rPr>
                <w:t>10.</w:t>
              </w:r>
              <w:r>
                <w:rPr>
                  <w:rFonts w:ascii="Arial" w:cs="Arial" w:eastAsia="Arial" w:hAnsi="Arial"/>
                  <w:sz w:val="18"/>
                  <w:szCs w:val="18"/>
                  <w:u w:val="single" w:color="auto"/>
                  <w:color w:val="0000FF"/>
                </w:rPr>
                <w:t>34†</w:t>
              </w:r>
            </w:hyperlink>
          </w:p>
        </w:tc>
        <w:tc>
          <w:tcPr>
            <w:tcW w:w="9700" w:type="dxa"/>
            <w:vAlign w:val="bottom"/>
          </w:tcPr>
          <w:p>
            <w:pPr>
              <w:ind w:left="240"/>
              <w:spacing w:after="0" w:line="190" w:lineRule="exact"/>
              <w:rPr>
                <w:sz w:val="20"/>
                <w:szCs w:val="20"/>
                <w:color w:val="auto"/>
              </w:rPr>
            </w:pPr>
            <w:r>
              <w:rPr>
                <w:rFonts w:ascii="Arial" w:cs="Arial" w:eastAsia="Arial" w:hAnsi="Arial"/>
                <w:sz w:val="18"/>
                <w:szCs w:val="18"/>
                <w:color w:val="auto"/>
                <w:w w:val="92"/>
              </w:rPr>
              <w:t>Form of Director Stockholder’s Agreement - incorporated herein by reference to Exhibit 10.1 to the Company’s Current Report on</w:t>
            </w: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00" w:type="dxa"/>
            <w:vAlign w:val="bottom"/>
          </w:tcPr>
          <w:p>
            <w:pPr>
              <w:ind w:left="240"/>
              <w:spacing w:after="0" w:line="195" w:lineRule="exact"/>
              <w:rPr>
                <w:sz w:val="20"/>
                <w:szCs w:val="20"/>
                <w:color w:val="auto"/>
              </w:rPr>
            </w:pPr>
            <w:r>
              <w:rPr>
                <w:rFonts w:ascii="Arial" w:cs="Arial" w:eastAsia="Arial" w:hAnsi="Arial"/>
                <w:sz w:val="18"/>
                <w:szCs w:val="18"/>
                <w:color w:val="auto"/>
              </w:rPr>
              <w:t>Form 8-K filed on January 23, 2018</w:t>
            </w: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93">
              <w:r>
                <w:rPr>
                  <w:rFonts w:ascii="Arial" w:cs="Arial" w:eastAsia="Arial" w:hAnsi="Arial"/>
                  <w:sz w:val="18"/>
                  <w:szCs w:val="18"/>
                  <w:color w:val="0000FF"/>
                </w:rPr>
                <w:t>10.</w:t>
              </w:r>
              <w:r>
                <w:rPr>
                  <w:rFonts w:ascii="Arial" w:cs="Arial" w:eastAsia="Arial" w:hAnsi="Arial"/>
                  <w:sz w:val="18"/>
                  <w:szCs w:val="18"/>
                  <w:u w:val="single" w:color="auto"/>
                  <w:color w:val="0000FF"/>
                </w:rPr>
                <w:t>35†</w:t>
              </w:r>
            </w:hyperlink>
          </w:p>
        </w:tc>
        <w:tc>
          <w:tcPr>
            <w:tcW w:w="9700" w:type="dxa"/>
            <w:vAlign w:val="bottom"/>
          </w:tcPr>
          <w:p>
            <w:pPr>
              <w:ind w:left="240"/>
              <w:spacing w:after="0" w:line="190" w:lineRule="exact"/>
              <w:rPr>
                <w:sz w:val="20"/>
                <w:szCs w:val="20"/>
                <w:color w:val="auto"/>
              </w:rPr>
            </w:pPr>
            <w:r>
              <w:rPr>
                <w:rFonts w:ascii="Arial" w:cs="Arial" w:eastAsia="Arial" w:hAnsi="Arial"/>
                <w:sz w:val="18"/>
                <w:szCs w:val="18"/>
                <w:color w:val="auto"/>
                <w:w w:val="93"/>
              </w:rPr>
              <w:t>Vision Holding Corp. Amended and Restated 2013 Equity Incentive Plan - incorporated herein by reference to Exhibit 4.4 to the</w:t>
            </w: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00" w:type="dxa"/>
            <w:vAlign w:val="bottom"/>
          </w:tcPr>
          <w:p>
            <w:pPr>
              <w:ind w:left="240"/>
              <w:spacing w:after="0" w:line="195" w:lineRule="exact"/>
              <w:rPr>
                <w:sz w:val="20"/>
                <w:szCs w:val="20"/>
                <w:color w:val="auto"/>
              </w:rPr>
            </w:pPr>
            <w:r>
              <w:rPr>
                <w:rFonts w:ascii="Arial" w:cs="Arial" w:eastAsia="Arial" w:hAnsi="Arial"/>
                <w:sz w:val="18"/>
                <w:szCs w:val="18"/>
                <w:color w:val="auto"/>
              </w:rPr>
              <w:t>Company’s Form S-8 Registration Statement filed on October 26, 2017</w:t>
            </w:r>
          </w:p>
        </w:tc>
      </w:tr>
      <w:tr>
        <w:trPr>
          <w:trHeight w:val="190"/>
        </w:trPr>
        <w:tc>
          <w:tcPr>
            <w:tcW w:w="20" w:type="dxa"/>
            <w:vAlign w:val="bottom"/>
          </w:tcPr>
          <w:p>
            <w:pPr>
              <w:spacing w:after="0"/>
              <w:rPr>
                <w:sz w:val="16"/>
                <w:szCs w:val="16"/>
                <w:color w:val="auto"/>
              </w:rPr>
            </w:pPr>
          </w:p>
        </w:tc>
        <w:tc>
          <w:tcPr>
            <w:tcW w:w="1500" w:type="dxa"/>
            <w:vAlign w:val="bottom"/>
            <w:gridSpan w:val="4"/>
          </w:tcPr>
          <w:p>
            <w:pPr>
              <w:spacing w:after="0" w:line="190" w:lineRule="exact"/>
              <w:rPr>
                <w:rFonts w:ascii="Arial" w:cs="Arial" w:eastAsia="Arial" w:hAnsi="Arial"/>
                <w:sz w:val="18"/>
                <w:szCs w:val="18"/>
                <w:color w:val="0000FF"/>
              </w:rPr>
            </w:pPr>
            <w:hyperlink r:id="rId194">
              <w:r>
                <w:rPr>
                  <w:rFonts w:ascii="Arial" w:cs="Arial" w:eastAsia="Arial" w:hAnsi="Arial"/>
                  <w:sz w:val="18"/>
                  <w:szCs w:val="18"/>
                  <w:color w:val="0000FF"/>
                </w:rPr>
                <w:t>10.</w:t>
              </w:r>
              <w:r>
                <w:rPr>
                  <w:rFonts w:ascii="Arial" w:cs="Arial" w:eastAsia="Arial" w:hAnsi="Arial"/>
                  <w:sz w:val="18"/>
                  <w:szCs w:val="18"/>
                  <w:u w:val="single" w:color="auto"/>
                  <w:color w:val="0000FF"/>
                </w:rPr>
                <w:t>36†</w:t>
              </w:r>
            </w:hyperlink>
          </w:p>
        </w:tc>
        <w:tc>
          <w:tcPr>
            <w:tcW w:w="9700" w:type="dxa"/>
            <w:vAlign w:val="bottom"/>
          </w:tcPr>
          <w:p>
            <w:pPr>
              <w:ind w:left="240"/>
              <w:spacing w:after="0" w:line="190" w:lineRule="exact"/>
              <w:rPr>
                <w:sz w:val="20"/>
                <w:szCs w:val="20"/>
                <w:color w:val="auto"/>
              </w:rPr>
            </w:pPr>
            <w:r>
              <w:rPr>
                <w:rFonts w:ascii="Arial" w:cs="Arial" w:eastAsia="Arial" w:hAnsi="Arial"/>
                <w:sz w:val="18"/>
                <w:szCs w:val="18"/>
                <w:color w:val="auto"/>
                <w:w w:val="89"/>
              </w:rPr>
              <w:t>Separation Agreement and General Release, dated as of September 30, 2021, between National Vision, Inc. and Joan Blackwood –</w:t>
            </w: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00" w:type="dxa"/>
            <w:vAlign w:val="bottom"/>
          </w:tcPr>
          <w:p>
            <w:pPr>
              <w:ind w:left="240"/>
              <w:spacing w:after="0" w:line="195" w:lineRule="exact"/>
              <w:rPr>
                <w:sz w:val="20"/>
                <w:szCs w:val="20"/>
                <w:color w:val="auto"/>
              </w:rPr>
            </w:pPr>
            <w:r>
              <w:rPr>
                <w:rFonts w:ascii="Arial" w:cs="Arial" w:eastAsia="Arial" w:hAnsi="Arial"/>
                <w:sz w:val="18"/>
                <w:szCs w:val="18"/>
                <w:color w:val="auto"/>
                <w:w w:val="93"/>
              </w:rPr>
              <w:t>incorporated herein by reference to Exhibit 10.1 to the Company’s Quarterly Report on Form 10-Q filed on November 10, 2021.</w:t>
            </w:r>
          </w:p>
        </w:tc>
      </w:tr>
      <w:tr>
        <w:trPr>
          <w:trHeight w:val="190"/>
        </w:trPr>
        <w:tc>
          <w:tcPr>
            <w:tcW w:w="20" w:type="dxa"/>
            <w:vAlign w:val="bottom"/>
          </w:tcPr>
          <w:p>
            <w:pPr>
              <w:spacing w:after="0"/>
              <w:rPr>
                <w:sz w:val="16"/>
                <w:szCs w:val="16"/>
                <w:color w:val="auto"/>
              </w:rPr>
            </w:pPr>
          </w:p>
        </w:tc>
        <w:tc>
          <w:tcPr>
            <w:tcW w:w="320" w:type="dxa"/>
            <w:vAlign w:val="bottom"/>
            <w:tcBorders>
              <w:bottom w:val="single" w:sz="8" w:color="0000FF"/>
            </w:tcBorders>
          </w:tcPr>
          <w:p>
            <w:pPr>
              <w:spacing w:after="0" w:line="190" w:lineRule="exact"/>
              <w:rPr>
                <w:rFonts w:ascii="Arial" w:cs="Arial" w:eastAsia="Arial" w:hAnsi="Arial"/>
                <w:sz w:val="18"/>
                <w:szCs w:val="18"/>
                <w:color w:val="0000FF"/>
                <w:w w:val="85"/>
              </w:rPr>
            </w:pPr>
            <w:hyperlink w:anchor="page129">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00" w:type="dxa"/>
            <w:vAlign w:val="bottom"/>
          </w:tcPr>
          <w:p>
            <w:pPr>
              <w:ind w:left="240"/>
              <w:spacing w:after="0" w:line="190" w:lineRule="exact"/>
              <w:rPr>
                <w:sz w:val="20"/>
                <w:szCs w:val="20"/>
                <w:color w:val="auto"/>
              </w:rPr>
            </w:pPr>
            <w:r>
              <w:rPr>
                <w:rFonts w:ascii="Arial" w:cs="Arial" w:eastAsia="Arial" w:hAnsi="Arial"/>
                <w:sz w:val="18"/>
                <w:szCs w:val="18"/>
                <w:color w:val="auto"/>
              </w:rPr>
              <w:t>Subsidiaries of National Vision Holdings, Inc.</w:t>
            </w:r>
          </w:p>
        </w:tc>
      </w:tr>
      <w:tr>
        <w:trPr>
          <w:trHeight w:val="209"/>
        </w:trPr>
        <w:tc>
          <w:tcPr>
            <w:tcW w:w="20" w:type="dxa"/>
            <w:vAlign w:val="bottom"/>
          </w:tcPr>
          <w:p>
            <w:pPr>
              <w:spacing w:after="0"/>
              <w:rPr>
                <w:sz w:val="18"/>
                <w:szCs w:val="18"/>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30">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Consent of Deloitte &amp; Touche LLP</w:t>
            </w:r>
          </w:p>
        </w:tc>
      </w:tr>
      <w:tr>
        <w:trPr>
          <w:trHeight w:val="210"/>
        </w:trPr>
        <w:tc>
          <w:tcPr>
            <w:tcW w:w="340" w:type="dxa"/>
            <w:vAlign w:val="bottom"/>
            <w:gridSpan w:val="2"/>
          </w:tcPr>
          <w:p>
            <w:pPr>
              <w:ind w:left="20"/>
              <w:spacing w:after="0"/>
              <w:rPr>
                <w:rFonts w:ascii="Arial" w:cs="Arial" w:eastAsia="Arial" w:hAnsi="Arial"/>
                <w:sz w:val="18"/>
                <w:szCs w:val="18"/>
                <w:color w:val="0000FF"/>
                <w:w w:val="85"/>
              </w:rPr>
            </w:pPr>
            <w:hyperlink w:anchor="page13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w w:val="97"/>
              </w:rPr>
              <w:t>Certification of Periodic Report by Chief Executive Officer under Section 302 of the Sarbanes-Oxley Act of 2002 (furnished</w:t>
            </w: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00" w:type="dxa"/>
            <w:vAlign w:val="bottom"/>
          </w:tcPr>
          <w:p>
            <w:pPr>
              <w:ind w:left="240"/>
              <w:spacing w:after="0" w:line="195" w:lineRule="exact"/>
              <w:rPr>
                <w:sz w:val="20"/>
                <w:szCs w:val="20"/>
                <w:color w:val="auto"/>
              </w:rPr>
            </w:pPr>
            <w:r>
              <w:rPr>
                <w:rFonts w:ascii="Arial" w:cs="Arial" w:eastAsia="Arial" w:hAnsi="Arial"/>
                <w:sz w:val="18"/>
                <w:szCs w:val="18"/>
                <w:color w:val="auto"/>
              </w:rPr>
              <w:t>herewith)</w:t>
            </w:r>
          </w:p>
        </w:tc>
      </w:tr>
      <w:tr>
        <w:trPr>
          <w:trHeight w:val="190"/>
        </w:trPr>
        <w:tc>
          <w:tcPr>
            <w:tcW w:w="340" w:type="dxa"/>
            <w:vAlign w:val="bottom"/>
            <w:gridSpan w:val="2"/>
          </w:tcPr>
          <w:p>
            <w:pPr>
              <w:ind w:left="20"/>
              <w:spacing w:after="0" w:line="190" w:lineRule="exact"/>
              <w:rPr>
                <w:rFonts w:ascii="Arial" w:cs="Arial" w:eastAsia="Arial" w:hAnsi="Arial"/>
                <w:sz w:val="18"/>
                <w:szCs w:val="18"/>
                <w:color w:val="0000FF"/>
                <w:w w:val="85"/>
              </w:rPr>
            </w:pPr>
            <w:hyperlink w:anchor="page132">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00" w:type="dxa"/>
            <w:vAlign w:val="bottom"/>
          </w:tcPr>
          <w:p>
            <w:pPr>
              <w:ind w:left="240"/>
              <w:spacing w:after="0" w:line="190" w:lineRule="exact"/>
              <w:rPr>
                <w:sz w:val="20"/>
                <w:szCs w:val="20"/>
                <w:color w:val="auto"/>
              </w:rPr>
            </w:pPr>
            <w:r>
              <w:rPr>
                <w:rFonts w:ascii="Arial" w:cs="Arial" w:eastAsia="Arial" w:hAnsi="Arial"/>
                <w:sz w:val="18"/>
                <w:szCs w:val="18"/>
                <w:color w:val="auto"/>
                <w:w w:val="97"/>
              </w:rPr>
              <w:t>Certification of Periodic Report by Chief Financial Officer under Section 302 of the Sarbanes-Oxley Act of 2002 (furnished</w:t>
            </w: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00" w:type="dxa"/>
            <w:vAlign w:val="bottom"/>
          </w:tcPr>
          <w:p>
            <w:pPr>
              <w:ind w:left="240"/>
              <w:spacing w:after="0" w:line="195" w:lineRule="exact"/>
              <w:rPr>
                <w:sz w:val="20"/>
                <w:szCs w:val="20"/>
                <w:color w:val="auto"/>
              </w:rPr>
            </w:pPr>
            <w:r>
              <w:rPr>
                <w:rFonts w:ascii="Arial" w:cs="Arial" w:eastAsia="Arial" w:hAnsi="Arial"/>
                <w:sz w:val="18"/>
                <w:szCs w:val="18"/>
                <w:color w:val="auto"/>
              </w:rPr>
              <w:t>herewith)</w:t>
            </w:r>
          </w:p>
        </w:tc>
      </w:tr>
      <w:tr>
        <w:trPr>
          <w:trHeight w:val="190"/>
        </w:trPr>
        <w:tc>
          <w:tcPr>
            <w:tcW w:w="340" w:type="dxa"/>
            <w:vAlign w:val="bottom"/>
            <w:gridSpan w:val="2"/>
          </w:tcPr>
          <w:p>
            <w:pPr>
              <w:ind w:left="20"/>
              <w:spacing w:after="0" w:line="190" w:lineRule="exact"/>
              <w:rPr>
                <w:rFonts w:ascii="Arial" w:cs="Arial" w:eastAsia="Arial" w:hAnsi="Arial"/>
                <w:sz w:val="18"/>
                <w:szCs w:val="18"/>
                <w:color w:val="0000FF"/>
                <w:w w:val="85"/>
              </w:rPr>
            </w:pPr>
            <w:hyperlink w:anchor="page133">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00" w:type="dxa"/>
            <w:vAlign w:val="bottom"/>
          </w:tcPr>
          <w:p>
            <w:pPr>
              <w:ind w:left="240"/>
              <w:spacing w:after="0" w:line="190" w:lineRule="exact"/>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w:t>
            </w: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00" w:type="dxa"/>
            <w:vAlign w:val="bottom"/>
          </w:tcPr>
          <w:p>
            <w:pPr>
              <w:ind w:left="240"/>
              <w:spacing w:after="0" w:line="195" w:lineRule="exact"/>
              <w:rPr>
                <w:sz w:val="20"/>
                <w:szCs w:val="20"/>
                <w:color w:val="auto"/>
              </w:rPr>
            </w:pPr>
            <w:r>
              <w:rPr>
                <w:rFonts w:ascii="Arial" w:cs="Arial" w:eastAsia="Arial" w:hAnsi="Arial"/>
                <w:sz w:val="18"/>
                <w:szCs w:val="18"/>
                <w:color w:val="auto"/>
              </w:rPr>
              <w:t>Oxley Act of 2002 (furnished herewith)</w:t>
            </w:r>
          </w:p>
        </w:tc>
      </w:tr>
      <w:tr>
        <w:trPr>
          <w:trHeight w:val="190"/>
        </w:trPr>
        <w:tc>
          <w:tcPr>
            <w:tcW w:w="340" w:type="dxa"/>
            <w:vAlign w:val="bottom"/>
            <w:gridSpan w:val="2"/>
          </w:tcPr>
          <w:p>
            <w:pPr>
              <w:ind w:left="20"/>
              <w:spacing w:after="0" w:line="190" w:lineRule="exact"/>
              <w:rPr>
                <w:rFonts w:ascii="Arial" w:cs="Arial" w:eastAsia="Arial" w:hAnsi="Arial"/>
                <w:sz w:val="18"/>
                <w:szCs w:val="18"/>
                <w:color w:val="0000FF"/>
                <w:w w:val="85"/>
              </w:rPr>
            </w:pPr>
            <w:hyperlink w:anchor="page134">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00" w:type="dxa"/>
            <w:vAlign w:val="bottom"/>
          </w:tcPr>
          <w:p>
            <w:pPr>
              <w:ind w:left="240"/>
              <w:spacing w:after="0" w:line="190" w:lineRule="exact"/>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w:t>
            </w: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700" w:type="dxa"/>
            <w:vAlign w:val="bottom"/>
          </w:tcPr>
          <w:p>
            <w:pPr>
              <w:ind w:left="240"/>
              <w:spacing w:after="0" w:line="195" w:lineRule="exact"/>
              <w:rPr>
                <w:sz w:val="20"/>
                <w:szCs w:val="20"/>
                <w:color w:val="auto"/>
              </w:rPr>
            </w:pPr>
            <w:r>
              <w:rPr>
                <w:rFonts w:ascii="Arial" w:cs="Arial" w:eastAsia="Arial" w:hAnsi="Arial"/>
                <w:sz w:val="18"/>
                <w:szCs w:val="18"/>
                <w:color w:val="auto"/>
              </w:rPr>
              <w:t>Oxley Act of 2002 (furnished herewith)</w:t>
            </w:r>
          </w:p>
        </w:tc>
      </w:tr>
      <w:tr>
        <w:trPr>
          <w:trHeight w:val="176"/>
        </w:trPr>
        <w:tc>
          <w:tcPr>
            <w:tcW w:w="20" w:type="dxa"/>
            <w:vAlign w:val="bottom"/>
          </w:tcPr>
          <w:p>
            <w:pPr>
              <w:spacing w:after="0"/>
              <w:rPr>
                <w:sz w:val="15"/>
                <w:szCs w:val="15"/>
                <w:color w:val="auto"/>
              </w:rPr>
            </w:pPr>
          </w:p>
        </w:tc>
        <w:tc>
          <w:tcPr>
            <w:tcW w:w="1500" w:type="dxa"/>
            <w:vAlign w:val="bottom"/>
            <w:gridSpan w:val="4"/>
          </w:tcPr>
          <w:p>
            <w:pPr>
              <w:spacing w:after="0" w:line="176" w:lineRule="exact"/>
              <w:rPr>
                <w:sz w:val="20"/>
                <w:szCs w:val="20"/>
                <w:color w:val="auto"/>
              </w:rPr>
            </w:pPr>
            <w:r>
              <w:rPr>
                <w:rFonts w:ascii="Arial" w:cs="Arial" w:eastAsia="Arial" w:hAnsi="Arial"/>
                <w:sz w:val="18"/>
                <w:szCs w:val="18"/>
                <w:color w:val="auto"/>
              </w:rPr>
              <w:t>101.INS</w:t>
            </w:r>
          </w:p>
        </w:tc>
        <w:tc>
          <w:tcPr>
            <w:tcW w:w="9700" w:type="dxa"/>
            <w:vAlign w:val="bottom"/>
          </w:tcPr>
          <w:p>
            <w:pPr>
              <w:ind w:left="240"/>
              <w:spacing w:after="0" w:line="176" w:lineRule="exact"/>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its XBRL tags are</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embedded within Inline XBRL document</w:t>
            </w:r>
          </w:p>
        </w:tc>
      </w:tr>
      <w:tr>
        <w:trPr>
          <w:trHeight w:val="229"/>
        </w:trPr>
        <w:tc>
          <w:tcPr>
            <w:tcW w:w="20" w:type="dxa"/>
            <w:vAlign w:val="bottom"/>
          </w:tcPr>
          <w:p>
            <w:pPr>
              <w:spacing w:after="0"/>
              <w:rPr>
                <w:sz w:val="19"/>
                <w:szCs w:val="19"/>
                <w:color w:val="auto"/>
              </w:rPr>
            </w:pPr>
          </w:p>
        </w:tc>
        <w:tc>
          <w:tcPr>
            <w:tcW w:w="150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700" w:type="dxa"/>
            <w:vAlign w:val="bottom"/>
          </w:tcPr>
          <w:p>
            <w:pPr>
              <w:ind w:left="240"/>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20" w:type="dxa"/>
            <w:vAlign w:val="bottom"/>
          </w:tcPr>
          <w:p>
            <w:pPr>
              <w:spacing w:after="0"/>
              <w:rPr>
                <w:sz w:val="19"/>
                <w:szCs w:val="19"/>
                <w:color w:val="auto"/>
              </w:rPr>
            </w:pPr>
          </w:p>
        </w:tc>
        <w:tc>
          <w:tcPr>
            <w:tcW w:w="15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9700" w:type="dxa"/>
            <w:vAlign w:val="bottom"/>
          </w:tcPr>
          <w:p>
            <w:pPr>
              <w:ind w:left="2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20" w:type="dxa"/>
            <w:vAlign w:val="bottom"/>
          </w:tcPr>
          <w:p>
            <w:pPr>
              <w:spacing w:after="0"/>
              <w:rPr>
                <w:sz w:val="19"/>
                <w:szCs w:val="19"/>
                <w:color w:val="auto"/>
              </w:rPr>
            </w:pPr>
          </w:p>
        </w:tc>
        <w:tc>
          <w:tcPr>
            <w:tcW w:w="1500" w:type="dxa"/>
            <w:vAlign w:val="bottom"/>
            <w:gridSpan w:val="4"/>
          </w:tcPr>
          <w:p>
            <w:pPr>
              <w:spacing w:after="0"/>
              <w:rPr>
                <w:sz w:val="20"/>
                <w:szCs w:val="20"/>
                <w:color w:val="auto"/>
              </w:rPr>
            </w:pPr>
            <w:r>
              <w:rPr>
                <w:rFonts w:ascii="Arial" w:cs="Arial" w:eastAsia="Arial" w:hAnsi="Arial"/>
                <w:sz w:val="18"/>
                <w:szCs w:val="18"/>
                <w:color w:val="auto"/>
              </w:rPr>
              <w:t>101.DEF</w:t>
            </w:r>
          </w:p>
        </w:tc>
        <w:tc>
          <w:tcPr>
            <w:tcW w:w="9700" w:type="dxa"/>
            <w:vAlign w:val="bottom"/>
          </w:tcPr>
          <w:p>
            <w:pPr>
              <w:ind w:left="2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20" w:type="dxa"/>
            <w:vAlign w:val="bottom"/>
          </w:tcPr>
          <w:p>
            <w:pPr>
              <w:spacing w:after="0"/>
              <w:rPr>
                <w:sz w:val="19"/>
                <w:szCs w:val="19"/>
                <w:color w:val="auto"/>
              </w:rPr>
            </w:pPr>
          </w:p>
        </w:tc>
        <w:tc>
          <w:tcPr>
            <w:tcW w:w="15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9700" w:type="dxa"/>
            <w:vAlign w:val="bottom"/>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9"/>
        </w:trPr>
        <w:tc>
          <w:tcPr>
            <w:tcW w:w="20" w:type="dxa"/>
            <w:vAlign w:val="bottom"/>
          </w:tcPr>
          <w:p>
            <w:pPr>
              <w:spacing w:after="0"/>
              <w:rPr>
                <w:sz w:val="19"/>
                <w:szCs w:val="19"/>
                <w:color w:val="auto"/>
              </w:rPr>
            </w:pPr>
          </w:p>
        </w:tc>
        <w:tc>
          <w:tcPr>
            <w:tcW w:w="1500" w:type="dxa"/>
            <w:vAlign w:val="bottom"/>
            <w:gridSpan w:val="4"/>
          </w:tcPr>
          <w:p>
            <w:pPr>
              <w:spacing w:after="0"/>
              <w:rPr>
                <w:sz w:val="20"/>
                <w:szCs w:val="20"/>
                <w:color w:val="auto"/>
              </w:rPr>
            </w:pPr>
            <w:r>
              <w:rPr>
                <w:rFonts w:ascii="Arial" w:cs="Arial" w:eastAsia="Arial" w:hAnsi="Arial"/>
                <w:sz w:val="18"/>
                <w:szCs w:val="18"/>
                <w:color w:val="auto"/>
              </w:rPr>
              <w:t>101.PRE</w:t>
            </w:r>
          </w:p>
        </w:tc>
        <w:tc>
          <w:tcPr>
            <w:tcW w:w="970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176"/>
        </w:trPr>
        <w:tc>
          <w:tcPr>
            <w:tcW w:w="3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104</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700" w:type="dxa"/>
            <w:vAlign w:val="bottom"/>
          </w:tcPr>
          <w:p>
            <w:pPr>
              <w:ind w:left="240"/>
              <w:spacing w:after="0" w:line="176" w:lineRule="exact"/>
              <w:rPr>
                <w:sz w:val="20"/>
                <w:szCs w:val="20"/>
                <w:color w:val="auto"/>
              </w:rPr>
            </w:pPr>
            <w:r>
              <w:rPr>
                <w:rFonts w:ascii="Arial" w:cs="Arial" w:eastAsia="Arial" w:hAnsi="Arial"/>
                <w:sz w:val="18"/>
                <w:szCs w:val="18"/>
                <w:color w:val="auto"/>
                <w:w w:val="94"/>
              </w:rPr>
              <w:t>The cover page of the Company’s Annual Report on Form 10-K for the year ended January 1, 2022, formatted in Inline XBRL</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ind w:left="240"/>
              <w:spacing w:after="0"/>
              <w:rPr>
                <w:sz w:val="20"/>
                <w:szCs w:val="20"/>
                <w:color w:val="auto"/>
              </w:rPr>
            </w:pPr>
            <w:r>
              <w:rPr>
                <w:rFonts w:ascii="Arial" w:cs="Arial" w:eastAsia="Arial" w:hAnsi="Arial"/>
                <w:sz w:val="18"/>
                <w:szCs w:val="18"/>
                <w:color w:val="auto"/>
              </w:rPr>
              <w:t>(included within the Exhibit 101 attachments)</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80"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4"/>
          <w:szCs w:val="14"/>
          <w:color w:val="auto"/>
        </w:rPr>
        <w:t>Identifies exhibits that consist of a management contract or compensatory plan or arrangement.</w:t>
      </w:r>
    </w:p>
    <w:p>
      <w:pPr>
        <w:spacing w:after="0" w:line="7" w:lineRule="exact"/>
        <w:rPr>
          <w:sz w:val="20"/>
          <w:szCs w:val="20"/>
          <w:color w:val="auto"/>
        </w:rPr>
      </w:pPr>
    </w:p>
    <w:p>
      <w:pPr>
        <w:ind w:left="180" w:right="640" w:hanging="172"/>
        <w:spacing w:after="0" w:line="239" w:lineRule="auto"/>
        <w:tabs>
          <w:tab w:leader="none" w:pos="270" w:val="left"/>
        </w:tabs>
        <w:numPr>
          <w:ilvl w:val="0"/>
          <w:numId w:val="51"/>
        </w:numPr>
        <w:rPr>
          <w:rFonts w:ascii="Arial" w:cs="Arial" w:eastAsia="Arial" w:hAnsi="Arial"/>
          <w:sz w:val="16"/>
          <w:szCs w:val="16"/>
          <w:color w:val="auto"/>
        </w:rPr>
      </w:pPr>
      <w:r>
        <w:rPr>
          <w:rFonts w:ascii="Arial" w:cs="Arial" w:eastAsia="Arial" w:hAnsi="Arial"/>
          <w:sz w:val="14"/>
          <w:szCs w:val="14"/>
          <w:color w:val="auto"/>
        </w:rPr>
        <w:t>Confidential treatment has been requested with respect to certain portions of identified exhibits. Omitted portions have been filed separately with the Securities and Exchange Commission.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0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(Registrant)</w:t>
      </w:r>
    </w:p>
    <w:p>
      <w:pPr>
        <w:spacing w:after="0" w:line="251" w:lineRule="exact"/>
        <w:rPr>
          <w:sz w:val="20"/>
          <w:szCs w:val="20"/>
          <w:color w:val="auto"/>
        </w:rPr>
      </w:pPr>
    </w:p>
    <w:p>
      <w:pPr>
        <w:ind w:left="53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575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2"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L. Reade Fahs</w:t>
      </w:r>
    </w:p>
    <w:p>
      <w:pPr>
        <w:spacing w:after="0" w:line="27"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6100"/>
        <w:spacing w:after="0"/>
        <w:rPr>
          <w:sz w:val="20"/>
          <w:szCs w:val="20"/>
          <w:color w:val="auto"/>
        </w:rPr>
      </w:pPr>
      <w:r>
        <w:rPr>
          <w:rFonts w:ascii="Arial" w:cs="Arial" w:eastAsia="Arial" w:hAnsi="Arial"/>
          <w:sz w:val="18"/>
          <w:szCs w:val="18"/>
          <w:i w:val="1"/>
          <w:iCs w:val="1"/>
          <w:color w:val="auto"/>
        </w:rPr>
        <w:t>(Principal Executive Officer)</w:t>
      </w:r>
    </w:p>
    <w:p>
      <w:pPr>
        <w:spacing w:after="0" w:line="251" w:lineRule="exact"/>
        <w:rPr>
          <w:sz w:val="20"/>
          <w:szCs w:val="20"/>
          <w:color w:val="auto"/>
        </w:rPr>
      </w:pPr>
    </w:p>
    <w:p>
      <w:pPr>
        <w:ind w:left="5340"/>
        <w:spacing w:after="0"/>
        <w:tabs>
          <w:tab w:leader="none" w:pos="6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28, 2022</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ind w:left="1620"/>
              <w:spacing w:after="0"/>
              <w:rPr>
                <w:sz w:val="20"/>
                <w:szCs w:val="20"/>
                <w:color w:val="auto"/>
              </w:rPr>
            </w:pPr>
            <w:r>
              <w:rPr>
                <w:rFonts w:ascii="Arial" w:cs="Arial" w:eastAsia="Arial" w:hAnsi="Arial"/>
                <w:sz w:val="18"/>
                <w:szCs w:val="18"/>
                <w:b w:val="1"/>
                <w:bCs w:val="1"/>
                <w:color w:val="auto"/>
              </w:rPr>
              <w:t>Signature</w:t>
            </w:r>
          </w:p>
        </w:tc>
        <w:tc>
          <w:tcPr>
            <w:tcW w:w="4680" w:type="dxa"/>
            <w:vAlign w:val="bottom"/>
          </w:tcPr>
          <w:p>
            <w:pPr>
              <w:ind w:left="2500"/>
              <w:spacing w:after="0"/>
              <w:rPr>
                <w:sz w:val="20"/>
                <w:szCs w:val="20"/>
                <w:color w:val="auto"/>
              </w:rPr>
            </w:pPr>
            <w:r>
              <w:rPr>
                <w:rFonts w:ascii="Arial" w:cs="Arial" w:eastAsia="Arial" w:hAnsi="Arial"/>
                <w:sz w:val="18"/>
                <w:szCs w:val="18"/>
                <w:b w:val="1"/>
                <w:bCs w:val="1"/>
                <w:color w:val="auto"/>
              </w:rPr>
              <w:t>Title</w:t>
            </w:r>
          </w:p>
        </w:tc>
        <w:tc>
          <w:tcPr>
            <w:tcW w:w="2300" w:type="dxa"/>
            <w:vAlign w:val="bottom"/>
          </w:tcPr>
          <w:p>
            <w:pPr>
              <w:jc w:val="center"/>
              <w:ind w:left="850"/>
              <w:spacing w:after="0"/>
              <w:rPr>
                <w:sz w:val="20"/>
                <w:szCs w:val="20"/>
                <w:color w:val="auto"/>
              </w:rPr>
            </w:pPr>
            <w:r>
              <w:rPr>
                <w:rFonts w:ascii="Arial" w:cs="Arial" w:eastAsia="Arial" w:hAnsi="Arial"/>
                <w:sz w:val="18"/>
                <w:szCs w:val="18"/>
                <w:b w:val="1"/>
                <w:bCs w:val="1"/>
                <w:color w:val="auto"/>
                <w:w w:val="92"/>
              </w:rPr>
              <w:t>Date</w:t>
            </w:r>
          </w:p>
        </w:tc>
      </w:tr>
      <w:tr>
        <w:trPr>
          <w:trHeight w:val="486"/>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 Reade Fahs</w:t>
            </w:r>
          </w:p>
        </w:tc>
        <w:tc>
          <w:tcPr>
            <w:tcW w:w="4680" w:type="dxa"/>
            <w:vAlign w:val="bottom"/>
          </w:tcPr>
          <w:p>
            <w:pPr>
              <w:ind w:left="220"/>
              <w:spacing w:after="0"/>
              <w:rPr>
                <w:sz w:val="20"/>
                <w:szCs w:val="20"/>
                <w:color w:val="auto"/>
              </w:rPr>
            </w:pPr>
            <w:r>
              <w:rPr>
                <w:rFonts w:ascii="Arial" w:cs="Arial" w:eastAsia="Arial" w:hAnsi="Arial"/>
                <w:sz w:val="18"/>
                <w:szCs w:val="18"/>
                <w:color w:val="auto"/>
              </w:rPr>
              <w:t>Chief Executive Officer and Director</w:t>
            </w:r>
          </w:p>
        </w:tc>
        <w:tc>
          <w:tcPr>
            <w:tcW w:w="2300" w:type="dxa"/>
            <w:vAlign w:val="bottom"/>
          </w:tcPr>
          <w:p>
            <w:pPr>
              <w:jc w:val="center"/>
              <w:ind w:left="870"/>
              <w:spacing w:after="0"/>
              <w:rPr>
                <w:sz w:val="20"/>
                <w:szCs w:val="20"/>
                <w:color w:val="auto"/>
              </w:rPr>
            </w:pPr>
            <w:r>
              <w:rPr>
                <w:rFonts w:ascii="Arial" w:cs="Arial" w:eastAsia="Arial" w:hAnsi="Arial"/>
                <w:sz w:val="18"/>
                <w:szCs w:val="18"/>
                <w:color w:val="auto"/>
                <w:w w:val="91"/>
              </w:rPr>
              <w:t>February 28, 2022</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L. Reade Fahs</w:t>
            </w:r>
          </w:p>
        </w:tc>
        <w:tc>
          <w:tcPr>
            <w:tcW w:w="4680" w:type="dxa"/>
            <w:vAlign w:val="bottom"/>
          </w:tcPr>
          <w:p>
            <w:pPr>
              <w:ind w:left="220"/>
              <w:spacing w:after="0"/>
              <w:rPr>
                <w:sz w:val="20"/>
                <w:szCs w:val="20"/>
                <w:color w:val="auto"/>
              </w:rPr>
            </w:pPr>
            <w:r>
              <w:rPr>
                <w:rFonts w:ascii="Arial" w:cs="Arial" w:eastAsia="Arial" w:hAnsi="Arial"/>
                <w:sz w:val="18"/>
                <w:szCs w:val="18"/>
                <w:i w:val="1"/>
                <w:iCs w:val="1"/>
                <w:color w:val="auto"/>
              </w:rPr>
              <w:t>(Principal Executive Officer)</w:t>
            </w:r>
          </w:p>
        </w:tc>
        <w:tc>
          <w:tcPr>
            <w:tcW w:w="230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R. Moore</w:t>
            </w:r>
          </w:p>
        </w:tc>
        <w:tc>
          <w:tcPr>
            <w:tcW w:w="4680" w:type="dxa"/>
            <w:vAlign w:val="bottom"/>
          </w:tcPr>
          <w:p>
            <w:pPr>
              <w:ind w:left="220"/>
              <w:spacing w:after="0"/>
              <w:rPr>
                <w:sz w:val="20"/>
                <w:szCs w:val="20"/>
                <w:color w:val="auto"/>
              </w:rPr>
            </w:pPr>
            <w:r>
              <w:rPr>
                <w:rFonts w:ascii="Arial" w:cs="Arial" w:eastAsia="Arial" w:hAnsi="Arial"/>
                <w:sz w:val="18"/>
                <w:szCs w:val="18"/>
                <w:color w:val="auto"/>
              </w:rPr>
              <w:t>Senior Vice President, Chief Financial Officer</w:t>
            </w:r>
          </w:p>
        </w:tc>
        <w:tc>
          <w:tcPr>
            <w:tcW w:w="2300" w:type="dxa"/>
            <w:vAlign w:val="bottom"/>
          </w:tcPr>
          <w:p>
            <w:pPr>
              <w:jc w:val="center"/>
              <w:ind w:left="870"/>
              <w:spacing w:after="0"/>
              <w:rPr>
                <w:sz w:val="20"/>
                <w:szCs w:val="20"/>
                <w:color w:val="auto"/>
              </w:rPr>
            </w:pPr>
            <w:r>
              <w:rPr>
                <w:rFonts w:ascii="Arial" w:cs="Arial" w:eastAsia="Arial" w:hAnsi="Arial"/>
                <w:sz w:val="18"/>
                <w:szCs w:val="18"/>
                <w:color w:val="auto"/>
                <w:w w:val="91"/>
              </w:rPr>
              <w:t>February 28, 2022</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Patrick R. Moore</w:t>
            </w:r>
          </w:p>
        </w:tc>
        <w:tc>
          <w:tcPr>
            <w:tcW w:w="4680" w:type="dxa"/>
            <w:vAlign w:val="bottom"/>
          </w:tcPr>
          <w:p>
            <w:pPr>
              <w:ind w:left="220"/>
              <w:spacing w:after="0"/>
              <w:rPr>
                <w:sz w:val="20"/>
                <w:szCs w:val="20"/>
                <w:color w:val="auto"/>
              </w:rPr>
            </w:pPr>
            <w:r>
              <w:rPr>
                <w:rFonts w:ascii="Arial" w:cs="Arial" w:eastAsia="Arial" w:hAnsi="Arial"/>
                <w:sz w:val="18"/>
                <w:szCs w:val="18"/>
                <w:i w:val="1"/>
                <w:iCs w:val="1"/>
                <w:color w:val="auto"/>
              </w:rPr>
              <w:t>(Principal Financial Officer)</w:t>
            </w:r>
          </w:p>
        </w:tc>
        <w:tc>
          <w:tcPr>
            <w:tcW w:w="230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Melissa Rasmussen</w:t>
            </w:r>
          </w:p>
        </w:tc>
        <w:tc>
          <w:tcPr>
            <w:tcW w:w="4680" w:type="dxa"/>
            <w:vAlign w:val="bottom"/>
          </w:tcPr>
          <w:p>
            <w:pPr>
              <w:ind w:left="220"/>
              <w:spacing w:after="0"/>
              <w:rPr>
                <w:sz w:val="20"/>
                <w:szCs w:val="20"/>
                <w:color w:val="auto"/>
              </w:rPr>
            </w:pPr>
            <w:r>
              <w:rPr>
                <w:rFonts w:ascii="Arial" w:cs="Arial" w:eastAsia="Arial" w:hAnsi="Arial"/>
                <w:sz w:val="18"/>
                <w:szCs w:val="18"/>
                <w:color w:val="auto"/>
              </w:rPr>
              <w:t>Senior Vice President, Chief Accounting Officer</w:t>
            </w:r>
          </w:p>
        </w:tc>
        <w:tc>
          <w:tcPr>
            <w:tcW w:w="2300" w:type="dxa"/>
            <w:vAlign w:val="bottom"/>
          </w:tcPr>
          <w:p>
            <w:pPr>
              <w:jc w:val="center"/>
              <w:ind w:left="870"/>
              <w:spacing w:after="0"/>
              <w:rPr>
                <w:sz w:val="20"/>
                <w:szCs w:val="20"/>
                <w:color w:val="auto"/>
              </w:rPr>
            </w:pPr>
            <w:r>
              <w:rPr>
                <w:rFonts w:ascii="Arial" w:cs="Arial" w:eastAsia="Arial" w:hAnsi="Arial"/>
                <w:sz w:val="18"/>
                <w:szCs w:val="18"/>
                <w:color w:val="auto"/>
                <w:w w:val="91"/>
              </w:rPr>
              <w:t>February 28, 2022</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Melissa Rasmussen</w:t>
            </w:r>
          </w:p>
        </w:tc>
        <w:tc>
          <w:tcPr>
            <w:tcW w:w="4680" w:type="dxa"/>
            <w:vAlign w:val="bottom"/>
          </w:tcPr>
          <w:p>
            <w:pPr>
              <w:ind w:left="220"/>
              <w:spacing w:after="0"/>
              <w:rPr>
                <w:sz w:val="20"/>
                <w:szCs w:val="20"/>
                <w:color w:val="auto"/>
              </w:rPr>
            </w:pPr>
            <w:r>
              <w:rPr>
                <w:rFonts w:ascii="Arial" w:cs="Arial" w:eastAsia="Arial" w:hAnsi="Arial"/>
                <w:sz w:val="18"/>
                <w:szCs w:val="18"/>
                <w:i w:val="1"/>
                <w:iCs w:val="1"/>
                <w:color w:val="auto"/>
              </w:rPr>
              <w:t>(Principal Accounting Officer)</w:t>
            </w:r>
          </w:p>
        </w:tc>
        <w:tc>
          <w:tcPr>
            <w:tcW w:w="230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 Armario</w:t>
            </w:r>
          </w:p>
        </w:tc>
        <w:tc>
          <w:tcPr>
            <w:tcW w:w="46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ind w:left="870"/>
              <w:spacing w:after="0"/>
              <w:rPr>
                <w:sz w:val="20"/>
                <w:szCs w:val="20"/>
                <w:color w:val="auto"/>
              </w:rPr>
            </w:pPr>
            <w:r>
              <w:rPr>
                <w:rFonts w:ascii="Arial" w:cs="Arial" w:eastAsia="Arial" w:hAnsi="Arial"/>
                <w:sz w:val="18"/>
                <w:szCs w:val="18"/>
                <w:color w:val="auto"/>
                <w:w w:val="91"/>
              </w:rPr>
              <w:t>February 28, 2022</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Jose Armario</w:t>
            </w:r>
          </w:p>
        </w:tc>
        <w:tc>
          <w:tcPr>
            <w:tcW w:w="46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Heather R. Cianfrocco</w:t>
            </w:r>
          </w:p>
        </w:tc>
        <w:tc>
          <w:tcPr>
            <w:tcW w:w="46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ind w:left="870"/>
              <w:spacing w:after="0"/>
              <w:rPr>
                <w:sz w:val="20"/>
                <w:szCs w:val="20"/>
                <w:color w:val="auto"/>
              </w:rPr>
            </w:pPr>
            <w:r>
              <w:rPr>
                <w:rFonts w:ascii="Arial" w:cs="Arial" w:eastAsia="Arial" w:hAnsi="Arial"/>
                <w:sz w:val="18"/>
                <w:szCs w:val="18"/>
                <w:color w:val="auto"/>
                <w:w w:val="91"/>
              </w:rPr>
              <w:t>February 28, 2022</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Heather R. Cianfrocco</w:t>
            </w:r>
          </w:p>
        </w:tc>
        <w:tc>
          <w:tcPr>
            <w:tcW w:w="46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Virginia A. Hepner</w:t>
            </w:r>
          </w:p>
        </w:tc>
        <w:tc>
          <w:tcPr>
            <w:tcW w:w="46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ind w:left="870"/>
              <w:spacing w:after="0"/>
              <w:rPr>
                <w:sz w:val="20"/>
                <w:szCs w:val="20"/>
                <w:color w:val="auto"/>
              </w:rPr>
            </w:pPr>
            <w:r>
              <w:rPr>
                <w:rFonts w:ascii="Arial" w:cs="Arial" w:eastAsia="Arial" w:hAnsi="Arial"/>
                <w:sz w:val="18"/>
                <w:szCs w:val="18"/>
                <w:color w:val="auto"/>
                <w:w w:val="91"/>
              </w:rPr>
              <w:t>February 28, 2022</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Virginia A. Hepner</w:t>
            </w:r>
          </w:p>
        </w:tc>
        <w:tc>
          <w:tcPr>
            <w:tcW w:w="46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Susan S. Johnson</w:t>
            </w:r>
          </w:p>
        </w:tc>
        <w:tc>
          <w:tcPr>
            <w:tcW w:w="46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ind w:left="870"/>
              <w:spacing w:after="0"/>
              <w:rPr>
                <w:sz w:val="20"/>
                <w:szCs w:val="20"/>
                <w:color w:val="auto"/>
              </w:rPr>
            </w:pPr>
            <w:r>
              <w:rPr>
                <w:rFonts w:ascii="Arial" w:cs="Arial" w:eastAsia="Arial" w:hAnsi="Arial"/>
                <w:sz w:val="18"/>
                <w:szCs w:val="18"/>
                <w:color w:val="auto"/>
                <w:w w:val="91"/>
              </w:rPr>
              <w:t>February 28, 2022</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Susan S. Johnson</w:t>
            </w:r>
          </w:p>
        </w:tc>
        <w:tc>
          <w:tcPr>
            <w:tcW w:w="46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Naomi Kelman</w:t>
            </w:r>
          </w:p>
        </w:tc>
        <w:tc>
          <w:tcPr>
            <w:tcW w:w="46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ind w:left="870"/>
              <w:spacing w:after="0"/>
              <w:rPr>
                <w:sz w:val="20"/>
                <w:szCs w:val="20"/>
                <w:color w:val="auto"/>
              </w:rPr>
            </w:pPr>
            <w:r>
              <w:rPr>
                <w:rFonts w:ascii="Arial" w:cs="Arial" w:eastAsia="Arial" w:hAnsi="Arial"/>
                <w:sz w:val="18"/>
                <w:szCs w:val="18"/>
                <w:color w:val="auto"/>
                <w:w w:val="91"/>
              </w:rPr>
              <w:t>February 28, 2022</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Naomi Kelman</w:t>
            </w:r>
          </w:p>
        </w:tc>
        <w:tc>
          <w:tcPr>
            <w:tcW w:w="46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 Randolph Peeler</w:t>
            </w:r>
          </w:p>
        </w:tc>
        <w:tc>
          <w:tcPr>
            <w:tcW w:w="4680" w:type="dxa"/>
            <w:vAlign w:val="bottom"/>
          </w:tcPr>
          <w:p>
            <w:pPr>
              <w:ind w:left="220"/>
              <w:spacing w:after="0"/>
              <w:rPr>
                <w:sz w:val="20"/>
                <w:szCs w:val="20"/>
                <w:color w:val="auto"/>
              </w:rPr>
            </w:pPr>
            <w:r>
              <w:rPr>
                <w:rFonts w:ascii="Arial" w:cs="Arial" w:eastAsia="Arial" w:hAnsi="Arial"/>
                <w:sz w:val="18"/>
                <w:szCs w:val="18"/>
                <w:color w:val="auto"/>
              </w:rPr>
              <w:t>Chairman and Director</w:t>
            </w:r>
          </w:p>
        </w:tc>
        <w:tc>
          <w:tcPr>
            <w:tcW w:w="2300" w:type="dxa"/>
            <w:vAlign w:val="bottom"/>
          </w:tcPr>
          <w:p>
            <w:pPr>
              <w:jc w:val="center"/>
              <w:ind w:left="870"/>
              <w:spacing w:after="0"/>
              <w:rPr>
                <w:sz w:val="20"/>
                <w:szCs w:val="20"/>
                <w:color w:val="auto"/>
              </w:rPr>
            </w:pPr>
            <w:r>
              <w:rPr>
                <w:rFonts w:ascii="Arial" w:cs="Arial" w:eastAsia="Arial" w:hAnsi="Arial"/>
                <w:sz w:val="18"/>
                <w:szCs w:val="18"/>
                <w:color w:val="auto"/>
                <w:w w:val="91"/>
              </w:rPr>
              <w:t>February 28, 2022</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D. Randolph Peeler</w:t>
            </w:r>
          </w:p>
        </w:tc>
        <w:tc>
          <w:tcPr>
            <w:tcW w:w="46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V. Taylor, Jr.</w:t>
            </w:r>
          </w:p>
        </w:tc>
        <w:tc>
          <w:tcPr>
            <w:tcW w:w="46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ind w:left="870"/>
              <w:spacing w:after="0"/>
              <w:rPr>
                <w:sz w:val="20"/>
                <w:szCs w:val="20"/>
                <w:color w:val="auto"/>
              </w:rPr>
            </w:pPr>
            <w:r>
              <w:rPr>
                <w:rFonts w:ascii="Arial" w:cs="Arial" w:eastAsia="Arial" w:hAnsi="Arial"/>
                <w:sz w:val="18"/>
                <w:szCs w:val="18"/>
                <w:color w:val="auto"/>
                <w:w w:val="91"/>
              </w:rPr>
              <w:t>February 28, 2022</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Thomas V. Taylor, Jr.</w:t>
            </w:r>
          </w:p>
        </w:tc>
        <w:tc>
          <w:tcPr>
            <w:tcW w:w="46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99"/>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M. Tehle</w:t>
            </w:r>
          </w:p>
        </w:tc>
        <w:tc>
          <w:tcPr>
            <w:tcW w:w="46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300" w:type="dxa"/>
            <w:vAlign w:val="bottom"/>
          </w:tcPr>
          <w:p>
            <w:pPr>
              <w:jc w:val="center"/>
              <w:ind w:left="870"/>
              <w:spacing w:after="0"/>
              <w:rPr>
                <w:sz w:val="20"/>
                <w:szCs w:val="20"/>
                <w:color w:val="auto"/>
              </w:rPr>
            </w:pPr>
            <w:r>
              <w:rPr>
                <w:rFonts w:ascii="Arial" w:cs="Arial" w:eastAsia="Arial" w:hAnsi="Arial"/>
                <w:sz w:val="18"/>
                <w:szCs w:val="18"/>
                <w:color w:val="auto"/>
                <w:w w:val="91"/>
              </w:rPr>
              <w:t>February 28, 2022</w:t>
            </w:r>
          </w:p>
        </w:tc>
      </w:tr>
      <w:tr>
        <w:trPr>
          <w:trHeight w:val="224"/>
        </w:trPr>
        <w:tc>
          <w:tcPr>
            <w:tcW w:w="3960" w:type="dxa"/>
            <w:vAlign w:val="bottom"/>
          </w:tcPr>
          <w:p>
            <w:pPr>
              <w:ind w:left="20"/>
              <w:spacing w:after="0"/>
              <w:rPr>
                <w:sz w:val="20"/>
                <w:szCs w:val="20"/>
                <w:color w:val="auto"/>
              </w:rPr>
            </w:pPr>
            <w:r>
              <w:rPr>
                <w:rFonts w:ascii="Arial" w:cs="Arial" w:eastAsia="Arial" w:hAnsi="Arial"/>
                <w:sz w:val="18"/>
                <w:szCs w:val="18"/>
                <w:color w:val="auto"/>
              </w:rPr>
              <w:t>David M. Tehle</w:t>
            </w:r>
          </w:p>
        </w:tc>
        <w:tc>
          <w:tcPr>
            <w:tcW w:w="4680" w:type="dxa"/>
            <w:vAlign w:val="bottom"/>
          </w:tcPr>
          <w:p>
            <w:pPr>
              <w:spacing w:after="0"/>
              <w:rPr>
                <w:sz w:val="19"/>
                <w:szCs w:val="19"/>
                <w:color w:val="auto"/>
              </w:rPr>
            </w:pPr>
          </w:p>
        </w:tc>
        <w:tc>
          <w:tcPr>
            <w:tcW w:w="23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240"/>
          </w:cols>
          <w:pgMar w:left="320" w:top="125" w:right="339" w:bottom="1440" w:gutter="0" w:footer="0" w:header="0"/>
          <w:type w:val="continuous"/>
        </w:sectPr>
      </w:pPr>
    </w:p>
    <w:bookmarkStart w:id="123" w:name="page124"/>
    <w:bookmarkEnd w:id="123"/>
    <w:p>
      <w:pPr>
        <w:jc w:val="right"/>
        <w:spacing w:after="0"/>
        <w:rPr>
          <w:sz w:val="20"/>
          <w:szCs w:val="20"/>
          <w:color w:val="auto"/>
        </w:rPr>
      </w:pPr>
      <w:r>
        <w:rPr>
          <w:rFonts w:ascii="Arial" w:cs="Arial" w:eastAsia="Arial" w:hAnsi="Arial"/>
          <w:sz w:val="20"/>
          <w:szCs w:val="20"/>
          <w:color w:val="auto"/>
        </w:rPr>
        <w:t>Exhibit 4.1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references below to “National Vision Holdings, Inc.,” “National Vision,” the “Company,” “we,” “our” or “us” refer to National Vision Holdings, Inc., a Delaware corporation, and not to its subsidiaries. As of January 1, 2022, National Vision had one class of securities registered under Section 12 of the Securities Exchange Act of 1934, as amended: common stock, par value $0.01 per share.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Third Amended and Restated Certificate of Incorporation, as amended (our “certificate of incorporation”) and our Third Amended and Restated Bylaws (our “bylaws”), which are each incorporated by reference as an exhibit to the Annual Report on Form 10-K of which this Exhibit is a part. We encourage you to read our certificate of incorporation and bylaws, and the applicable provisions of the Delaware General Corporation Law (“DGCL”)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authorized capital stock consists of 200,000,000 shares of common stock, par value $0.01 per share, and 50,000,000 shares of preferred stock, par value $0.01 per share.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certificate of incorporation authorizes our board of directors (the “Board of Directors”) to establish one or more series of preferred stock (including convertible preferred stock). Unless required by law or by NASDAQ, the authorized shares of preferred stock will be available for issuance without further action by shareholders. Our Board of Directors is able to determine, with respect to any series of preferred stock, the terms and rights of that series. As of January 1, 2022, there were no outstanding series of preferred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Voting and Other Rights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Holders of our common stock are entitled to one vote for each share held of record on all matters on which stockholders are entitled to vote generally, including the election or removal of directors, subject to certain limitations. For example, except as required by law, holders of our common stock are not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our certificate of incorporation or pursuant to the DGCL. The holders of our common stock do not have cumulative voting rights in the election of directors. Upon our liquidation, dissolution or winding up or the sale of all or substantially all of our assets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is not subject to further calls or assessment by us. There are no redemption or sinking fund provisions applicable to the common stock. The rights, powers, preferences and privileges of holders of our common stock will be subject to those of the holders of any shares of our preferred stock we may authorize and issue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2" w:right="339" w:bottom="1440" w:gutter="0" w:footer="0" w:header="0"/>
        </w:sectPr>
      </w:pPr>
    </w:p>
    <w:bookmarkStart w:id="124" w:name="page125"/>
    <w:bookmarkEnd w:id="124"/>
    <w:p>
      <w:pPr>
        <w:jc w:val="both"/>
        <w:spacing w:after="0" w:line="275" w:lineRule="auto"/>
        <w:rPr>
          <w:sz w:val="20"/>
          <w:szCs w:val="20"/>
          <w:color w:val="auto"/>
        </w:rPr>
      </w:pPr>
      <w:r>
        <w:rPr>
          <w:rFonts w:ascii="Arial" w:cs="Arial" w:eastAsia="Arial" w:hAnsi="Arial"/>
          <w:sz w:val="17"/>
          <w:szCs w:val="17"/>
          <w:color w:val="auto"/>
        </w:rPr>
        <w:t>Declaration and payment of any dividend will be subject to the discretion of our Board of Directors and the rights, if any, of the holders of any outstanding series of preferred stock or any class or series of stock having a preference over or the right to participate with the common stock with respect to the payment of dividends.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 and Certain Provisions of Delaware Law</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our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Board of Directors and our management and possibly deprive our stockholders of opportunities to sell their shares of common stock at prices higher than prevailing market prices.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Classification of our Board of Directors; Size of Our Board of Directors</w:t>
      </w:r>
    </w:p>
    <w:p>
      <w:pPr>
        <w:spacing w:after="0" w:line="25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certificate of incorporation provides that, prior to the 2024 annual meeting of stockholders, our Board of Directors will be divided into three classes of directors, with the classes to be as nearly equal in number as possible. Each director elected at the 2021 annual meeting of stockholders has been elected to a three-year term expiring at the 2024 annual meeting of stockholders. Commencing with the 2022 annual meeting of stockholders, directors of the class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whose term ends at such annual meeting shall thereafter be elected for a one-year term expiring at the next annual meeting of stockholders. Beginning at the 2024 annual meeting of stockholders, all directors will be elected to one-year terms expiring at the next annual meeting of stockholders. Directors appointed to our Board of Directors before the 2024 annual meeting of stockholders will serve until the next election of the class into which such director shall have been placed. Similarly, any director elected or appointed to fill a vacancy opened by the departure of a director serving a classified term will serve the remainder of the departed director’s term.</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at the 2022 annual meeting of stockholders, the Class II directors or such directors’ successors will be elected for a term expiring at the 2023 annual meeting of stockholders. At the 2023 annual meeting of stockholders, the Class II and III directors or such directors’ successors will be elected to a one-year term expiring at the 2024 annual meeting of stockholders. At the 2024 annual meeting of stockholders, all directors will be elected to a one-year term expiring at the 2025 annual meeting of stockholders.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5" w:right="339" w:bottom="1440" w:gutter="0" w:footer="0" w:header="0"/>
        </w:sectPr>
      </w:pPr>
    </w:p>
    <w:bookmarkStart w:id="125" w:name="page126"/>
    <w:bookmarkEnd w:id="125"/>
    <w:p>
      <w:pPr>
        <w:jc w:val="both"/>
        <w:spacing w:after="0" w:line="308" w:lineRule="auto"/>
        <w:rPr>
          <w:sz w:val="20"/>
          <w:szCs w:val="20"/>
          <w:color w:val="auto"/>
        </w:rPr>
      </w:pPr>
      <w:r>
        <w:rPr>
          <w:rFonts w:ascii="Arial" w:cs="Arial" w:eastAsia="Arial" w:hAnsi="Arial"/>
          <w:sz w:val="17"/>
          <w:szCs w:val="17"/>
          <w:color w:val="auto"/>
        </w:rPr>
        <w:t>Our certificate of incorporation and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classification of our Board of Directors (until the 2024 annual meeting of stockholders) may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211" w:lineRule="exact"/>
        <w:rPr>
          <w:sz w:val="20"/>
          <w:szCs w:val="20"/>
          <w:color w:val="auto"/>
        </w:rPr>
      </w:pPr>
    </w:p>
    <w:p>
      <w:pPr>
        <w:ind w:left="660" w:hanging="328"/>
        <w:spacing w:after="0" w:line="258" w:lineRule="auto"/>
        <w:tabs>
          <w:tab w:leader="none" w:pos="62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06"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ind w:left="660" w:right="20" w:hanging="328"/>
        <w:spacing w:after="0" w:line="250" w:lineRule="auto"/>
        <w:tabs>
          <w:tab w:leader="none" w:pos="642"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a majority of the outstanding voting stock that is not owned by the interested stockholder.</w:t>
      </w:r>
    </w:p>
    <w:p>
      <w:pPr>
        <w:jc w:val="both"/>
        <w:ind w:left="660" w:hanging="328"/>
        <w:spacing w:after="0" w:line="253" w:lineRule="auto"/>
        <w:tabs>
          <w:tab w:leader="none" w:pos="693"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 Vacancies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Under the DGCL, unless otherwise provided in our certificate of incorporation, directors serving on a classified board may be removed by the stockholders only for cause and directors serving on a non-classified board may be removed with or without cause, in each case by the affirmative vote of a majority of the outstanding shares entitled to vote at an election of directors. Our certificate of incorporation and bylaws provide that prior to the 2024 annual meeting of the stockholders, any or all of the directors (other than the directors elected by the holders of any series of preferred stock, voting separately as a series or together with one or more other such series, as the case may be) may be removed only for cause and only by the affirmative vote of the holders of a majority in voting power of all the then-outstanding shares of stock entitled to vote generally in the election of directors, voting together as a single class. After the 2024 annual meeting of stockholders, any such director may be removed with or without cause by the affirmative vote of a majority in voting power of all the then-outstanding shares of stock entitled to vote generally in the election of directors, voting as a single class. In addition, our certificate of incorporation and our bylaws also provide that, subject to the rights granted to one or more series of preferred stock then outstanding,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Stockholder Meetings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certificate of incorporation provides that special meetings of our stockholders may be called at any time only by or at the direction of the Board of Directors or the chairman of the Board of Directors. Our bylaws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38"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Requirements for Advance Notification of Director Nominations and Stockholder Proposals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bylaws also specify requirements as to the form and content of a stockholder’s notice.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defer, delay or discourage a potential acquirer from conducting a solicitation of proxies to elect the acquirer’s own slate of directors or otherwise attempting to influence or obtain control of our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certificate of incorporation precludes stockholder action by written consent.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Certificate of Incorporation and Bylaws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certificate of incorporation and bylaws provide that the Board of Directors is expressly authorized to make, alter, amend, change, add to, rescind or repeal, in whole or in part, our bylaws without a stockholder vote in any matter not inconsistent with the laws of the State of Delaware or our certificate of incorporation. Any amendment, alteration, change, addition, rescission or repeal of our bylaws by our stockholders requires the affirmative vote of the holders of a majority in voting power of all the then-outstanding shares of stock entitled to vote generally in the election of directors, voting together as a single class.</w:t>
      </w:r>
    </w:p>
    <w:p>
      <w:pPr>
        <w:spacing w:after="0" w:line="201"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certificate of incorporation does not require a greater percentage for any such amendments.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34"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Exclusive Forum</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DGCL or our certificate of incorporation or our bylaws or as to which the DGCL confers jurisdiction on the Court of Chancery of the State of Delaware, or (iv) action asserting a claim against the Company or any director or officer of the Company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our company shall be deemed to have notice of and consented to the forum provisions in our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stockholders. Our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certificate of incorporation provides that, to the fullest extent permitted by law,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7120" w:type="dxa"/>
            <w:vAlign w:val="bottom"/>
            <w:tcBorders>
              <w:top w:val="single" w:sz="8" w:color="auto"/>
              <w:left w:val="single" w:sz="8" w:color="auto"/>
              <w:right w:val="single" w:sz="8" w:color="auto"/>
            </w:tcBorders>
            <w:shd w:val="clear" w:color="auto" w:fill="969696"/>
          </w:tcPr>
          <w:p>
            <w:pPr>
              <w:spacing w:after="0"/>
              <w:rPr>
                <w:sz w:val="16"/>
                <w:szCs w:val="16"/>
                <w:color w:val="auto"/>
              </w:rPr>
            </w:pPr>
          </w:p>
        </w:tc>
        <w:tc>
          <w:tcPr>
            <w:tcW w:w="2080" w:type="dxa"/>
            <w:vAlign w:val="bottom"/>
            <w:tcBorders>
              <w:top w:val="single" w:sz="8" w:color="auto"/>
              <w:right w:val="single" w:sz="8" w:color="auto"/>
            </w:tcBorders>
            <w:shd w:val="clear" w:color="auto" w:fill="969696"/>
          </w:tcPr>
          <w:p>
            <w:pPr>
              <w:jc w:val="center"/>
              <w:spacing w:after="0" w:line="189" w:lineRule="exact"/>
              <w:rPr>
                <w:sz w:val="20"/>
                <w:szCs w:val="20"/>
                <w:color w:val="auto"/>
              </w:rPr>
            </w:pPr>
            <w:r>
              <w:rPr>
                <w:rFonts w:ascii="Arial" w:cs="Arial" w:eastAsia="Arial" w:hAnsi="Arial"/>
                <w:sz w:val="18"/>
                <w:szCs w:val="18"/>
                <w:b w:val="1"/>
                <w:bCs w:val="1"/>
                <w:color w:val="auto"/>
                <w:w w:val="88"/>
              </w:rPr>
              <w:t>Jurisdiction of</w:t>
            </w:r>
          </w:p>
        </w:tc>
        <w:tc>
          <w:tcPr>
            <w:tcW w:w="0" w:type="dxa"/>
            <w:vAlign w:val="bottom"/>
          </w:tcPr>
          <w:p>
            <w:pPr>
              <w:spacing w:after="0"/>
              <w:rPr>
                <w:sz w:val="1"/>
                <w:szCs w:val="1"/>
                <w:color w:val="auto"/>
              </w:rPr>
            </w:pPr>
          </w:p>
        </w:tc>
      </w:tr>
      <w:tr>
        <w:trPr>
          <w:trHeight w:val="176"/>
        </w:trPr>
        <w:tc>
          <w:tcPr>
            <w:tcW w:w="7120" w:type="dxa"/>
            <w:vAlign w:val="bottom"/>
            <w:tcBorders>
              <w:left w:val="single" w:sz="8" w:color="auto"/>
              <w:right w:val="single" w:sz="8" w:color="auto"/>
            </w:tcBorders>
            <w:vMerge w:val="restart"/>
            <w:shd w:val="clear" w:color="auto" w:fill="969696"/>
          </w:tcPr>
          <w:p>
            <w:pPr>
              <w:ind w:left="3080"/>
              <w:spacing w:after="0"/>
              <w:rPr>
                <w:sz w:val="20"/>
                <w:szCs w:val="20"/>
                <w:color w:val="auto"/>
              </w:rPr>
            </w:pPr>
            <w:r>
              <w:rPr>
                <w:rFonts w:ascii="Arial" w:cs="Arial" w:eastAsia="Arial" w:hAnsi="Arial"/>
                <w:sz w:val="18"/>
                <w:szCs w:val="18"/>
                <w:b w:val="1"/>
                <w:bCs w:val="1"/>
                <w:color w:val="auto"/>
              </w:rPr>
              <w:t>Entity Name</w:t>
            </w:r>
          </w:p>
        </w:tc>
        <w:tc>
          <w:tcPr>
            <w:tcW w:w="2080" w:type="dxa"/>
            <w:vAlign w:val="bottom"/>
            <w:tcBorders>
              <w:right w:val="single" w:sz="8" w:color="auto"/>
            </w:tcBorders>
            <w:shd w:val="clear" w:color="auto" w:fill="969696"/>
          </w:tcPr>
          <w:p>
            <w:pPr>
              <w:jc w:val="center"/>
              <w:spacing w:after="0" w:line="176" w:lineRule="exact"/>
              <w:rPr>
                <w:sz w:val="20"/>
                <w:szCs w:val="20"/>
                <w:color w:val="auto"/>
              </w:rPr>
            </w:pPr>
            <w:r>
              <w:rPr>
                <w:rFonts w:ascii="Arial" w:cs="Arial" w:eastAsia="Arial" w:hAnsi="Arial"/>
                <w:sz w:val="18"/>
                <w:szCs w:val="18"/>
                <w:b w:val="1"/>
                <w:bCs w:val="1"/>
                <w:color w:val="auto"/>
                <w:w w:val="93"/>
              </w:rPr>
              <w:t>Incorporation or</w:t>
            </w:r>
          </w:p>
        </w:tc>
        <w:tc>
          <w:tcPr>
            <w:tcW w:w="0" w:type="dxa"/>
            <w:vAlign w:val="bottom"/>
          </w:tcPr>
          <w:p>
            <w:pPr>
              <w:spacing w:after="0"/>
              <w:rPr>
                <w:sz w:val="1"/>
                <w:szCs w:val="1"/>
                <w:color w:val="auto"/>
              </w:rPr>
            </w:pPr>
          </w:p>
        </w:tc>
      </w:tr>
      <w:tr>
        <w:trPr>
          <w:trHeight w:val="229"/>
        </w:trPr>
        <w:tc>
          <w:tcPr>
            <w:tcW w:w="7120" w:type="dxa"/>
            <w:vAlign w:val="bottom"/>
            <w:tcBorders>
              <w:left w:val="single" w:sz="8" w:color="auto"/>
              <w:bottom w:val="single" w:sz="8" w:color="auto"/>
              <w:right w:val="single" w:sz="8" w:color="auto"/>
            </w:tcBorders>
            <w:vMerge w:val="continue"/>
            <w:shd w:val="clear" w:color="auto" w:fill="969696"/>
          </w:tcPr>
          <w:p>
            <w:pPr>
              <w:spacing w:after="0"/>
              <w:rPr>
                <w:sz w:val="19"/>
                <w:szCs w:val="19"/>
                <w:color w:val="auto"/>
              </w:rPr>
            </w:pPr>
          </w:p>
        </w:tc>
        <w:tc>
          <w:tcPr>
            <w:tcW w:w="2080" w:type="dxa"/>
            <w:vAlign w:val="bottom"/>
            <w:tcBorders>
              <w:bottom w:val="single" w:sz="8" w:color="auto"/>
              <w:right w:val="single" w:sz="8" w:color="auto"/>
            </w:tcBorders>
            <w:shd w:val="clear" w:color="auto" w:fill="969696"/>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Nautilus Acquisition Holdings, Inc.</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183"/>
        </w:trPr>
        <w:tc>
          <w:tcPr>
            <w:tcW w:w="712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7"/>
              </w:rPr>
              <w:t>National Vision, Inc. (dba Eyeglass World, America’s Best Contacts and Eyeglasses, Vision</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Georgia</w:t>
            </w:r>
          </w:p>
        </w:tc>
        <w:tc>
          <w:tcPr>
            <w:tcW w:w="0" w:type="dxa"/>
            <w:vAlign w:val="bottom"/>
          </w:tcPr>
          <w:p>
            <w:pPr>
              <w:spacing w:after="0"/>
              <w:rPr>
                <w:sz w:val="1"/>
                <w:szCs w:val="1"/>
                <w:color w:val="auto"/>
              </w:rPr>
            </w:pPr>
          </w:p>
        </w:tc>
      </w:tr>
      <w:tr>
        <w:trPr>
          <w:trHeight w:val="230"/>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Center and Vista Optical)</w:t>
            </w:r>
          </w:p>
        </w:tc>
        <w:tc>
          <w:tcPr>
            <w:tcW w:w="20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Arlington Contact Lens Service, Inc. (dba AC Lens)</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Ohio</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NVAL Healthcare Systems, Inc.</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Georgia</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FirstSight Vision Services, Inc. (dba FirstSight)</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California</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Vision Administrators, Inc.</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California</w:t>
            </w:r>
          </w:p>
        </w:tc>
        <w:tc>
          <w:tcPr>
            <w:tcW w:w="0" w:type="dxa"/>
            <w:vAlign w:val="bottom"/>
          </w:tcPr>
          <w:p>
            <w:pPr>
              <w:spacing w:after="0"/>
              <w:rPr>
                <w:sz w:val="1"/>
                <w:szCs w:val="1"/>
                <w:color w:val="auto"/>
              </w:rPr>
            </w:pPr>
          </w:p>
        </w:tc>
      </w:tr>
      <w:tr>
        <w:trPr>
          <w:trHeight w:val="236"/>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International Vision Associates, Ltd.</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Georgia</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Opti-Vision Finance Services, LLC</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VC IV, LLC</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Georgia</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Czech Vision Associates, s.r.o.</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Czech Republic</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Slovak Vision Associates, s.r.o.</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Slovakia</w:t>
            </w:r>
          </w:p>
        </w:tc>
        <w:tc>
          <w:tcPr>
            <w:tcW w:w="0" w:type="dxa"/>
            <w:vAlign w:val="bottom"/>
          </w:tcPr>
          <w:p>
            <w:pPr>
              <w:spacing w:after="0"/>
              <w:rPr>
                <w:sz w:val="1"/>
                <w:szCs w:val="1"/>
                <w:color w:val="auto"/>
              </w:rPr>
            </w:pPr>
          </w:p>
        </w:tc>
      </w:tr>
    </w:tbl>
    <w:p>
      <w:pPr>
        <w:sectPr>
          <w:pgSz w:w="11900" w:h="16838" w:orient="portrait"/>
          <w:cols w:equalWidth="0" w:num="1">
            <w:col w:w="10200"/>
          </w:cols>
          <w:pgMar w:left="1360" w:top="61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Registration Statement Nos. 333-221131 and 333-225611 on Form S-8 of our reports dated February 27, 2022, relating to the financial statements of National Vision Holdings, Inc. and the effectiveness of National Vision Holdings, Inc.’s internal control over financial reporting appearing in this Annual Report on Form 10-K for the year ended January 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2022</w:t>
      </w:r>
    </w:p>
    <w:p>
      <w:pPr>
        <w:sectPr>
          <w:pgSz w:w="11900" w:h="16838" w:orient="portrait"/>
          <w:cols w:equalWidth="0" w:num="1">
            <w:col w:w="11240"/>
          </w:cols>
          <w:pgMar w:left="320" w:top="89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52"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Vision Holdings,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7"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2022</w:t>
      </w:r>
    </w:p>
    <w:p>
      <w:pPr>
        <w:spacing w:after="0" w:line="32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3660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2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Patrick R. Moore, certify that:</w:t>
      </w:r>
    </w:p>
    <w:p>
      <w:pPr>
        <w:spacing w:after="0" w:line="252"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Vision Holdings,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7"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2022</w:t>
      </w:r>
    </w:p>
    <w:p>
      <w:pPr>
        <w:spacing w:after="0" w:line="14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9146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Patrick R. Moore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42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Annual Report of National Vision Holdings, Inc. (the “Company”) on Form 10-K for the fiscal year ended January 1, 2022, as filed with the Securities and Exchange Commission on the date hereof (the “Report”), I, L. Reade Fahs, Chief Executive Officer of the Company, do hereby certify, pursuant to 18 U.S.C. Section 1350, as adopted pursuant to Section 906 of the Sarbanes-Oxley Act of 2002, that:</w:t>
      </w:r>
    </w:p>
    <w:p>
      <w:pPr>
        <w:spacing w:after="0" w:line="192"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2022</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3660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2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In connection with the Annual Report of National Vision Holdings, Inc. (the “Company”) on Form 10-K for the fiscal year ended January 1, 2022, as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b w:val="1"/>
          <w:bCs w:val="1"/>
          <w:color w:val="auto"/>
        </w:rPr>
      </w:pPr>
    </w:p>
    <w:p>
      <w:pPr>
        <w:ind w:left="340" w:right="240" w:hanging="332"/>
        <w:spacing w:after="0" w:line="277" w:lineRule="auto"/>
        <w:tabs>
          <w:tab w:leader="none" w:pos="335"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2022</w:t>
      </w:r>
    </w:p>
    <w:p>
      <w:pPr>
        <w:spacing w:after="0" w:line="200" w:lineRule="exact"/>
        <w:rPr>
          <w:sz w:val="20"/>
          <w:szCs w:val="20"/>
          <w:color w:val="auto"/>
        </w:rPr>
      </w:pPr>
    </w:p>
    <w:p>
      <w:pPr>
        <w:spacing w:after="0" w:line="3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9146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Patrick R. Moore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lowerRoman"/>
      <w:start w:val="2"/>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upperLetter"/>
      <w:start w:val="35"/>
    </w:lvl>
  </w:abstractNum>
  <w:abstractNum w:abstractNumId="26">
    <w:nsid w:val="3855585C"/>
    <w:multiLevelType w:val="hybridMultilevel"/>
    <w:lvl w:ilvl="0">
      <w:lvlJc w:val="left"/>
      <w:lvlText w:val="1"/>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lowerLetter"/>
      <w:start w:val="1"/>
    </w:lvl>
  </w:abstractNum>
  <w:abstractNum w:abstractNumId="31">
    <w:nsid w:val="725A06FB"/>
    <w:multiLevelType w:val="hybridMultilevel"/>
    <w:lvl w:ilvl="0">
      <w:lvlJc w:val="left"/>
      <w:lvlText w:val="(%1)"/>
      <w:numFmt w:val="lowerLetter"/>
      <w:start w:val="8"/>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lowerLetter"/>
      <w:start w:val="1"/>
    </w:lvl>
  </w:abstractNum>
  <w:abstractNum w:abstractNumId="34">
    <w:nsid w:val="7A6D8D3C"/>
    <w:multiLevelType w:val="hybridMultilevel"/>
    <w:lvl w:ilvl="0">
      <w:lvlJc w:val="left"/>
      <w:lvlText w:val="•"/>
      <w:numFmt w:val="bullet"/>
      <w:start w:val="1"/>
    </w:lvl>
    <w:lvl w:ilvl="1">
      <w:lvlJc w:val="left"/>
      <w:lvlText w:val="\endash "/>
      <w:numFmt w:val="bullet"/>
      <w:start w:val="1"/>
    </w:lvl>
  </w:abstractNum>
  <w:abstractNum w:abstractNumId="35">
    <w:nsid w:val="4B588F54"/>
    <w:multiLevelType w:val="hybridMultilevel"/>
    <w:lvl w:ilvl="0">
      <w:lvlJc w:val="left"/>
      <w:lvlText w:val="%1."/>
      <w:numFmt w:val="decimal"/>
      <w:start w:val="31"/>
    </w:lvl>
  </w:abstractNum>
  <w:abstractNum w:abstractNumId="36">
    <w:nsid w:val="542289EC"/>
    <w:multiLevelType w:val="hybridMultilevel"/>
    <w:lvl w:ilvl="0">
      <w:lvlJc w:val="left"/>
      <w:lvlText w:val="%1"/>
      <w:numFmt w:val="decimal"/>
      <w:start w:val="13"/>
    </w:lvl>
  </w:abstractNum>
  <w:abstractNum w:abstractNumId="37">
    <w:nsid w:val="6DE91B18"/>
    <w:multiLevelType w:val="hybridMultilevel"/>
    <w:lvl w:ilvl="0">
      <w:lvlJc w:val="left"/>
      <w:lvlText w:val="(%1)"/>
      <w:numFmt w:val="lowerLetter"/>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lowerRoman"/>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decimal"/>
      <w:start w:val="9"/>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152" Type="http://schemas.openxmlformats.org/officeDocument/2006/relationships/hyperlink" Target="https://www.sec.gov/Archives/edgar/data/1710155/000171015521000036/nationalvision-thirdamende.htm" TargetMode="External"/><Relationship Id="rId153" Type="http://schemas.openxmlformats.org/officeDocument/2006/relationships/hyperlink" Target="https://www.sec.gov/Archives/edgar/data/1710155/000171015521000036/nationalvisionholdingsinct.htm" TargetMode="External"/><Relationship Id="rId154" Type="http://schemas.openxmlformats.org/officeDocument/2006/relationships/hyperlink" Target="https://www.sec.gov/Archives/edgar/data/1710155/000171015520000038/a41-indentureexhibit.htm" TargetMode="External"/><Relationship Id="rId155" Type="http://schemas.openxmlformats.org/officeDocument/2006/relationships/hyperlink" Target="http://www.sec.gov/Archives/edgar/data/1710155/000171015519000053/a101-revisednvix2019re.htm" TargetMode="External"/><Relationship Id="rId156" Type="http://schemas.openxmlformats.org/officeDocument/2006/relationships/hyperlink" Target="https://www.sec.gov/Archives/edgar/data/1710155/000171015520000032/a101amendedandrestated.htm" TargetMode="External"/><Relationship Id="rId157" Type="http://schemas.openxmlformats.org/officeDocument/2006/relationships/hyperlink" Target="https://www.sec.gov/Archives/edgar/data/1710155/000171015521000033/nvi-8xkexhibitsjune2021.htm" TargetMode="External"/><Relationship Id="rId158" Type="http://schemas.openxmlformats.org/officeDocument/2006/relationships/hyperlink" Target="http://www.sec.gov/Archives/edgar/data/1710155/000156761917002082/s001582x7_ex10-6.htm" TargetMode="External"/><Relationship Id="rId159" Type="http://schemas.openxmlformats.org/officeDocument/2006/relationships/hyperlink" Target="http://www.sec.gov/Archives/edgar/data/1710155/000156761917002082/s001582x7_ex10-7.htm" TargetMode="External"/><Relationship Id="rId160" Type="http://schemas.openxmlformats.org/officeDocument/2006/relationships/hyperlink" Target="http://www.sec.gov/Archives/edgar/data/1710155/000156761917002082/s001582x7_ex10-8.htm" TargetMode="External"/><Relationship Id="rId161" Type="http://schemas.openxmlformats.org/officeDocument/2006/relationships/hyperlink" Target="http://www.sec.gov/Archives/edgar/data/1710155/000156761917002270/s001582x19_ex10-2.htm" TargetMode="External"/><Relationship Id="rId162" Type="http://schemas.openxmlformats.org/officeDocument/2006/relationships/hyperlink" Target="http://www.sec.gov/Archives/edgar/data/1710155/000156761917002184/s001582x10_ex10-15.htm" TargetMode="External"/><Relationship Id="rId163" Type="http://schemas.openxmlformats.org/officeDocument/2006/relationships/hyperlink" Target="http://www.sec.gov/Archives/edgar/data/1710155/000171015519000027/exhibit102-2019stockoption.htm" TargetMode="External"/><Relationship Id="rId164" Type="http://schemas.openxmlformats.org/officeDocument/2006/relationships/hyperlink" Target="http://www.sec.gov/Archives/edgar/data/1710155/000171015519000027/exhibit103-restrictedstock.htm" TargetMode="External"/><Relationship Id="rId165" Type="http://schemas.openxmlformats.org/officeDocument/2006/relationships/hyperlink" Target="https://www.sec.gov/Archives/edgar/data/1710155/000171015521000028/exhibit101nvhiformofpsuagr.htm" TargetMode="External"/><Relationship Id="rId166" Type="http://schemas.openxmlformats.org/officeDocument/2006/relationships/hyperlink" Target="https://www.sec.gov/Archives/edgar/data/1710155/000171015520000032/a103-performancestocku.htm" TargetMode="External"/><Relationship Id="rId169" Type="http://schemas.openxmlformats.org/officeDocument/2006/relationships/hyperlink" Target="http://www.sec.gov/Archives/edgar/data/1710155/000171015519000027/exhibit105-nonemployeedire.htm" TargetMode="External"/><Relationship Id="rId170" Type="http://schemas.openxmlformats.org/officeDocument/2006/relationships/hyperlink" Target="http://www.sec.gov/Archives/edgar/data/1710155/000156761917002082/s001582x7_ex10-16.htm" TargetMode="External"/><Relationship Id="rId171" Type="http://schemas.openxmlformats.org/officeDocument/2006/relationships/hyperlink" Target="http://www.sec.gov/Archives/edgar/data/1710155/000156761917002082/s001582x7_ex10-17.htm" TargetMode="External"/><Relationship Id="rId172" Type="http://schemas.openxmlformats.org/officeDocument/2006/relationships/hyperlink" Target="http://www.sec.gov/Archives/edgar/data/1710155/000156761917002082/s001582x7_ex10-18.htm" TargetMode="External"/><Relationship Id="rId173" Type="http://schemas.openxmlformats.org/officeDocument/2006/relationships/hyperlink" Target="http://www.sec.gov/Archives/edgar/data/1710155/000156761917002082/s001582x7_ex10-19.htm" TargetMode="External"/><Relationship Id="rId174" Type="http://schemas.openxmlformats.org/officeDocument/2006/relationships/hyperlink" Target="http://www.sec.gov/Archives/edgar/data/1710155/000156761917002082/s001582x7_ex10-20.htm" TargetMode="External"/><Relationship Id="rId175" Type="http://schemas.openxmlformats.org/officeDocument/2006/relationships/hyperlink" Target="http://www.sec.gov/Archives/edgar/data/1710155/000156761917002082/s001582x7_ex10-24.htm" TargetMode="External"/><Relationship Id="rId176" Type="http://schemas.openxmlformats.org/officeDocument/2006/relationships/hyperlink" Target="http://www.sec.gov/Archives/edgar/data/1710155/000156761917002082/s001582x7_ex10-25.htm" TargetMode="External"/><Relationship Id="rId177" Type="http://schemas.openxmlformats.org/officeDocument/2006/relationships/hyperlink" Target="http://www.sec.gov/Archives/edgar/data/1710155/000171015518000052/nationalvisionholdingsinc-.htm" TargetMode="External"/><Relationship Id="rId178" Type="http://schemas.openxmlformats.org/officeDocument/2006/relationships/hyperlink" Target="http://www.sec.gov/Archives/edgar/data/1710155/000156761917002082/s001582x7_ex10-29.htm" TargetMode="External"/><Relationship Id="rId179" Type="http://schemas.openxmlformats.org/officeDocument/2006/relationships/hyperlink" Target="http://www.sec.gov/Archives/edgar/data/1710155/000156761917002082/s001582x7_ex10-30.htm" TargetMode="External"/><Relationship Id="rId180" Type="http://schemas.openxmlformats.org/officeDocument/2006/relationships/hyperlink" Target="http://www.sec.gov/Archives/edgar/data/1710155/000171015518000020/exhibit101essilor-ltragmt3.htm" TargetMode="External"/><Relationship Id="rId181" Type="http://schemas.openxmlformats.org/officeDocument/2006/relationships/hyperlink" Target="http://www.sec.gov/Archives/edgar/data/1710155/000171015519000016/exhibit1036-essilorcontract.htm" TargetMode="External"/><Relationship Id="rId182" Type="http://schemas.openxmlformats.org/officeDocument/2006/relationships/hyperlink" Target="http://www.sec.gov/Archives/edgar/data/1710155/000156761917002082/s001582x7_ex10-32.htm" TargetMode="External"/><Relationship Id="rId183" Type="http://schemas.openxmlformats.org/officeDocument/2006/relationships/hyperlink" Target="http://www.sec.gov/Archives/edgar/data/1710155/000156761917002184/s001582x10_ex10-31.htm" TargetMode="External"/><Relationship Id="rId184" Type="http://schemas.openxmlformats.org/officeDocument/2006/relationships/hyperlink" Target="https://www.sec.gov/Archives/edgar/data/1710155/000171015520000003/exhibit.htm" TargetMode="External"/><Relationship Id="rId185" Type="http://schemas.openxmlformats.org/officeDocument/2006/relationships/hyperlink" Target="https://www.sec.gov/Archives/edgar/data/1710155/000171015520000055/exhibit101-wmtxnvimsaa.htm" TargetMode="External"/><Relationship Id="rId186" Type="http://schemas.openxmlformats.org/officeDocument/2006/relationships/hyperlink" Target="http://www.sec.gov/Archives/edgar/data/1710155/000156761917002082/s001582x7_ex10-33.htm" TargetMode="External"/><Relationship Id="rId187" Type="http://schemas.openxmlformats.org/officeDocument/2006/relationships/hyperlink" Target="http://www.sec.gov/Archives/edgar/data/1710155/000156761917002184/s001582x10_ex10-34.htm" TargetMode="External"/><Relationship Id="rId190" Type="http://schemas.openxmlformats.org/officeDocument/2006/relationships/hyperlink" Target="http://www.sec.gov/Archives/edgar/data/1710155/000156761917002184/s001582x10_ex10-35.htm" TargetMode="External"/><Relationship Id="rId191" Type="http://schemas.openxmlformats.org/officeDocument/2006/relationships/hyperlink" Target="http://www.sec.gov/Archives/edgar/data/1710155/000156761917002184/s001582x10_ex10-36.htm" TargetMode="External"/><Relationship Id="rId192" Type="http://schemas.openxmlformats.org/officeDocument/2006/relationships/hyperlink" Target="http://www.sec.gov/Archives/edgar/data/1710155/000171015518000005/ex101formofdirectorstockho.htm" TargetMode="External"/><Relationship Id="rId193" Type="http://schemas.openxmlformats.org/officeDocument/2006/relationships/hyperlink" Target="http://www.sec.gov/Archives/edgar/data/1710155/000162612917000582/s001582x16_ex4-4.htm" TargetMode="External"/><Relationship Id="rId194" Type="http://schemas.openxmlformats.org/officeDocument/2006/relationships/hyperlink" Target="https://www.sec.gov/Archives/edgar/data/1710155/000171015521000062/exhibit101-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2022-02-28T06:00:42Z</dcterms:created>
  <dcterms:modified xsi:type="dcterms:W3CDTF">2022-02-28T06:00:42Z</dcterms:modified>
</cp:coreProperties>
</file>