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989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6989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17145"/>
                    </a:xfrm>
                    <a:prstGeom prst="rect">
                      <a:avLst/>
                    </a:prstGeom>
                    <a:noFill/>
                  </pic:spPr>
                </pic:pic>
              </a:graphicData>
            </a:graphic>
          </wp:anchor>
        </w:drawing>
        <w:t>UNITED STATES</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9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QUARTERLY REPORT PURSUANT TO SECTION 13 OR 15(d) OF THE SECURITIES EXCHANGE ACT OF 1934</w:t>
      </w:r>
    </w:p>
    <w:p>
      <w:pPr>
        <w:spacing w:after="0" w:line="7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30, 2019</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TRANSITION REPORT PURSUANT TO SECTION 13 OR 15(d) OF THE SECURITIES EXCHANGE ACT OF 1934</w:t>
      </w:r>
    </w:p>
    <w:p>
      <w:pPr>
        <w:spacing w:after="0" w:line="11" w:lineRule="exact"/>
        <w:rPr>
          <w:sz w:val="24"/>
          <w:szCs w:val="24"/>
          <w:color w:val="auto"/>
        </w:rPr>
      </w:pPr>
    </w:p>
    <w:p>
      <w:pPr>
        <w:ind w:left="4200"/>
        <w:spacing w:after="0"/>
        <w:tabs>
          <w:tab w:leader="none" w:pos="67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8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ectPr>
          <w:pgSz w:w="11900" w:h="16838" w:orient="portrait"/>
          <w:cols w:equalWidth="0" w:num="1">
            <w:col w:w="11300"/>
          </w:cols>
          <w:pgMar w:left="240" w:top="610" w:right="359" w:bottom="1440" w:gutter="0" w:footer="0" w:header="0"/>
        </w:sectPr>
      </w:pPr>
    </w:p>
    <w:p>
      <w:pPr>
        <w:spacing w:after="0" w:line="15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31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2435 Commerce Ave,</w:t>
      </w:r>
    </w:p>
    <w:p>
      <w:pPr>
        <w:spacing w:after="0" w:line="28"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Building 2200</w:t>
      </w:r>
    </w:p>
    <w:p>
      <w:pPr>
        <w:spacing w:after="0" w:line="1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Duluth, Georgia</w:t>
      </w:r>
    </w:p>
    <w:p>
      <w:pPr>
        <w:spacing w:after="0" w:line="1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14" w:lineRule="exact"/>
        <w:rPr>
          <w:sz w:val="24"/>
          <w:szCs w:val="24"/>
          <w:color w:val="auto"/>
        </w:rPr>
      </w:pPr>
    </w:p>
    <w:p>
      <w:pPr>
        <w:jc w:val="center"/>
        <w:ind w:right="1980"/>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6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680"/>
        <w:spacing w:after="0" w:line="184" w:lineRule="exact"/>
        <w:rPr>
          <w:sz w:val="20"/>
          <w:szCs w:val="20"/>
          <w:color w:val="auto"/>
        </w:rPr>
      </w:pPr>
      <w:r>
        <w:rPr>
          <w:rFonts w:ascii="Times New Roman" w:cs="Times New Roman" w:eastAsia="Times New Roman" w:hAnsi="Times New Roman"/>
          <w:sz w:val="16"/>
          <w:szCs w:val="16"/>
          <w:b w:val="1"/>
          <w:bCs w:val="1"/>
          <w:color w:val="auto"/>
        </w:rPr>
        <w:t>46</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4841717</w:t>
      </w:r>
    </w:p>
    <w:p>
      <w:pPr>
        <w:spacing w:after="0" w:line="6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(I.R.S. Employer</w:t>
      </w:r>
    </w:p>
    <w:p>
      <w:pPr>
        <w:spacing w:after="0" w:line="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pacing w:after="0" w:line="21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30096</w:t>
      </w:r>
    </w:p>
    <w:p>
      <w:pPr>
        <w:spacing w:after="0" w:line="2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pacing w:after="0" w:line="21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(Former name, former address and former fiscal year,</w:t>
      </w:r>
    </w:p>
    <w:p>
      <w:pPr>
        <w:spacing w:after="0" w:line="1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if changed since last report)</w:t>
      </w:r>
    </w:p>
    <w:p>
      <w:pPr>
        <w:spacing w:after="0" w:line="36" w:lineRule="exact"/>
        <w:rPr>
          <w:sz w:val="24"/>
          <w:szCs w:val="24"/>
          <w:color w:val="auto"/>
        </w:rPr>
      </w:pPr>
    </w:p>
    <w:p>
      <w:pPr>
        <w:sectPr>
          <w:pgSz w:w="11900" w:h="16838" w:orient="portrait"/>
          <w:cols w:equalWidth="0" w:num="2">
            <w:col w:w="6420" w:space="720"/>
            <w:col w:w="4160"/>
          </w:cols>
          <w:pgMar w:left="240" w:top="610" w:right="359" w:bottom="1440" w:gutter="0" w:footer="0" w:header="0"/>
          <w:type w:val="continuous"/>
        </w:sect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4" w:lineRule="exact"/>
        <w:rPr>
          <w:sz w:val="24"/>
          <w:szCs w:val="24"/>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8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0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0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4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6" w:lineRule="exact"/>
        <w:rPr>
          <w:sz w:val="24"/>
          <w:szCs w:val="24"/>
          <w:color w:val="auto"/>
        </w:rPr>
      </w:pPr>
    </w:p>
    <w:p>
      <w:pPr>
        <w:ind w:right="40"/>
        <w:spacing w:after="0" w:line="18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94"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17"/>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EYE</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April 30, 2019</w:t>
            </w:r>
          </w:p>
        </w:tc>
      </w:tr>
      <w:tr>
        <w:trPr>
          <w:trHeight w:val="33"/>
        </w:trPr>
        <w:tc>
          <w:tcPr>
            <w:tcW w:w="49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17"/>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78,217,812</w:t>
            </w:r>
          </w:p>
        </w:tc>
      </w:tr>
      <w:tr>
        <w:trPr>
          <w:trHeight w:val="168"/>
        </w:trPr>
        <w:tc>
          <w:tcPr>
            <w:tcW w:w="4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spacing w:after="0"/>
              <w:rPr>
                <w:sz w:val="14"/>
                <w:szCs w:val="14"/>
                <w:color w:val="auto"/>
              </w:rPr>
            </w:pPr>
          </w:p>
        </w:tc>
      </w:tr>
      <w:tr>
        <w:trPr>
          <w:trHeight w:val="122"/>
        </w:trPr>
        <w:tc>
          <w:tcPr>
            <w:tcW w:w="49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bl>
    <w:p>
      <w:pPr>
        <w:sectPr>
          <w:pgSz w:w="11900" w:h="16838" w:orient="portrait"/>
          <w:cols w:equalWidth="0" w:num="1">
            <w:col w:w="11300"/>
          </w:cols>
          <w:pgMar w:left="240" w:top="610" w:right="3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r>
      <w:tr>
        <w:trPr>
          <w:trHeight w:val="230"/>
        </w:trPr>
        <w:tc>
          <w:tcPr>
            <w:tcW w:w="920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SPECIAL NOTE REGARDING FORWARD-LOOKING STATEMENTS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50"/>
        </w:trPr>
        <w:tc>
          <w:tcPr>
            <w:tcW w:w="22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Part I – Financial Information</w:t>
              </w:r>
            </w:hyperlink>
          </w:p>
        </w:tc>
        <w:tc>
          <w:tcPr>
            <w:tcW w:w="3120" w:type="dxa"/>
            <w:vAlign w:val="bottom"/>
            <w:tcBorders>
              <w:top w:val="single" w:sz="8" w:color="0000EE"/>
            </w:tcBorders>
            <w:gridSpan w:val="8"/>
          </w:tcPr>
          <w:p>
            <w:pPr>
              <w:spacing w:after="0"/>
              <w:rPr>
                <w:sz w:val="21"/>
                <w:szCs w:val="21"/>
                <w:color w:val="auto"/>
              </w:rPr>
            </w:pPr>
          </w:p>
        </w:tc>
        <w:tc>
          <w:tcPr>
            <w:tcW w:w="3880" w:type="dxa"/>
            <w:vAlign w:val="bottom"/>
            <w:gridSpan w:val="6"/>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 (Unaudited)</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Condensed Consolidated Balance Sheets</w:t>
              </w:r>
            </w:hyperlink>
          </w:p>
        </w:tc>
        <w:tc>
          <w:tcPr>
            <w:tcW w:w="4840" w:type="dxa"/>
            <w:vAlign w:val="bottom"/>
            <w:gridSpan w:val="8"/>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Operations and Comprehensive Income</w:t>
              </w:r>
            </w:hyperlink>
          </w:p>
        </w:tc>
        <w:tc>
          <w:tcPr>
            <w:tcW w:w="2040" w:type="dxa"/>
            <w:vAlign w:val="bottom"/>
            <w:gridSpan w:val="2"/>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Shareholders’ Equity</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Cash Flows</w:t>
              </w:r>
            </w:hyperlink>
          </w:p>
        </w:tc>
        <w:tc>
          <w:tcPr>
            <w:tcW w:w="660" w:type="dxa"/>
            <w:vAlign w:val="bottom"/>
            <w:tcBorders>
              <w:top w:val="single" w:sz="8" w:color="0000EE"/>
            </w:tcBorders>
            <w:gridSpan w:val="4"/>
          </w:tcPr>
          <w:p>
            <w:pPr>
              <w:spacing w:after="0"/>
              <w:rPr>
                <w:sz w:val="21"/>
                <w:szCs w:val="21"/>
                <w:color w:val="auto"/>
              </w:rPr>
            </w:pPr>
          </w:p>
        </w:tc>
        <w:tc>
          <w:tcPr>
            <w:tcW w:w="3380" w:type="dxa"/>
            <w:vAlign w:val="bottom"/>
            <w:gridSpan w:val="3"/>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w:t>
              </w:r>
            </w:hyperlink>
          </w:p>
        </w:tc>
        <w:tc>
          <w:tcPr>
            <w:tcW w:w="3760" w:type="dxa"/>
            <w:vAlign w:val="bottom"/>
            <w:gridSpan w:val="5"/>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9</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2.</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22</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3.</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Quantitative and Qualitative Disclosures About Market Risk</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tcBorders>
              <w:left w:val="single" w:sz="8" w:color="0000EE"/>
            </w:tcBorders>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4.</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Controls and Procedures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940" w:type="dxa"/>
            <w:vAlign w:val="bottom"/>
            <w:gridSpan w:val="5"/>
          </w:tcPr>
          <w:p>
            <w:pPr>
              <w:spacing w:after="0"/>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Part II – Other Information</w:t>
              </w:r>
            </w:hyperlink>
          </w:p>
        </w:tc>
        <w:tc>
          <w:tcPr>
            <w:tcW w:w="7260" w:type="dxa"/>
            <w:vAlign w:val="bottom"/>
            <w:gridSpan w:val="16"/>
          </w:tcPr>
          <w:p>
            <w:pPr>
              <w:spacing w:after="0"/>
              <w:rPr>
                <w:sz w:val="21"/>
                <w:szCs w:val="21"/>
                <w:color w:val="auto"/>
              </w:rPr>
            </w:pPr>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38</w:t>
              </w:r>
            </w:hyperlink>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Legal Proceedings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38</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38">
              <w:r>
                <w:rPr>
                  <w:rFonts w:ascii="Times New Roman" w:cs="Times New Roman" w:eastAsia="Times New Roman" w:hAnsi="Times New Roman"/>
                  <w:sz w:val="18"/>
                  <w:szCs w:val="18"/>
                  <w:color w:val="0000EE"/>
                  <w:w w:val="96"/>
                </w:rPr>
                <w:t>Item 1A.</w:t>
              </w:r>
            </w:hyperlink>
          </w:p>
        </w:tc>
        <w:tc>
          <w:tcPr>
            <w:tcW w:w="360" w:type="dxa"/>
            <w:vAlign w:val="bottom"/>
          </w:tcPr>
          <w:p>
            <w:pPr>
              <w:spacing w:after="0"/>
              <w:rPr>
                <w:sz w:val="21"/>
                <w:szCs w:val="21"/>
                <w:color w:val="auto"/>
              </w:rPr>
            </w:pPr>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Risk Factors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38</w:t>
              </w:r>
            </w:hyperlink>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2.</w:t>
              </w:r>
            </w:hyperlink>
          </w:p>
        </w:tc>
        <w:tc>
          <w:tcPr>
            <w:tcW w:w="360" w:type="dxa"/>
            <w:vAlign w:val="bottom"/>
          </w:tcPr>
          <w:p>
            <w:pPr>
              <w:spacing w:after="0"/>
              <w:rPr>
                <w:sz w:val="21"/>
                <w:szCs w:val="21"/>
                <w:color w:val="auto"/>
              </w:rPr>
            </w:pPr>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Unregistered Sales of Equity Securities and Use of Proceeds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38</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3.</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Defaults Upon Senior Securities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39</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4.</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Mine Safety Disclosures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39</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5.</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Other Information</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39</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6.</w:t>
              </w:r>
            </w:hyperlink>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Exhibits</w:t>
              </w:r>
            </w:hyperlink>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3"/>
          </w:tcPr>
          <w:p>
            <w:pPr>
              <w:spacing w:after="0"/>
              <w:rPr>
                <w:rFonts w:ascii="Times New Roman" w:cs="Times New Roman" w:eastAsia="Times New Roman" w:hAnsi="Times New Roman"/>
                <w:sz w:val="18"/>
                <w:szCs w:val="18"/>
                <w:color w:val="0000EE"/>
                <w:w w:val="94"/>
              </w:rPr>
            </w:pPr>
            <w:hyperlink w:anchor="page41">
              <w:r>
                <w:rPr>
                  <w:rFonts w:ascii="Times New Roman" w:cs="Times New Roman" w:eastAsia="Times New Roman" w:hAnsi="Times New Roman"/>
                  <w:sz w:val="18"/>
                  <w:szCs w:val="18"/>
                  <w:color w:val="0000EE"/>
                  <w:w w:val="94"/>
                </w:rPr>
                <w:t>Signatures</w:t>
              </w:r>
            </w:hyperlink>
          </w:p>
        </w:tc>
        <w:tc>
          <w:tcPr>
            <w:tcW w:w="7000" w:type="dxa"/>
            <w:vAlign w:val="bottom"/>
            <w:gridSpan w:val="14"/>
          </w:tcPr>
          <w:p>
            <w:pPr>
              <w:spacing w:after="0"/>
              <w:rPr>
                <w:sz w:val="21"/>
                <w:szCs w:val="21"/>
                <w:color w:val="auto"/>
              </w:rPr>
            </w:pPr>
          </w:p>
        </w:tc>
        <w:tc>
          <w:tcPr>
            <w:tcW w:w="1800" w:type="dxa"/>
            <w:vAlign w:val="bottom"/>
            <w:gridSpan w:val="3"/>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00"/>
          </w:cols>
          <w:pgMar w:left="460" w:top="38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29, 2018 (the “Annual Report”), as filed with the Securities and Exchange Commission (the “SEC”), as such risk factors may be updated from time to time in our periodic filings with the SEC, which are accessible on the SEC’s website at www.sec.gov, and also include the following:</w:t>
      </w:r>
    </w:p>
    <w:p>
      <w:pPr>
        <w:spacing w:after="0" w:line="80"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and operate new stores in a timely and cost-effective manner, and to successfully enter new markets;</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vision care professionals for our stores;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managed vision care companies, vision insurance providers and other third-party payors;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operating relationships with our host and legacy partners;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extensive state, local and federal vision care and healthcare laws and regulations;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levels of cash flow from our operations to grow;</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disruption in the operations of, one or more of our distribution centers and/or optical laboratories;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vendors from whom our products are sourced;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spending affecting consumer purchases;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in the highly competitive optical retail industry;</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suppliers;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vendors’ ability to safeguard personal information and payment card data;</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inadequacy, interruption, security failure or breach of our information technology systems;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straining our existing resources and causing the performance of our existing stores to suffer;</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senior management team and attract qualified new personnel;</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wage rate increases, inflation, cost increases and increases in raw material prices and energy prices;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marketing, advertising and promotional efforts;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leasing substantial amounts of space;</w:t>
      </w:r>
    </w:p>
    <w:p>
      <w:pPr>
        <w:spacing w:after="0" w:line="9" w:lineRule="exact"/>
        <w:rPr>
          <w:rFonts w:ascii="Times New Roman" w:cs="Times New Roman" w:eastAsia="Times New Roman" w:hAnsi="Times New Roman"/>
          <w:sz w:val="18"/>
          <w:szCs w:val="18"/>
          <w:color w:val="auto"/>
        </w:rPr>
      </w:pPr>
    </w:p>
    <w:p>
      <w:pPr>
        <w:ind w:left="180" w:hanging="172"/>
        <w:spacing w:after="0" w:line="250"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product recall or personal injury issues;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managed vision care laws and regulations;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reimbursement for a portion of our revenues;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balances and inventory shrinkage;</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operating results and inventory levels;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losses arising from our investments in technological innovators in the optical retail industry;</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or changes in, laws, regulations, enforcement activities and other requirements;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adverse litigation judgments or settlements resulting from legal proceedings relating to our business operations;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49" w:right="239" w:bottom="1440" w:gutter="0" w:footer="0" w:header="0"/>
        </w:sectPr>
      </w:pPr>
    </w:p>
    <w:bookmarkStart w:id="3" w:name="page4"/>
    <w:bookmarkEnd w:id="3"/>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credit agreement that limits our flexibility in operating our business;</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 to satisfy our significant debt service obligations;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requirements to design, implement and maintain internal controls; and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owning our common stock.</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“we,” “us,” “our,” or the “Company” in this Form 10-Q mean National Vision Holdings, Inc. and its subsidiaries, unless the context otherwise requires. References to “eyecare practitioners” in this Form 10-Q mean optometrists and ophthalmologists and references to “vision care professionals” mean optometrists (including optometrists employed by us or by professional corporations owned by eyecare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 Vision Holdings, Inc. when you enroll your e-mail address by visiting the “Email Alerts” page of the Investor Resources section of our website at www.nationalvision.com/investors. The contents of our website are not, however, a part of this Form 10-Q.</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4"/>
                <w:szCs w:val="24"/>
                <w:color w:val="auto"/>
              </w:rPr>
            </w:pPr>
          </w:p>
        </w:tc>
        <w:tc>
          <w:tcPr>
            <w:tcW w:w="798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8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18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As of March 30, 2019 and December 29, 2018</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5700" w:type="dxa"/>
            <w:vAlign w:val="bottom"/>
          </w:tcPr>
          <w:p>
            <w:pPr>
              <w:jc w:val="center"/>
              <w:ind w:left="3090"/>
              <w:spacing w:after="0"/>
              <w:rPr>
                <w:sz w:val="20"/>
                <w:szCs w:val="20"/>
                <w:color w:val="auto"/>
              </w:rPr>
            </w:pPr>
            <w:r>
              <w:rPr>
                <w:rFonts w:ascii="Times New Roman" w:cs="Times New Roman" w:eastAsia="Times New Roman" w:hAnsi="Times New Roman"/>
                <w:sz w:val="18"/>
                <w:szCs w:val="18"/>
                <w:i w:val="1"/>
                <w:iCs w:val="1"/>
                <w:color w:val="auto"/>
                <w:w w:val="99"/>
              </w:rPr>
              <w:t>In Thousands, Except Par Value</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70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24"/>
                <w:szCs w:val="24"/>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9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March 30,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50,735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116,022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30,815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270,089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214,704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57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364,627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355,117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777,613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Right of use assets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1,783,003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1,446,685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2,053,092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1,661,389</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57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43,642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revenue</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27,295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211,652</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 and finance lease obligations, less current portion and debt discount</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570,545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operating lease obligations</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314,282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53,964</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136,038</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8)</w:t>
            </w:r>
          </w:p>
        </w:tc>
        <w:tc>
          <w:tcPr>
            <w:tcW w:w="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Common stock, $0.01 par value; 200,000 shares authorized; 78,297 and 78,246 shares</w:t>
            </w: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issued as of March 30, 2019 and December 29, 2018, respectively; 78,218 and 78,167</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shares outstanding as of March 30, 2019 and December 29, 2018, respectively</w:t>
            </w:r>
          </w:p>
        </w:tc>
        <w:tc>
          <w:tcPr>
            <w:tcW w:w="48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672,503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74,840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Treasury stock, at cost; 79 shares as of March 30, 2019 and December 29, 2018</w:t>
            </w:r>
          </w:p>
        </w:tc>
        <w:tc>
          <w:tcPr>
            <w:tcW w:w="4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762,580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743,154</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2,053,092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71"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08" w:right="239" w:bottom="171"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781"/>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56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756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30, 2019 and March 31, 2018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6620" w:type="dxa"/>
            <w:vAlign w:val="bottom"/>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In Thousands, Except Earnings Per Share</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8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March 30, 2019</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31, 2018</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383,160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338,777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9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69,198</w:t>
            </w:r>
          </w:p>
        </w:tc>
      </w:tr>
      <w:tr>
        <w:trPr>
          <w:trHeight w:val="237"/>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9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461,215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407,975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Products</w:t>
            </w:r>
          </w:p>
        </w:tc>
        <w:tc>
          <w:tcPr>
            <w:tcW w:w="9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130,878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 and plans</w:t>
            </w:r>
          </w:p>
        </w:tc>
        <w:tc>
          <w:tcPr>
            <w:tcW w:w="9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49,576</w:t>
            </w:r>
          </w:p>
        </w:tc>
      </w:tr>
      <w:tr>
        <w:trPr>
          <w:trHeight w:val="237"/>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9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211,969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180,454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170,689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17,862</w:t>
            </w: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9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216,846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188,673</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38,848</w:t>
            </w: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9,313</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29,535</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9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5,080</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24,455</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74,714</w:t>
            </w: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77,837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24,455</w:t>
            </w: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9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provision (benefit) of unrealized gain (loss) on hedge instruments</w:t>
            </w:r>
          </w:p>
        </w:tc>
        <w:tc>
          <w:tcPr>
            <w:tcW w:w="9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r>
      <w:tr>
        <w:trPr>
          <w:trHeight w:val="25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29,079</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12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422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960" w:type="dxa"/>
            <w:vAlign w:val="bottom"/>
            <w:gridSpan w:val="9"/>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960" w:type="dxa"/>
            <w:vAlign w:val="bottom"/>
            <w:gridSpan w:val="9"/>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30, 2019 and March 31, 2018</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March 30, 2019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Additional</w:t>
            </w:r>
          </w:p>
        </w:tc>
        <w:tc>
          <w:tcPr>
            <w:tcW w:w="18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Other</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Paid-In</w:t>
            </w:r>
          </w:p>
        </w:tc>
        <w:tc>
          <w:tcPr>
            <w:tcW w:w="180" w:type="dxa"/>
            <w:vAlign w:val="bottom"/>
          </w:tcPr>
          <w:p>
            <w:pPr>
              <w:spacing w:after="0"/>
              <w:rPr>
                <w:sz w:val="16"/>
                <w:szCs w:val="16"/>
                <w:color w:val="auto"/>
              </w:rPr>
            </w:pPr>
          </w:p>
        </w:tc>
        <w:tc>
          <w:tcPr>
            <w:tcW w:w="13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Comprehensive</w:t>
            </w:r>
          </w:p>
        </w:tc>
        <w:tc>
          <w:tcPr>
            <w:tcW w:w="360" w:type="dxa"/>
            <w:vAlign w:val="bottom"/>
          </w:tcPr>
          <w:p>
            <w:pPr>
              <w:spacing w:after="0"/>
              <w:rPr>
                <w:sz w:val="16"/>
                <w:szCs w:val="16"/>
                <w:color w:val="auto"/>
              </w:rPr>
            </w:pPr>
          </w:p>
        </w:tc>
        <w:tc>
          <w:tcPr>
            <w:tcW w:w="100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w w:val="99"/>
              </w:rPr>
              <w:t>Retained</w:t>
            </w:r>
          </w:p>
        </w:tc>
        <w:tc>
          <w:tcPr>
            <w:tcW w:w="140" w:type="dxa"/>
            <w:vAlign w:val="bottom"/>
          </w:tcPr>
          <w:p>
            <w:pPr>
              <w:spacing w:after="0"/>
              <w:rPr>
                <w:sz w:val="16"/>
                <w:szCs w:val="16"/>
                <w:color w:val="auto"/>
              </w:rPr>
            </w:pPr>
          </w:p>
        </w:tc>
        <w:tc>
          <w:tcPr>
            <w:tcW w:w="78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Loss</w:t>
            </w:r>
          </w:p>
        </w:tc>
        <w:tc>
          <w:tcPr>
            <w:tcW w:w="3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Earnings</w:t>
            </w:r>
          </w:p>
        </w:tc>
        <w:tc>
          <w:tcPr>
            <w:tcW w:w="14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29, 2018</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78,167</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743,154</w:t>
            </w:r>
          </w:p>
        </w:tc>
        <w:tc>
          <w:tcPr>
            <w:tcW w:w="0" w:type="dxa"/>
            <w:vAlign w:val="bottom"/>
          </w:tcPr>
          <w:p>
            <w:pPr>
              <w:spacing w:after="0"/>
              <w:rPr>
                <w:sz w:val="1"/>
                <w:szCs w:val="1"/>
                <w:color w:val="auto"/>
              </w:rPr>
            </w:pPr>
          </w:p>
        </w:tc>
      </w:tr>
      <w:tr>
        <w:trPr>
          <w:trHeight w:val="225"/>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principle</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30, 2018 - as adjusted</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78,167</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672,503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74,334</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742,648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25"/>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w:t>
            </w:r>
          </w:p>
        </w:tc>
        <w:tc>
          <w:tcPr>
            <w:tcW w:w="0" w:type="dxa"/>
            <w:vAlign w:val="bottom"/>
          </w:tcPr>
          <w:p>
            <w:pPr>
              <w:spacing w:after="0"/>
              <w:rPr>
                <w:sz w:val="1"/>
                <w:szCs w:val="1"/>
                <w:color w:val="auto"/>
              </w:rPr>
            </w:pPr>
          </w:p>
        </w:tc>
      </w:tr>
      <w:tr>
        <w:trPr>
          <w:trHeight w:val="257"/>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Balances at March 30, 2019</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78,218</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675,952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91,763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762,580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March 31, 2018</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Additional</w:t>
            </w:r>
          </w:p>
        </w:tc>
        <w:tc>
          <w:tcPr>
            <w:tcW w:w="18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Other</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Paid-In</w:t>
            </w:r>
          </w:p>
        </w:tc>
        <w:tc>
          <w:tcPr>
            <w:tcW w:w="180" w:type="dxa"/>
            <w:vAlign w:val="bottom"/>
          </w:tcPr>
          <w:p>
            <w:pPr>
              <w:spacing w:after="0"/>
              <w:rPr>
                <w:sz w:val="16"/>
                <w:szCs w:val="16"/>
                <w:color w:val="auto"/>
              </w:rPr>
            </w:pPr>
          </w:p>
        </w:tc>
        <w:tc>
          <w:tcPr>
            <w:tcW w:w="13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Comprehensive</w:t>
            </w:r>
          </w:p>
        </w:tc>
        <w:tc>
          <w:tcPr>
            <w:tcW w:w="360" w:type="dxa"/>
            <w:vAlign w:val="bottom"/>
          </w:tcPr>
          <w:p>
            <w:pPr>
              <w:spacing w:after="0"/>
              <w:rPr>
                <w:sz w:val="16"/>
                <w:szCs w:val="16"/>
                <w:color w:val="auto"/>
              </w:rPr>
            </w:pPr>
          </w:p>
        </w:tc>
        <w:tc>
          <w:tcPr>
            <w:tcW w:w="100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w w:val="99"/>
              </w:rPr>
              <w:t>Retained</w:t>
            </w:r>
          </w:p>
        </w:tc>
        <w:tc>
          <w:tcPr>
            <w:tcW w:w="140" w:type="dxa"/>
            <w:vAlign w:val="bottom"/>
          </w:tcPr>
          <w:p>
            <w:pPr>
              <w:spacing w:after="0"/>
              <w:rPr>
                <w:sz w:val="16"/>
                <w:szCs w:val="16"/>
                <w:color w:val="auto"/>
              </w:rPr>
            </w:pPr>
          </w:p>
        </w:tc>
        <w:tc>
          <w:tcPr>
            <w:tcW w:w="78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Loss</w:t>
            </w:r>
          </w:p>
        </w:tc>
        <w:tc>
          <w:tcPr>
            <w:tcW w:w="3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Earnings</w:t>
            </w:r>
          </w:p>
        </w:tc>
        <w:tc>
          <w:tcPr>
            <w:tcW w:w="14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30, 2017</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74,654</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654,600</w:t>
            </w:r>
          </w:p>
        </w:tc>
        <w:tc>
          <w:tcPr>
            <w:tcW w:w="0" w:type="dxa"/>
            <w:vAlign w:val="bottom"/>
          </w:tcPr>
          <w:p>
            <w:pPr>
              <w:spacing w:after="0"/>
              <w:rPr>
                <w:sz w:val="1"/>
                <w:szCs w:val="1"/>
                <w:color w:val="auto"/>
              </w:rPr>
            </w:pPr>
          </w:p>
        </w:tc>
      </w:tr>
      <w:tr>
        <w:trPr>
          <w:trHeight w:val="225"/>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principle</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31, 2017 - as adjusted</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74,654</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631,798</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673,630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24,455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March 31, 2018</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75,078</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705,698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30, 2019 and 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30, 2019</w:t>
            </w:r>
          </w:p>
        </w:tc>
        <w:tc>
          <w:tcPr>
            <w:tcW w:w="220" w:type="dxa"/>
            <w:vAlign w:val="bottom"/>
          </w:tcPr>
          <w:p>
            <w:pPr>
              <w:spacing w:after="0"/>
              <w:rPr>
                <w:sz w:val="20"/>
                <w:szCs w:val="20"/>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March 31, 2018</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17,429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24,455</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17,862</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loan costs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430</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Asset impairment</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5,080</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1,596</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Inventory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522</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Bad debt expense</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1,620</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10,418</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4,261</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15,248</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77,787</w:t>
            </w: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(22,792)</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(22,676)</w:t>
            </w: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2,312</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55,854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54,810</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5,193</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73,852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60,003</w:t>
            </w:r>
          </w:p>
        </w:tc>
      </w:tr>
      <w:tr>
        <w:trPr>
          <w:trHeight w:val="257"/>
        </w:trPr>
        <w:tc>
          <w:tcPr>
            <w:tcW w:w="7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10,573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accrued at the end of the period</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8,934</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Right of use assets acquired under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1,416</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 of use assets acquired under operating leases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30, 2019</w:t>
            </w:r>
          </w:p>
        </w:tc>
        <w:tc>
          <w:tcPr>
            <w:tcW w:w="220" w:type="dxa"/>
            <w:vAlign w:val="bottom"/>
          </w:tcPr>
          <w:p>
            <w:pPr>
              <w:spacing w:after="0"/>
              <w:rPr>
                <w:sz w:val="20"/>
                <w:szCs w:val="20"/>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March 31, 2018</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72,506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58,433</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1,570</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60,003</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239"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239"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and its territories. We operated 1,105 and 1,082 retail optical locations as of March 30, 2019 and December 29, 2018, respectively, through our five store brands, including America’s Best Contacts and Eyeglasses (“America’s Best”), Eyeglass World, Vista Optical locations on U.S. Army/Air Force military bases and within Fred Meyer stores, and our management and services arrangement with Walmart (“legacy”).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prepared the accompanying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29, 2018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March 30, 2019, the consolidated results of operations and comprehensive income, statements of changes in shareholders’ equity, and its statements of cash flows for the three months ended March 30, 2019 and March 31, 2018.</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interim condensed consolidated financial statements should be read in conjunction with our audited consolidated financial statements and the notes thereto for the fiscal year ended December 29, 2018 included in the Company’s Annual Report on Form 10-K with the SEC for fiscal year 2018 filed on February 27, 2019.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three months ended March 30, 2019, except for the adoption of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See “Adoption of New Accounting Pronouncements” below for further discussion.</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year consists of 52 or 53 weeks ending on the Saturday closest to December 31. Fiscal year 2019 contains 52 weeks and will end on December 28, 2019. All three month periods presented herein contain 13 weeks. All references to years and quarters relate to fiscal periods rather than calendar periods.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results of operations for the three months ended March 30, 2019 and March 31, 2018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fiscal quarter, and a lower portion of net revenue, income from operations, and cash flows from operations in the fourth fiscal quarter. The seasonally larger first quarter is attributable primarily to the timing of our customers’ personal income tax refunds and annual health insurance program start or reset periods. Seasonality related to fourth quarter holiday spending by retail customers generally does not impact our business. Our quarterly consolidated results can also be affected by the timing of new store openings, store closings, and certain holidays.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could differ from those estimates.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impairment of long-lived tangible and right of use (“ROU”) store assets at the store level, which is the lowest level at which independent cash flows can be identified, when events or conditions indicate the carrying value of such assets may not be recoverable. If the store's projected undiscounted net cash flows expected to be generated by the related assets over the shorter of the remaining useful life or the remaining term of the lease are less than the carrying value of the subject assets, we then measure impairment based on a discounted cash flow model and fair market value of the lease asset and record an impairment charge as the excess of carrying value over estimated fair value.</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30, 2019, we identified indicators of impairment in our long-lived tangible and ROU store assets and recorded a $2.1 million impairment charge. The remaining estimated fair value of the impaired assets was $1.3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rate for the three months ended March 30, 2019 reflected our statutory federal and state rate of 25.7%, and an additional discrete benefit of $0.2 million associated primarily with the exercise of stock options. In comparison, the income tax rate associated with the three months ended March 31, 2018 was reduced by a $2.7 million income tax benefit resulting from stock option exercises.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This new guidance establishes a ROU model that requires a lessee to record a ROU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asset and a lease liability on the balance sheet for all leases with terms longer than 12 months. Leases are classified as either financing or operating, with such classification affecting the pattern of expense recognition in the statement of operations. </w:t>
      </w:r>
      <w:r>
        <w:rPr>
          <w:rFonts w:ascii="Times New Roman" w:cs="Times New Roman" w:eastAsia="Times New Roman" w:hAnsi="Times New Roman"/>
          <w:sz w:val="18"/>
          <w:szCs w:val="18"/>
          <w:color w:val="252525"/>
        </w:rPr>
        <w:t>Disclosure of key information about leasing arrangements is also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required.</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adopted ASU No. 2016-02, as amended, as of December 30, 2018 (the first day of fiscal year 2019), using the modified retrospective transition approach without adjusting the comparative periods presented. We elected the package of practical expedients permitted under the transition guidance within the new standard, which allowed us to carry forward historical lease classification for leases in existence as of the adoption date, to not assess whether any expired or existing contracts are leases or contain leases and to not assess whether unamortized initial direct costs for existing leases meet the definition of initial direct costs. In addition, we elected the practical expedients to not separate lease components from non-lease components and to not apply this new guidance to leases with terms of less than 12 months.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adoption, we recorded operating lease liabilities of approximately $349.7 million as of December 30, 2018. The Company treated tenant improvement allowances (“TIAs”) and deferred rent of $28.6 million and $11.9 million, respectively, as of December 30, 2018 as reductions of lease payments used to measure ROU assets and recorded $308.5 million of lease ROU assets upon adoption. The difference between the additional lease assets and lease liabilities net of the deferred tax impact was $0.5 million and recorded as an adjustment to fiscal year 2019 opening retained earnings. Adoption of this new guidance did not result in significant changes to our results of operations and cash flows. See Note 7. “Leases”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252525"/>
        </w:rPr>
        <w:t xml:space="preserve">Cloud Computing. </w:t>
      </w:r>
      <w:r>
        <w:rPr>
          <w:rFonts w:ascii="Times New Roman" w:cs="Times New Roman" w:eastAsia="Times New Roman" w:hAnsi="Times New Roman"/>
          <w:sz w:val="18"/>
          <w:szCs w:val="18"/>
          <w:color w:val="000000"/>
        </w:rPr>
        <w:t>In August 2018, the FASB issued ASU No. 2018-15,</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i w:val="1"/>
          <w:iCs w:val="1"/>
          <w:color w:val="000000"/>
        </w:rPr>
        <w:t>Intangibles – Goodwill and Other – Internal-Use Software (Subtopic 350-40):</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i w:val="1"/>
          <w:iCs w:val="1"/>
          <w:color w:val="000000"/>
        </w:rPr>
        <w:t xml:space="preserve">Customer’s Accounting 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000000"/>
        </w:rPr>
        <w:t>This new guidance aligns the requirements for capitalizing implementation costs incurred in a hosting arrangement that is a</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The Company is in the process of assessing the new guidance.</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In June 2016, the FASB issued ASU No. 2016-13,</w:t>
      </w:r>
      <w:r>
        <w:rPr>
          <w:rFonts w:ascii="Times New Roman" w:cs="Times New Roman" w:eastAsia="Times New Roman" w:hAnsi="Times New Roman"/>
          <w:sz w:val="18"/>
          <w:szCs w:val="18"/>
          <w:i w:val="1"/>
          <w:iCs w:val="1"/>
          <w:color w:val="auto"/>
        </w:rPr>
        <w:t xml:space="preserve"> Measurement of Credit Losses on Financial Instruments. </w:t>
      </w:r>
      <w:r>
        <w:rPr>
          <w:rFonts w:ascii="Times New Roman" w:cs="Times New Roman" w:eastAsia="Times New Roman" w:hAnsi="Times New Roman"/>
          <w:sz w:val="18"/>
          <w:szCs w:val="18"/>
          <w:color w:val="auto"/>
        </w:rPr>
        <w:t>This new guidance requires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to assess impairment of its financial instruments based on its estimate of expected credit losses. This guidance is effective for fiscal years beginning after December 15, 2019, and for interim reporting periods within those fiscal years. The Company is in the process of assessing the new guidance.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1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Details of Certain Balance Sheet Accounts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18"/>
                <w:szCs w:val="18"/>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18"/>
                <w:szCs w:val="18"/>
                <w:color w:val="auto"/>
              </w:rPr>
            </w:pP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March 30, 2019</w:t>
            </w: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27,356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16,636</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Tenant improvement allowances receivable</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4,206</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uncollectible accounts</w:t>
            </w:r>
          </w:p>
        </w:tc>
        <w:tc>
          <w:tcPr>
            <w:tcW w:w="3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50,735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4"/>
                <w:szCs w:val="24"/>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24"/>
                <w:szCs w:val="24"/>
                <w:color w:val="auto"/>
              </w:rPr>
            </w:pP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March 30, 2019</w:t>
            </w: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Raw materials and work in process </w:t>
            </w:r>
            <w:r>
              <w:rPr>
                <w:rFonts w:ascii="Times New Roman" w:cs="Times New Roman" w:eastAsia="Times New Roman" w:hAnsi="Times New Roman"/>
                <w:sz w:val="25"/>
                <w:szCs w:val="25"/>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55,181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59,946</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56,076</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111,936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5" w:lineRule="exact"/>
        <w:rPr>
          <w:sz w:val="20"/>
          <w:szCs w:val="20"/>
          <w:color w:val="auto"/>
        </w:rPr>
      </w:pPr>
    </w:p>
    <w:p>
      <w:pPr>
        <w:ind w:left="40" w:right="560" w:hanging="5"/>
        <w:spacing w:after="0" w:line="262" w:lineRule="auto"/>
        <w:tabs>
          <w:tab w:leader="none" w:pos="28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-216535</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18"/>
                <w:szCs w:val="18"/>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18"/>
                <w:szCs w:val="18"/>
                <w:color w:val="auto"/>
              </w:rPr>
            </w:pP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March 30, 2019</w:t>
            </w: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and building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160,958</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systems hardware and software</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48,992</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194,840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186,499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40,697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under finance leases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25,446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568,033</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212,916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364,627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355,117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4"/>
                <w:szCs w:val="24"/>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24"/>
                <w:szCs w:val="24"/>
                <w:color w:val="auto"/>
              </w:rPr>
            </w:pP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March 30, 2019</w:t>
            </w: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20,529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Self-insurance reserves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14,078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management and services agreement</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14,179</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97,668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81,004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Details of Certain Balance Sheet Accounts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As of</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30, 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17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Tenant improvements </w:t>
            </w:r>
            <w:r>
              <w:rPr>
                <w:rFonts w:ascii="Times New Roman" w:cs="Times New Roman" w:eastAsia="Times New Roman" w:hAnsi="Times New Roman"/>
                <w:sz w:val="25"/>
                <w:szCs w:val="25"/>
                <w:color w:val="auto"/>
                <w:vertAlign w:val="superscript"/>
              </w:rPr>
              <w:t>(1)</w:t>
            </w:r>
          </w:p>
        </w:tc>
        <w:tc>
          <w:tcPr>
            <w:tcW w:w="17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30,851</w:t>
            </w: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Deferred rental expenses </w:t>
            </w:r>
            <w:r>
              <w:rPr>
                <w:rFonts w:ascii="Times New Roman" w:cs="Times New Roman" w:eastAsia="Times New Roman" w:hAnsi="Times New Roman"/>
                <w:sz w:val="25"/>
                <w:szCs w:val="25"/>
                <w:color w:val="auto"/>
                <w:vertAlign w:val="superscript"/>
              </w:rPr>
              <w:t>(1)</w:t>
            </w:r>
          </w:p>
        </w:tc>
        <w:tc>
          <w:tcPr>
            <w:tcW w:w="17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Self-insurance reserves</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53,964</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280" w:hanging="245"/>
        <w:spacing w:after="0"/>
        <w:tabs>
          <w:tab w:leader="none" w:pos="2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improvements and deferred rental expenses are used to measure ROU assets on the balance sheet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 of March 30, 2019. See Note 7. “Leases” for further details.</w:t>
      </w:r>
    </w:p>
    <w:p>
      <w:pPr>
        <w:spacing w:after="0" w:line="125"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of Financial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-305435</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pricing based upon its own market assumptions.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inputs are based upon unadjusted quoted prices for identical instruments traded in active markets.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 of cash and cash equivalents approximates fair value due to the short term maturity of the instruments. All cash and cash equivalents are denominated in U.S. currency.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 of accounts receivable approximates fair value due to the short-term nature of those items and the effect of related allowances for doubtful accounts.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Other Payables and Accrued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other payables and accrued expenses approximate fair value due to the short-term nature of those items.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10"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 of Financial Assets and Liabilities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 First Lien Credit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traded in private markets on a less-than-daily basis. Fair value is based on the average of trading prices and bid/ask quotes around period-end (Level 2 inputs). The estimated fair values of our long term debt was $558.2 million and $556.1 million as of March 30, 2019 and December 29, 2018, respectively, compared to carrying values of $552.8 million and $553.6 million, respectively, which includes the current portion, and is net of unamortized discounts and deferred debt issuance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 Finance Leases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finance lease obligations is based on estimated future contractual cash flows discounted at an appropriate market rate of interest (Level 2 inputs). The estimated fair values of our finance leases were $40.0 million and $30.7 million as of March 30, 2019 and December 29, 2018, respectively, compared to carrying values of $34.1 million and $24.5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three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agreements. During the first quarter of 2019, in accordance with the original agreements with the counterparties, the notional amount of the first derivative decreased from $140 million to $105 million. There were no other changes in the terms of the arrangements.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swaps prior to their scheduled expiration dates. Fair value is based on information that is model-driven and whose inputs are observable (Level 2 inputs). Cumulative unrealized gains and losses on derivative instruments are recorded in accumulated other comprehensive loss (“AOCL”), net of tax. As of March 30, 2019, the Company expects to reclassify $2.8 million, net of tax, of AOCL into earnings in the next 12 months. See Note 11. “Accumulated Other Comprehensive Loss” for further details.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cash flows of each derivative are expected to be highly effective in offsetting the changes in interest payments on a principal balance equal to the derivative’s notional amount, attributable to the hedged risk. Our hedges have been deemed highly effective since inception as a result of our quarterly hedge effectiveness testing.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Other Payables and</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4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Notional Amount</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Final Maturity Date</w:t>
            </w:r>
          </w:p>
        </w:tc>
        <w:tc>
          <w:tcPr>
            <w:tcW w:w="140" w:type="dxa"/>
            <w:vAlign w:val="bottom"/>
          </w:tcPr>
          <w:p>
            <w:pPr>
              <w:spacing w:after="0"/>
              <w:rPr>
                <w:sz w:val="22"/>
                <w:szCs w:val="22"/>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1700" w:type="dxa"/>
            <w:vAlign w:val="bottom"/>
            <w:gridSpan w:val="2"/>
          </w:tcPr>
          <w:p>
            <w:pPr>
              <w:jc w:val="right"/>
              <w:spacing w:after="0" w:line="262" w:lineRule="exact"/>
              <w:rPr>
                <w:sz w:val="20"/>
                <w:szCs w:val="20"/>
                <w:color w:val="auto"/>
              </w:rPr>
            </w:pPr>
            <w:r>
              <w:rPr>
                <w:rFonts w:ascii="Times New Roman" w:cs="Times New Roman" w:eastAsia="Times New Roman" w:hAnsi="Times New Roman"/>
                <w:sz w:val="18"/>
                <w:szCs w:val="18"/>
                <w:color w:val="auto"/>
              </w:rPr>
              <w:t xml:space="preserve">AOCL, Net of Tax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05"/>
        </w:trPr>
        <w:tc>
          <w:tcPr>
            <w:tcW w:w="2420" w:type="dxa"/>
            <w:vAlign w:val="bottom"/>
            <w:tcBorders>
              <w:top w:val="single" w:sz="8" w:color="CCEEFF"/>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As of</w:t>
            </w: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430,000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25"/>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As of</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465,000</w:t>
            </w: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stranded tax benefit of $2.1 million within AOCL from adopting provisions of the Tax Legislation of 2017 during the year ended December 30, 2017.</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 Incentive Plans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 stock based compensation activity:</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0"/>
        </w:trPr>
        <w:tc>
          <w:tcPr>
            <w:tcW w:w="7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Performance-based</w:t>
            </w:r>
          </w:p>
        </w:tc>
      </w:tr>
      <w:tr>
        <w:trPr>
          <w:trHeight w:val="261"/>
        </w:trPr>
        <w:tc>
          <w:tcPr>
            <w:tcW w:w="7440" w:type="dxa"/>
            <w:vAlign w:val="bottom"/>
          </w:tcPr>
          <w:p>
            <w:pPr>
              <w:spacing w:after="0"/>
              <w:rPr>
                <w:sz w:val="22"/>
                <w:szCs w:val="22"/>
                <w:color w:val="auto"/>
              </w:rPr>
            </w:pPr>
          </w:p>
        </w:tc>
        <w:tc>
          <w:tcPr>
            <w:tcW w:w="2040" w:type="dxa"/>
            <w:vAlign w:val="bottom"/>
            <w:gridSpan w:val="2"/>
          </w:tcPr>
          <w:p>
            <w:pPr>
              <w:ind w:left="80"/>
              <w:spacing w:after="0" w:line="262" w:lineRule="exact"/>
              <w:rPr>
                <w:sz w:val="20"/>
                <w:szCs w:val="20"/>
                <w:color w:val="auto"/>
              </w:rPr>
            </w:pPr>
            <w:r>
              <w:rPr>
                <w:rFonts w:ascii="Times New Roman" w:cs="Times New Roman" w:eastAsia="Times New Roman" w:hAnsi="Times New Roman"/>
                <w:sz w:val="18"/>
                <w:szCs w:val="18"/>
                <w:color w:val="auto"/>
              </w:rPr>
              <w:t xml:space="preserve">Service-based options </w:t>
            </w:r>
            <w:r>
              <w:rPr>
                <w:rFonts w:ascii="Times New Roman" w:cs="Times New Roman" w:eastAsia="Times New Roman" w:hAnsi="Times New Roman"/>
                <w:sz w:val="25"/>
                <w:szCs w:val="25"/>
                <w:color w:val="auto"/>
                <w:vertAlign w:val="superscript"/>
              </w:rPr>
              <w:t>(1)</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options</w:t>
            </w:r>
          </w:p>
        </w:tc>
      </w:tr>
      <w:tr>
        <w:trPr>
          <w:trHeight w:val="24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29, 2018</w:t>
            </w:r>
          </w:p>
        </w:tc>
        <w:tc>
          <w:tcPr>
            <w:tcW w:w="1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2,583,380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4,143,781</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254,712</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(42,161)</w:t>
            </w: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30, 2019</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2,831,808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4,065,161</w:t>
            </w: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exercisable at March 30, 2019</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1,900,111</w:t>
            </w:r>
          </w:p>
        </w:tc>
        <w:tc>
          <w:tcPr>
            <w:tcW w:w="100" w:type="dxa"/>
            <w:vAlign w:val="bottom"/>
          </w:tcPr>
          <w:p>
            <w:pPr>
              <w:spacing w:after="0"/>
              <w:rPr>
                <w:sz w:val="20"/>
                <w:szCs w:val="20"/>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1,724,551</w:t>
            </w:r>
          </w:p>
        </w:tc>
      </w:tr>
    </w:tbl>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Includes service-based options under the Vision Holding Corp. Amended and Restated 2013 Equity Incentive Plan, the 2014 Stock Incentive Plan, and the 2017 Omnibus Incentive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Performance-based</w:t>
            </w:r>
          </w:p>
        </w:tc>
        <w:tc>
          <w:tcPr>
            <w:tcW w:w="194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Service-based restricted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restricted stock unit</w:t>
            </w:r>
          </w:p>
        </w:tc>
        <w:tc>
          <w:tcPr>
            <w:tcW w:w="1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Restricted stock (RSA)</w:t>
            </w:r>
          </w:p>
        </w:tc>
      </w:tr>
      <w:tr>
        <w:trPr>
          <w:trHeight w:val="234"/>
        </w:trPr>
        <w:tc>
          <w:tcPr>
            <w:tcW w:w="5380" w:type="dxa"/>
            <w:vAlign w:val="bottom"/>
          </w:tcPr>
          <w:p>
            <w:pPr>
              <w:spacing w:after="0"/>
              <w:rPr>
                <w:sz w:val="20"/>
                <w:szCs w:val="20"/>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 unit (RSU) awards</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(PSU) awards</w:t>
            </w:r>
          </w:p>
        </w:tc>
        <w:tc>
          <w:tcPr>
            <w:tcW w:w="1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awards</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29, 2018</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98,076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11,431</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101,014</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102,936</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30, 2019</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196,267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102,936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10,644</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March 1, 2019, the Company made an annual grant of stock options, performance-based restricted stock units (“PSUs”) and/or restricted stock units (“RSUs”) to eligible employees under the National Vision Holdings, Inc. 2017 Omnibus Incentive Plan (the “2017 Omnibus Incentive Plan”). The time-based options granted in fiscal 2019 vest in three equal annual installments, with one-third of the total number of shares underlying the options vesting on each of the first, second, and third anniversary of March 1, 2019, subject to continued employment through the applicable vesting date. The PSUs granted in fiscal 2019 are settled after the end of the performance period (i.e., cliff vesting), which begins on the first day of our 2019 fiscal year and ends on the last day of our 2021 fiscal year, and are based on the Company’s achievement of certain performance targets. The RSUs granted in fiscal 2019 vest in three equal installments through March 1, 2022. The weighted average grant date fair value of RSUs and PSUs granted during the three months ended March 30, 2019 was $35.19.</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price of options exercised during the three months ended March 30, 2019 was $4.71. The weighted average grant date fair value of the stock options granted during the three months ended March 30, 2019 was $14.22.</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compensation expense under the Company’s plans, which is included in SG&amp;A in the accompanying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 2019</w:t>
            </w:r>
          </w:p>
        </w:tc>
        <w:tc>
          <w:tcPr>
            <w:tcW w:w="26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 and PSUs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RSAs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Associate stock purchase plan</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unrecognized compensation cost as of March 30, 2019 related to RSUs, PSUs and service-based options granted in 2019 was $3.4 million, $3.5 million and $3.5 million,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Net Assets of Non-Consolidated Investee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net in the Company’s condensed consolidated statements of operations. Our interest in the investee’s net losses was $0.6 million and $0.2 million for the three months ended March 30, 2019 and March 31, 2018, respectively. After adjusting the carrying value of our interest in the investee’s reported net losses, our investment balance in the business was $0.4 million and $1.0 million as of March 30, 2019 and December 29, 2018, respectively, which is included in other assets in the accompanying condensed consolidated balance sheets.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a licensee of our investee. During the three months ended March 30, 2019, the licensing fees recorded in SG&amp;A were immaterial. During the three months ended March 31, 2018, we recorded $0.2 million in licensing fees. Additionally, on August 29, 2017, the investee issued a secured convertible promissory note to the Company, in the principal amount of $1.5 million, due on August 29, 2020, which is included in non-current other assets in the accompanying condensed consolidated balance sheets. Interest income associated with the note was immaterial for the three months ended March 30, 2019 and March 31, 2018.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From Contracts with Customers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recognized either at the point of sale or upon delivery and customer acceptance, paid for at the time of sale in cash, credit card, or on account with managed care payors having terms generally between 14 and 120 days, with most paying within 90 days.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eyecare club memberships and management fees earned from our legacy partner.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disaggregation of revenues is based on the timing of revenue recognition: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 2019</w:t>
            </w:r>
          </w:p>
        </w:tc>
        <w:tc>
          <w:tcPr>
            <w:tcW w:w="26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372,765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35,210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461,215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407,975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9."Segment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contract assets and contract liabilities primarily result from timing differences between the performance of our obligations and the customer’s payment.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Trade receivables and credit card receivables are included in accounts receivable, net, on our condensed consolidated balance sheets, and are presented separately in Note 2. “Details of Certain Balance Sheet Accounts.”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reduced by allowances for amounts that may become uncollectible. Estimates of our allowance for uncollectible accounts are based on our historical and current operating, billing, and collection trends. Impairment losses (i.e., bad debt expense) recognized on our receivables were approximately $2.0 million and $1.6 million for the three months ended March 30, 2019 and March 31, 2018, respectively.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From Contracts With Customers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and generally ranges from four to ten days. All unearned revenue at the end of a reporting period is recognized in the next fiscal period.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 liabilities also consist of deferred revenue on services and plans obligations, primarily product protection plans and eyecare club memberships. The unamortized portion of amounts we collect in advance for these services and plans are reported as deferred revenue in the accompanying condensed consolidated balance sheets (current and non- current portions). Our deferred revenue balance as of March 30, 2019 was $77.0 million. We expect future revenue recognition of this balance of $47.4 million, $21.0 million, $7.8 million, $0.7 million, and $0.1 million in fiscal years 2019, 2020, 2021, 2022, and thereafter, respectively. We recognized $27.7 million and $25.9 million of previously deferred revenues during the three months ended March 30, 2019 and March 31, 2018,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our stores, laboratories, distribution centers, and corporate offices.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lease liability. Our lease agreements do not contain any material residual value guarantees or material restrictive covenants. The Company does not consider its management and services agreement with legacy partner to contain a lease arrangement.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 arrangements include TIAs, which are contractual amounts received by a lessee from a lessor for improvements made to leased properties by the lessee. For operating leases, TIAs are treated as a reduction of the lease payments used to measure the ROU assets in the accompanying consolidated balance sheet as of March 30, 2019 (non-current liabilities as of December 29, 2018), and are amortized as a reduction in rental expense over the life of the respective leases.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finance leases, a lease ROU asset is recorded as property and equipment and corresponding amounts are recorded as debt obligations at an amount equal to the lesser of the net present value of minimum lease payments to be made over the lease term or the fair value of the property for leases in existence as of fiscal year end 2018 and at the net present value of the minimum lease payments to be made over the lease term for new finance leases entered into subsequent to fiscal year end 2018.</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rent or sublease certain parts of our stores to third parties. Our sublease portfolio consists mainly of operating leases with our ophthalmologists and optometrists within our stores.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1240" w:type="dxa"/>
            <w:vAlign w:val="bottom"/>
            <w:vMerge w:val="continue"/>
          </w:tcPr>
          <w:p>
            <w:pPr>
              <w:spacing w:after="0"/>
              <w:rPr>
                <w:sz w:val="20"/>
                <w:szCs w:val="20"/>
                <w:color w:val="auto"/>
              </w:rPr>
            </w:pPr>
          </w:p>
        </w:tc>
        <w:tc>
          <w:tcPr>
            <w:tcW w:w="7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March 30, 2019</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Type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28,192</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778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Right of use assets </w:t>
            </w:r>
            <w:r>
              <w:rPr>
                <w:rFonts w:ascii="Times New Roman" w:cs="Times New Roman" w:eastAsia="Times New Roman" w:hAnsi="Times New Roman"/>
                <w:sz w:val="25"/>
                <w:szCs w:val="25"/>
                <w:color w:val="auto"/>
                <w:vertAlign w:val="superscript"/>
              </w:rPr>
              <w:t>(a)</w:t>
            </w:r>
          </w:p>
        </w:tc>
        <w:tc>
          <w:tcPr>
            <w:tcW w:w="3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330,637</w:t>
            </w: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8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358,829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tcPr>
          <w:p>
            <w:pPr>
              <w:spacing w:after="0"/>
              <w:rPr>
                <w:sz w:val="20"/>
                <w:szCs w:val="20"/>
                <w:color w:val="auto"/>
              </w:rPr>
            </w:pPr>
          </w:p>
        </w:tc>
        <w:tc>
          <w:tcPr>
            <w:tcW w:w="77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55,967</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30,614</w:t>
            </w: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314,282</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404,347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40" w:right="300"/>
        <w:spacing w:after="0" w:line="262" w:lineRule="auto"/>
        <w:rPr>
          <w:sz w:val="20"/>
          <w:szCs w:val="20"/>
          <w:color w:val="auto"/>
        </w:rPr>
      </w:pPr>
      <w:r>
        <w:rPr>
          <w:rFonts w:ascii="Times New Roman" w:cs="Times New Roman" w:eastAsia="Times New Roman" w:hAnsi="Times New Roman"/>
          <w:sz w:val="14"/>
          <w:szCs w:val="14"/>
          <w:color w:val="auto"/>
        </w:rPr>
        <w:t>As most of our leases do not provide an implicit rate, we use our incremental borrowing rate based on the information available at commencement date in determining the present value of lease payments. We use the incremental borrowing rate on December 30, 2018, for operating leases that commenced prior to that date.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 TIA of $30.2 million, as of March 30, 2019, is treated as a reduction of lease payments used to measure ROU assets.</w:t>
      </w:r>
    </w:p>
    <w:p>
      <w:pPr>
        <w:spacing w:after="0" w:line="12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Finance lease assets are recorded net of accumulated amortization of $4.9 million and $4.1 million as of March 30, 2019 and December 30, 2018,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2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90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March 30, 2019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Lease cost by classification</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18,163</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5"/>
                <w:szCs w:val="25"/>
                <w:color w:val="auto"/>
                <w:vertAlign w:val="superscript"/>
              </w:rPr>
              <w:t>(b)</w:t>
            </w:r>
          </w:p>
        </w:tc>
        <w:tc>
          <w:tcPr>
            <w:tcW w:w="280" w:type="dxa"/>
            <w:vAlign w:val="bottom"/>
          </w:tcPr>
          <w:p>
            <w:pPr>
              <w:spacing w:after="0"/>
              <w:rPr>
                <w:sz w:val="23"/>
                <w:szCs w:val="23"/>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6,466</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97"/>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28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97"/>
        </w:trPr>
        <w:tc>
          <w:tcPr>
            <w:tcW w:w="90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25,535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0" w:hanging="245"/>
        <w:spacing w:after="0"/>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41" w:lineRule="exact"/>
        <w:rPr>
          <w:rFonts w:ascii="Times New Roman" w:cs="Times New Roman" w:eastAsia="Times New Roman" w:hAnsi="Times New Roman"/>
          <w:sz w:val="14"/>
          <w:szCs w:val="14"/>
          <w:color w:val="auto"/>
        </w:rPr>
      </w:pPr>
    </w:p>
    <w:p>
      <w:pPr>
        <w:ind w:left="40" w:right="340" w:hanging="5"/>
        <w:spacing w:after="0" w:line="261" w:lineRule="auto"/>
        <w:tabs>
          <w:tab w:leader="none" w:pos="2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well as lease costs above minimum thresholds for Fred Meyer stores and lease costs for Military stores.</w:t>
      </w:r>
    </w:p>
    <w:p>
      <w:pPr>
        <w:ind w:left="280" w:hanging="245"/>
        <w:spacing w:after="0"/>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sub-leasing of stores includes rental income from operating lease properties to ophthalmologists and optometrists who are independent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-447040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gridSpan w:val="2"/>
          </w:tcPr>
          <w:p>
            <w:pPr>
              <w:ind w:left="390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94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Leases (continued)</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8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24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8940" w:type="dxa"/>
            <w:vAlign w:val="bottom"/>
            <w:gridSpan w:val="2"/>
            <w:vMerge w:val="continue"/>
          </w:tcPr>
          <w:p>
            <w:pPr>
              <w:spacing w:after="0"/>
              <w:rPr>
                <w:sz w:val="20"/>
                <w:szCs w:val="20"/>
                <w:color w:val="auto"/>
              </w:rPr>
            </w:pPr>
          </w:p>
        </w:tc>
        <w:tc>
          <w:tcPr>
            <w:tcW w:w="2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March 30, 2019</w:t>
            </w:r>
          </w:p>
        </w:tc>
        <w:tc>
          <w:tcPr>
            <w:tcW w:w="0" w:type="dxa"/>
            <w:vAlign w:val="bottom"/>
          </w:tcPr>
          <w:p>
            <w:pPr>
              <w:spacing w:after="0"/>
              <w:rPr>
                <w:sz w:val="1"/>
                <w:szCs w:val="1"/>
                <w:color w:val="auto"/>
              </w:rPr>
            </w:pPr>
          </w:p>
        </w:tc>
      </w:tr>
      <w:tr>
        <w:trPr>
          <w:trHeight w:val="27"/>
        </w:trPr>
        <w:tc>
          <w:tcPr>
            <w:tcW w:w="8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Weighted average remaining lease term (months)</w:t>
            </w:r>
          </w:p>
        </w:tc>
        <w:tc>
          <w:tcPr>
            <w:tcW w:w="2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0"/>
        </w:trPr>
        <w:tc>
          <w:tcPr>
            <w:tcW w:w="89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i w:val="1"/>
                <w:iCs w:val="1"/>
                <w:color w:val="auto"/>
              </w:rPr>
              <w:t xml:space="preserve">Weighted average discount rate </w:t>
            </w:r>
            <w:r>
              <w:rPr>
                <w:rFonts w:ascii="Times New Roman" w:cs="Times New Roman" w:eastAsia="Times New Roman" w:hAnsi="Times New Roman"/>
                <w:sz w:val="25"/>
                <w:szCs w:val="25"/>
                <w:i w:val="1"/>
                <w:iCs w:val="1"/>
                <w:color w:val="auto"/>
                <w:vertAlign w:val="superscript"/>
              </w:rPr>
              <w:t>(a)</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90"/>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5"/>
                <w:szCs w:val="25"/>
                <w:color w:val="auto"/>
                <w:vertAlign w:val="superscript"/>
              </w:rPr>
              <w:t>(b)</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ind w:left="40" w:right="80" w:hanging="5"/>
        <w:spacing w:after="0" w:line="233" w:lineRule="auto"/>
        <w:tabs>
          <w:tab w:leader="none" w:pos="2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used to determine the lease assets and lease liabilities was derived upon considering (i) incremental borrowing rates on our long-term debt; (ii) fixed rates we pay on our interest rate swaps; (iii) LIBOR margins for issuers of similar credit rating; (iv) borrowing rates on five-year and ten-year US Treasuries; and (v) effect of collateralization. As a majority of our leases are five year and 10 year leases, we determined a lease discount rate for such tenors and evaluated whether this discount rate is reasonable for leases that were entered into during the quarter.</w:t>
      </w:r>
    </w:p>
    <w:p>
      <w:pPr>
        <w:spacing w:after="0" w:line="14" w:lineRule="exact"/>
        <w:rPr>
          <w:rFonts w:ascii="Times New Roman" w:cs="Times New Roman" w:eastAsia="Times New Roman" w:hAnsi="Times New Roman"/>
          <w:sz w:val="14"/>
          <w:szCs w:val="14"/>
          <w:color w:val="auto"/>
        </w:rPr>
      </w:pPr>
    </w:p>
    <w:p>
      <w:pPr>
        <w:ind w:left="40" w:right="140" w:hanging="5"/>
        <w:spacing w:after="0" w:line="262" w:lineRule="auto"/>
        <w:tabs>
          <w:tab w:leader="none" w:pos="2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on finance leases is higher than operating leases because the present value of minimum lease payments was higher than the fair value of leased properties for certain of those leases. The discount rate differential for those leases is not material to our results of operations.</w:t>
      </w: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Cash paid for amounts included in the measurement of lease liabilities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cash outflows - operating leases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the maturity of our lease liabilities as of March 30, 2019:</w:t>
            </w: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Operating</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7"/>
              </w:rPr>
              <w:t xml:space="preserve">Leases </w:t>
            </w:r>
            <w:r>
              <w:rPr>
                <w:rFonts w:ascii="Times New Roman" w:cs="Times New Roman" w:eastAsia="Times New Roman" w:hAnsi="Times New Roman"/>
                <w:sz w:val="25"/>
                <w:szCs w:val="25"/>
                <w:color w:val="auto"/>
                <w:w w:val="97"/>
                <w:vertAlign w:val="superscript"/>
              </w:rPr>
              <w:t>(a)</w:t>
            </w:r>
          </w:p>
        </w:tc>
      </w:tr>
      <w:tr>
        <w:trPr>
          <w:trHeight w:val="237"/>
        </w:trPr>
        <w:tc>
          <w:tcPr>
            <w:tcW w:w="6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120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55,994</w:t>
            </w:r>
          </w:p>
        </w:tc>
      </w:tr>
      <w:tr>
        <w:trPr>
          <w:trHeight w:val="27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70,545</w:t>
            </w:r>
          </w:p>
        </w:tc>
      </w:tr>
      <w:tr>
        <w:trPr>
          <w:trHeight w:val="27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63,551</w:t>
            </w:r>
          </w:p>
        </w:tc>
      </w:tr>
      <w:tr>
        <w:trPr>
          <w:trHeight w:val="27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56,707</w:t>
            </w:r>
          </w:p>
        </w:tc>
      </w:tr>
      <w:tr>
        <w:trPr>
          <w:trHeight w:val="27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50,088</w:t>
            </w:r>
          </w:p>
        </w:tc>
      </w:tr>
      <w:tr>
        <w:trPr>
          <w:trHeight w:val="270"/>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138,267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1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435,152</w:t>
            </w:r>
          </w:p>
        </w:tc>
      </w:tr>
      <w:tr>
        <w:trPr>
          <w:trHeight w:val="270"/>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64,903</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r>
              <w:rPr>
                <w:rFonts w:ascii="Times New Roman" w:cs="Times New Roman" w:eastAsia="Times New Roman" w:hAnsi="Times New Roman"/>
                <w:sz w:val="25"/>
                <w:szCs w:val="25"/>
                <w:color w:val="auto"/>
                <w:vertAlign w:val="superscript"/>
              </w:rPr>
              <w:t>(c)</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-1238885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-1590040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280" w:hanging="245"/>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include $79.8 million related to options to extend lease terms that are reasonably certain of being exercised.</w:t>
      </w:r>
    </w:p>
    <w:p>
      <w:pPr>
        <w:spacing w:after="0" w:line="25" w:lineRule="exact"/>
        <w:rPr>
          <w:rFonts w:ascii="Times New Roman" w:cs="Times New Roman" w:eastAsia="Times New Roman" w:hAnsi="Times New Roman"/>
          <w:sz w:val="14"/>
          <w:szCs w:val="14"/>
          <w:color w:val="auto"/>
        </w:rPr>
      </w:pPr>
    </w:p>
    <w:p>
      <w:pPr>
        <w:ind w:left="280" w:hanging="245"/>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finance leases where the option to extend lease term is reasonably certain of being exercised.</w:t>
      </w:r>
    </w:p>
    <w:p>
      <w:pPr>
        <w:spacing w:after="0" w:line="41" w:lineRule="exact"/>
        <w:rPr>
          <w:rFonts w:ascii="Times New Roman" w:cs="Times New Roman" w:eastAsia="Times New Roman" w:hAnsi="Times New Roman"/>
          <w:sz w:val="14"/>
          <w:szCs w:val="14"/>
          <w:color w:val="auto"/>
        </w:rPr>
      </w:pPr>
    </w:p>
    <w:p>
      <w:pPr>
        <w:ind w:left="240" w:hanging="205"/>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lease liabilities excludes $29.6 million of legally binding minimum lease payments for leases signed but not yet commenced.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fiscal year end 2018, aggregate future minimum rental payments under our operating leases were as follows:</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2019</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left="-19"/>
        <w:spacing w:after="0" w:line="282" w:lineRule="auto"/>
        <w:rPr>
          <w:sz w:val="20"/>
          <w:szCs w:val="20"/>
          <w:color w:val="auto"/>
        </w:rPr>
      </w:pPr>
      <w:r>
        <w:rPr>
          <w:rFonts w:ascii="Times New Roman" w:cs="Times New Roman" w:eastAsia="Times New Roman" w:hAnsi="Times New Roman"/>
          <w:sz w:val="18"/>
          <w:szCs w:val="18"/>
          <w:color w:val="auto"/>
        </w:rPr>
        <w:t>Three Months Ended March 30, 2019</w:t>
      </w:r>
    </w:p>
    <w:p>
      <w:pPr>
        <w:spacing w:after="0" w:line="283"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18,146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5"/>
          <w:szCs w:val="25"/>
          <w:color w:val="auto"/>
          <w:vertAlign w:val="superscript"/>
        </w:rPr>
        <w:t>(b)</w:t>
      </w:r>
    </w:p>
    <w:p>
      <w:pPr>
        <w:spacing w:after="0" w:line="1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5,435</w:t>
      </w:r>
    </w:p>
    <w:p>
      <w:pPr>
        <w:spacing w:after="0" w:line="4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6,984</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6,876</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6,810</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5,828</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17,866</w:t>
      </w:r>
    </w:p>
    <w:p>
      <w:pPr>
        <w:spacing w:after="0" w:line="7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49,799</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15,701</w:t>
      </w:r>
    </w:p>
    <w:p>
      <w:pPr>
        <w:spacing w:after="0" w:line="7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51435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9"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69,372</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63,218</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56,219</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49,303</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42,545</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126,388</w:t>
      </w:r>
    </w:p>
    <w:p>
      <w:pPr>
        <w:spacing w:after="0" w:line="7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407,045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51435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920" w:space="140"/>
            <w:col w:w="2360"/>
          </w:cols>
          <w:pgMar w:left="240" w:top="121" w:right="2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future minimal rental payments above do not include amounts for variable executory costs such as insurance, real estate taxes and common area maintenance. These costs were approximately $18.0 million, $14.9 million and $13.9 million during fiscal years ended 2018, 2017 and 2016, respectively.</w:t>
      </w:r>
    </w:p>
    <w:p>
      <w:pPr>
        <w:sectPr>
          <w:pgSz w:w="11900" w:h="16838" w:orient="portrait"/>
          <w:cols w:equalWidth="0" w:num="1">
            <w:col w:w="11420"/>
          </w:cols>
          <w:pgMar w:left="240" w:top="121" w:right="239" w:bottom="1440" w:gutter="0" w:footer="0" w:header="0"/>
          <w:type w:val="continuous"/>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29, 2016, FirstSight,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FirstSight participated in arrangements that caused the illegal delivery of eye examinations to the plaintiffs, and that FirstSight thereby violated, among other statutes, the Unfair Competition and False Advertising laws of California. In March 2017, the Court granted a motion to dismiss previously filed by FirstSight. The plaintiffs filed an appeal to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seeking, among other claims, unspecified damages and attorneys’ fees, and in November 2018, FirstSight filed a motion to dismiss. The Company believes that the claims are without merit and intends to continue to vigorously defend the litigation.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2017, a complaint (the “1-800 Contacts Matter”) was filed against the Company and other defendants alleging, on behalf of a proposed class of consumers who purchased contact lenses online, that 1-800 Contacts, Inc. entered into a series of agreements with the other defendants, including AC Lens, the Company’s subsidiary, to suppress certain online advertising and that each defendant thereby engaged in anticompetitive conduct in violation of the Sherman Antitrust Act. The Company has settled the 1-800 Contacts Matter for $7.0 million, without admitting liability. Accordingly, the Company recorded a charge for this amount during the second quarter of fiscal year 2017. 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with the terms of the settlement agreement and any further order of the court.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25,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state court to the United States District Court for the Northern District of California. The plaintiff moved to remand the action to state court on April 18, 2019. The Company believes that the claims are without merit and intends to vigorously defend the litigation.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its principal products and services through two reportable segments: owned &amp; host and legacy. The “Corporate/ 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summary of certain financial data for each of our segments. Reportable segment information is presented on the same basis as our condensed consolidated financial statements, except for net revenue and associated costs applicable to revenue, which is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segments. Our reportable segment profit measure is earnings before interest, tax, depreciation and amortization (“EBITDA”), or net revenue, less costs applicable to revenue, less selling, general and administrative costs. Depreciation and amortization, asset impairment, litigation settlement and other corporate costs that are not allocated to the reportable segments, including interest expense and debt issuance costs are excluded from segment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 (continued)</w:t>
      </w: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 As the reportable segments are aligned by similar economic factors, trends and customers, this disaggregation view best depicts how the nature, amount, and uncertainty of revenue and cash flows are affected by economic factors.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8"/>
          </w:tcPr>
          <w:p>
            <w:pPr>
              <w:ind w:left="700"/>
              <w:spacing w:after="0"/>
              <w:rPr>
                <w:sz w:val="20"/>
                <w:szCs w:val="20"/>
                <w:color w:val="auto"/>
              </w:rPr>
            </w:pPr>
            <w:r>
              <w:rPr>
                <w:rFonts w:ascii="Times New Roman" w:cs="Times New Roman" w:eastAsia="Times New Roman" w:hAnsi="Times New Roman"/>
                <w:sz w:val="18"/>
                <w:szCs w:val="18"/>
                <w:color w:val="auto"/>
              </w:rPr>
              <w:t>Three Months Ended March 30, 2019</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Legacy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296,919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383,160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78,055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461,215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154,004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57,965</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136,910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20,431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211,969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193,876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95,097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9,910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52,815</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20,415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00" w:type="dxa"/>
            <w:vAlign w:val="bottom"/>
            <w:gridSpan w:val="8"/>
            <w:vMerge w:val="restart"/>
          </w:tcPr>
          <w:p>
            <w:pPr>
              <w:ind w:left="700"/>
              <w:spacing w:after="0"/>
              <w:rPr>
                <w:sz w:val="20"/>
                <w:szCs w:val="20"/>
                <w:color w:val="auto"/>
              </w:rPr>
            </w:pPr>
            <w:r>
              <w:rPr>
                <w:rFonts w:ascii="Times New Roman" w:cs="Times New Roman" w:eastAsia="Times New Roman" w:hAnsi="Times New Roman"/>
                <w:sz w:val="18"/>
                <w:szCs w:val="18"/>
                <w:color w:val="auto"/>
              </w:rPr>
              <w:t>Three Months Ended March 31, 2018</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8"/>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Legacy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261,621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338,777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69,198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407,975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49,576</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117,804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17,851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180,454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118,524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170,689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56,710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17,862</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9,313</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29,535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associated with managing operations of our legacy partner were $9.3 million for each of the three months ended March 30, 2019 and March 31, 2018. During the three months ended March 30, 2019, sales associated with our legacy partner arrangement represented 9.7% of consolidated net revenue. This exposes us to concentration of customer risk.</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vesting and exercise of stock options and vesting of restricted stock units. Potentially dilutive securities are excluded from the computation of diluted EPS if their effect is anti-dilutive. A reconciliation of the numerators and denominators of the basic and diluted EPS calculations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 2019</w:t>
            </w:r>
          </w:p>
        </w:tc>
        <w:tc>
          <w:tcPr>
            <w:tcW w:w="26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24,455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for basic EPS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74,714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for diluted EPS</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77,837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Anti-dilutive options outstanding excluded from EPS</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Company’s cash flow hedge derivative instruments since inception are recorded in AOCL. The following table presents the change in AOCL during the three months ended March 30, 2019 and March 31, 2018,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 2019</w:t>
            </w:r>
          </w:p>
        </w:tc>
        <w:tc>
          <w:tcPr>
            <w:tcW w:w="26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 hedging activity:</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of other comprehensive income (loss) before reclassification</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 reclassified from AOCL into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of amount reclassified from AOCL into interest expense</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current period 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“Fair Value Measurements of Financial Assets and Liabilities” for a description of the Company’s use of cash flow hedging derivatives.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and the audited consolidated financial statements and “Management’s Discussion and Analysis of Financial Condition and Results of Operations” included in our Annual Report on Form 10-K filed with the Securities and Exchange Commission (the “SEC”) on February 27, 2019 (the “Annual Report”). This discussion contains forward-looking statements that reflect our plans, estimates and beliefs and involve numerous risks and uncertainties, including, but not limited to, those described in the “Risk Factors” section of the Annual Report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1,105 retail stores across five brands and 19 consumer websites as of March 30, 2019.</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March 30, 2019, our owned brands consisted of 679 America’s Best Contacts and Eyeglasses (“America’s Best”) retail stores and 116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vision care services provided by independent optometrists and on-site optical laboratories that enable stores to quickly fulfill many customer orders and make repairs on site. Eyeglass World stores are primarily located in freestanding or in-suite locations near high-foot-traffic shopping centers. Our host brands consisted of 54 Vista Optical locations on military bases and 29 Vista Optical locations within Fred Meyer stores as of March 30, 2019. We have strong, long-standing relationships with our host partners and have maintained each partnership for over 19 years. Both host brands compete within the value segment of the U.S. optical retail industry. These brands provide eye exams principally by independent optometrists. All brands utilize our centralized laboratories. This segment also includes sales from our three store omni-channel brand websites.</w:t>
      </w:r>
    </w:p>
    <w:p>
      <w:pPr>
        <w:spacing w:after="0" w:line="78"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 We manage the operations of, and supply inventory and laboratory processing services to, 227 Vision Centers in Walmart retail locations as of March 30, 2019. Under our management &amp; services agreement with Walmart,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doctors or doctors employed by us or by independent professional corporations. During the three months ended March 30, 2019, sales associated with our legacy partner arrangement represented 9.7% of consolidated net revenue. This exposes us to concentration of customer risk. Our agreements with our legacy partner expire on August 23, 2020, and will automatically renew for a three-year period unless a party elects not to renew.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also include the following activity recorded in our Corporate/Other category: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platform of 16 dedicated websites managed by our wholly-owned subsidiary, Arlington Contact Lens Service, Inc. (“AC Lens”). Our e-commerce business consists of six proprietary branded websites, including aclens.com, discountglasses.com and discountcontactlenses.com, and 10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eyecare accessories.</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Lens also distributes contact lenses to Walmart and Sam’s Club under fee for service arrangements. We record revenue for these activities and we incur costs at a higher percentage of sales than other product categories, given the wholesale nature of the business.</w:t>
      </w: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care business conducted by FirstSight Vision Services, Inc. (“FirstSight”), our wholly-owned subsidiary that is licensed as a single-service health plan under California law, which arranges for the provision of optometric services at the offices next to certain Walmart stores throughout California, and also issues individual vision care benefit plans in connection with our America’s Best operations in California.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supervision for stores included in our two reportable segments.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consolidated financial statements, except reportable segment sales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the effects of unearned and deferred revenue. See Note 9. “Segment Reporting” in our condensed consolidated financial statements included in Part I. Item 1. of this Form 10-Q.</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represents the timing difference of when we collect the cash from the customer and when services related to product protection plans and club memberships are performed. Increases or decreases in deferred revenue during the reporting period represent cash collections in excess of or below the recognition of previous deferrals.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Unearned revenue represents the timing difference of when we collect the cash from the customer and the delivery/customer acceptance of prescription eyewear, and is only applicable to sales made during the last week to 10 days of the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trends and other factors will affect or have affected our operating results, including: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store opening date, the time of year of a particular opening, the amount of store opening costs, labor costs in the specified market, the amount of store occupancy costs, its level of participation in managed care plans, and the location of new stores, including whether they are in a new or existing market. We typically incur higher than normal employee costs at the time of a new store opening associated with set-up and other opening costs, including training and development of our store associates. The multi-year maturation process of our stores is influenced by customer purchasing behavior in our industry, with consumers returning for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optometric professionals, store management and store personnel, which, together with increased marketing costs, may affect our operating margins.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Store Sales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store sales growth is a key driver of our business. Many factors affect comparable store sales, including: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 including amount and timing of tax refunds;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nature of eyecare 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customer preferences and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an assortment of high quality/low cost product offerings that generate new and repeat visits to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 traffic in retail shopping centers where our stores are predominantly located;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experience we provide in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vision care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optometrist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receive products accurately and timely;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including promotional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items purchased per store visit;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that have been in operation for more than 12 months;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and timing of weather related store closures.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new store is included in the comparable store sales calculation during the thirteenth full fiscal month following the store’s opening. Closed stores are removed from the calculation for time periods that are not comparable. In the past, we have closed our stores as a result of poor store performance, lease expiration or non-renewal and/or the terms of our arrangements with our host and legacy partners.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Care and Insurance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managed care business relates to vision care programs and associated benefits which are either: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increasing percentage of our customers receive vision care insurance coverage through managed care payors. Our participation in this program represents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future operational success could depend on our ability to negotiate, maintain and extend contracts with managed vision care companies, vision insurance providers and other third-party payors, several of whom have significant market share. In addition, as our participation in managed care programs continues to approach overall industry penetration levels, we expect our associated managed care revenue growth rate to slow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Vision Care Professional Recruitment and Coverage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continue to attract and retain qualified vision care professionals is key to store operations, as well as maintaining our relationships with independent optometrists and professional corporations owned by eye care practitioners that provide vision care services in our stores.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Economic Trends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During periods of economic downturn and uncertainty, our customers benefit from our low prices. However, eye care purchases are predominantly a medical necessity and are considered non-discretionary in nature. Therefore, the overall economic environment and related changes in consumer behavior may have less of an impact on our business than for retailers in other industries. Our customers also benefit from our low prices during periods of economic downturn and uncertainty.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 and Demand</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and contact lens customers order new lenses every six to twelve months, reflecting the predictability of these recurring purchase behaviors.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Investment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historical results of operations reflect the impact of our ongoing investments in infrastructure to support our growth. We have made significant investments in information technology systems, supply chain systems, marketing, and personnel, including experienced industry executives, and management and merchandising teams to support our long-term growth objectives. We intend to continue to make targeted investments in our infrastructure to support our growth.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Strategy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Source and Distribute Products Effectively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We rely on a small number of vendors to supply the majority of our eyeglass frames, eyeglass lenses and contact lenses, and are thus exposed to concentration of supplier risk. In particular, we have agreed to exclusively purchase almost all of our spectacle lenses from one supplier.</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the United States government imposes significant tariffs or other restrictions on imports from China, it could have an adverse impact on our business. We source merchandise from suppliers located in China, a significant amount of our domestically-purchased merchandise is manufactured in China, and one of our outsourced optometric labs is located in China. Any such tariffs, restrictions or other changes could lead to additional costs, delays in shipments, embargos and other uncertainties that could negatively impact our relationships with our international vendors and labs and materially adversely affect our business, including price increases or the requirement to identify alternative sources for merchandise and labs. Current tariffs do not materially impact our financial results, and we believe that less than 16% of costs applicable to revenue are subject to potential tariffs on Chinese imports.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increases in product costs due to increases in materials cost or general inflation could lead to greater profitability pressure as we may not be able to pass costs on to consumers. To date, changes in materials prices and general inflation have not materially impacted our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Results and Seasonality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or changes in the amount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of the next fiscal year due to our policy of recognizing revenue only after the product has been accepted by the customer, further contributing to higher first quarter results.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optical retail industry is highly competitive. Competition is generally based upon brand name recognition, price, convenience, selection, service and product quality.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through the internet.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in the Industry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recently completed merger of large, global competitors has created, and other consolidation activity may create, organizations that are 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similar to us are gaining market share from independent vision care providers, benefiting from economies of scale unavailable to smaller competitors. Other trends include the formation of buying groups and similar forms of practice affiliations.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EBITDA, Adjusted EBITDA Margin and Adjusted Net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includes fees we earn for managing certain Vision Centers located in Walmart stores and for laboratory services provided to Walmart.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or SG&amp;A, include store associate (including optician) payroll, taxes and benefits, occupancy, advertising and promotion, field supervision,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and will continue to have, an impact on our results as described above in “Trends and Other Factors Affecting Our Business.”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and Adjusted Net Income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income, plus interest expense, income tax provision (benefit) and depreciation and amortization, as further adjusted to exclude stock compensation expense, asset impairment, new store pre-opening expenses, non-cash rent, secondary offering expenses, management realignment expense and other expenses. We define Adjusted EBITDA Margin as Adjusted EBITDA as a percentage of total net revenue. We define Adjusted Net Income as net income, adjusted to exclude stock compensation expense, asset impairment, new store pre-opening expenses, non-cash rent, secondary offering expenses, management realignment expense, amortization of acquisition intangibles and deferred financing costs, other expenses, the tax benefit of stock option exercises, effect of the Tax Cuts and Jobs Act (“Tax Legislation”), and the tax effect of adjustments recorded during the quarter. Adjusted EBITDA, Adjusted EBITDA Margin and Adjusted Net Income are key metrics used by management to assess our financial performance. Adjusted EBITDA, Adjusted EBITDA Margin and Adjusted Net Income are also frequently used by analysts, investors and other interested parties. We use Adjusted EBITDA, Adjusted EBITDA Margin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6"/>
          </w:tcPr>
          <w:p>
            <w:pPr>
              <w:jc w:val="right"/>
              <w:ind w:right="8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store data</w:t>
            </w: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March 30, 2019</w:t>
            </w:r>
          </w:p>
        </w:tc>
        <w:tc>
          <w:tcPr>
            <w:tcW w:w="18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383,160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338,777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69,198</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461,215</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407,975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Costs applicable to revenue (exclusive of depreciation and amortization):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 and plans</w:t>
            </w: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49,576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211,969</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180,454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193,876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216,846</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188,673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38,848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24,455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stores opened</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60,730</w:t>
            </w:r>
          </w:p>
        </w:tc>
        <w:tc>
          <w:tcPr>
            <w:tcW w:w="0" w:type="dxa"/>
            <w:vAlign w:val="bottom"/>
          </w:tcPr>
          <w:p>
            <w:pPr>
              <w:spacing w:after="0"/>
              <w:rPr>
                <w:sz w:val="1"/>
                <w:szCs w:val="1"/>
                <w:color w:val="auto"/>
              </w:rPr>
            </w:pPr>
          </w:p>
        </w:tc>
      </w:tr>
      <w:tr>
        <w:trPr>
          <w:trHeight w:val="513"/>
        </w:trPr>
        <w:tc>
          <w:tcPr>
            <w:tcW w:w="5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6"/>
          </w:tcPr>
          <w:p>
            <w:pPr>
              <w:jc w:val="right"/>
              <w:ind w:right="9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March 30, 2019</w:t>
            </w:r>
          </w:p>
        </w:tc>
        <w:tc>
          <w:tcPr>
            <w:tcW w:w="18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567"/>
        </w:trPr>
        <w:tc>
          <w:tcPr>
            <w:tcW w:w="5620" w:type="dxa"/>
            <w:vAlign w:val="bottom"/>
          </w:tcPr>
          <w:p>
            <w:pPr>
              <w:spacing w:after="0"/>
              <w:rPr>
                <w:sz w:val="24"/>
                <w:szCs w:val="24"/>
                <w:color w:val="auto"/>
              </w:rPr>
            </w:pPr>
          </w:p>
        </w:tc>
        <w:tc>
          <w:tcPr>
            <w:tcW w:w="21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88"/>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6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Three Months Ended March 30, 2019 compared to Three Months Ended March 31, 2018 </w:t>
      </w:r>
      <w:r>
        <w:rPr>
          <w:rFonts w:ascii="Times New Roman" w:cs="Times New Roman" w:eastAsia="Times New Roman" w:hAnsi="Times New Roman"/>
          <w:sz w:val="18"/>
          <w:szCs w:val="18"/>
          <w:i w:val="1"/>
          <w:iCs w:val="1"/>
          <w:color w:val="auto"/>
        </w:rPr>
        <w:t>Net revenue</w:t>
      </w: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the three months ended March 30, 2019 compared to the three months ended March 31,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Comparable store sales growth</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8"/>
                <w:szCs w:val="8"/>
                <w:b w:val="1"/>
                <w:bCs w:val="1"/>
                <w:color w:val="auto"/>
              </w:rPr>
              <w:t>(2)</w:t>
            </w:r>
          </w:p>
        </w:tc>
        <w:tc>
          <w:tcPr>
            <w:tcW w:w="1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percentage and</w:t>
            </w: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2"/>
                <w:szCs w:val="12"/>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2"/>
                <w:szCs w:val="12"/>
                <w:color w:val="auto"/>
              </w:rPr>
            </w:pPr>
          </w:p>
        </w:tc>
        <w:tc>
          <w:tcPr>
            <w:tcW w:w="172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store data</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30, 2019</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Owned &amp; Host segment</w:t>
            </w: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America’s Best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8.2 %</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679</w:t>
            </w: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608</w:t>
            </w:r>
          </w:p>
        </w:tc>
        <w:tc>
          <w:tcPr>
            <w:tcW w:w="10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305,096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66.2 %</w:t>
            </w:r>
          </w:p>
        </w:tc>
        <w:tc>
          <w:tcPr>
            <w:tcW w:w="120" w:type="dxa"/>
            <w:vAlign w:val="bottom"/>
          </w:tcPr>
          <w:p>
            <w:pPr>
              <w:spacing w:after="0"/>
              <w:rPr>
                <w:sz w:val="23"/>
                <w:szCs w:val="23"/>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264,243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64.8 %</w:t>
            </w:r>
          </w:p>
        </w:tc>
        <w:tc>
          <w:tcPr>
            <w:tcW w:w="0" w:type="dxa"/>
            <w:vAlign w:val="bottom"/>
          </w:tcPr>
          <w:p>
            <w:pPr>
              <w:spacing w:after="0"/>
              <w:rPr>
                <w:sz w:val="1"/>
                <w:szCs w:val="1"/>
                <w:color w:val="auto"/>
              </w:rPr>
            </w:pPr>
          </w:p>
        </w:tc>
      </w:tr>
      <w:tr>
        <w:trPr>
          <w:trHeight w:val="274"/>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Eyeglass World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116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50,214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45,414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0" w:type="dxa"/>
            <w:vAlign w:val="bottom"/>
          </w:tcPr>
          <w:p>
            <w:pPr>
              <w:spacing w:after="0"/>
              <w:rPr>
                <w:sz w:val="1"/>
                <w:szCs w:val="1"/>
                <w:color w:val="auto"/>
              </w:rPr>
            </w:pPr>
          </w:p>
        </w:tc>
      </w:tr>
      <w:tr>
        <w:trPr>
          <w:trHeight w:val="266"/>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Military</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6,421</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6,879</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Fred Meyer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3,489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3,861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0" w:type="dxa"/>
            <w:vAlign w:val="bottom"/>
          </w:tcPr>
          <w:p>
            <w:pPr>
              <w:spacing w:after="0"/>
              <w:rPr>
                <w:sz w:val="1"/>
                <w:szCs w:val="1"/>
                <w:color w:val="auto"/>
              </w:rPr>
            </w:pPr>
          </w:p>
        </w:tc>
      </w:tr>
      <w:tr>
        <w:trPr>
          <w:trHeight w:val="250"/>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Owned &amp; Host segment total</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878</w:t>
            </w:r>
          </w:p>
        </w:tc>
        <w:tc>
          <w:tcPr>
            <w:tcW w:w="120" w:type="dxa"/>
            <w:vAlign w:val="bottom"/>
          </w:tcPr>
          <w:p>
            <w:pPr>
              <w:spacing w:after="0"/>
              <w:rPr>
                <w:sz w:val="21"/>
                <w:szCs w:val="21"/>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800</w:t>
            </w:r>
          </w:p>
        </w:tc>
        <w:tc>
          <w:tcPr>
            <w:tcW w:w="100" w:type="dxa"/>
            <w:vAlign w:val="bottom"/>
          </w:tcPr>
          <w:p>
            <w:pPr>
              <w:spacing w:after="0"/>
              <w:rPr>
                <w:sz w:val="21"/>
                <w:szCs w:val="21"/>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365,220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79.3 %</w:t>
            </w:r>
          </w:p>
        </w:tc>
        <w:tc>
          <w:tcPr>
            <w:tcW w:w="12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320,397</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78.5 %</w:t>
            </w:r>
          </w:p>
        </w:tc>
        <w:tc>
          <w:tcPr>
            <w:tcW w:w="0" w:type="dxa"/>
            <w:vAlign w:val="bottom"/>
          </w:tcPr>
          <w:p>
            <w:pPr>
              <w:spacing w:after="0"/>
              <w:rPr>
                <w:sz w:val="1"/>
                <w:szCs w:val="1"/>
                <w:color w:val="auto"/>
              </w:rPr>
            </w:pPr>
          </w:p>
        </w:tc>
      </w:tr>
      <w:tr>
        <w:trPr>
          <w:trHeight w:val="274"/>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Legacy segment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227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44,578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42,758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10.5 %</w:t>
            </w:r>
          </w:p>
        </w:tc>
        <w:tc>
          <w:tcPr>
            <w:tcW w:w="0" w:type="dxa"/>
            <w:vAlign w:val="bottom"/>
          </w:tcPr>
          <w:p>
            <w:pPr>
              <w:spacing w:after="0"/>
              <w:rPr>
                <w:sz w:val="1"/>
                <w:szCs w:val="1"/>
                <w:color w:val="auto"/>
              </w:rPr>
            </w:pPr>
          </w:p>
        </w:tc>
      </w:tr>
      <w:tr>
        <w:trPr>
          <w:trHeight w:val="266"/>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Corporate/Other</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3"/>
                <w:szCs w:val="23"/>
                <w:color w:val="auto"/>
              </w:rPr>
            </w:pPr>
          </w:p>
        </w:tc>
        <w:tc>
          <w:tcPr>
            <w:tcW w:w="128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63,881</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13.7 %</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51,833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12.8 %</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Reconciliations</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rPr>
              <w:t>(12,464)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rPr>
              <w:t>(7,013)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81"/>
        </w:trPr>
        <w:tc>
          <w:tcPr>
            <w:tcW w:w="25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5"/>
                <w:szCs w:val="15"/>
                <w:color w:val="auto"/>
              </w:rPr>
              <w:t>Total</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6.2 %</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1,105</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1,027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461,215</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100.0 %</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407,975</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100.0 %</w:t>
            </w:r>
          </w:p>
        </w:tc>
        <w:tc>
          <w:tcPr>
            <w:tcW w:w="0" w:type="dxa"/>
            <w:vAlign w:val="bottom"/>
          </w:tcPr>
          <w:p>
            <w:pPr>
              <w:spacing w:after="0"/>
              <w:rPr>
                <w:sz w:val="1"/>
                <w:szCs w:val="1"/>
                <w:color w:val="auto"/>
              </w:rPr>
            </w:pPr>
          </w:p>
        </w:tc>
      </w:tr>
      <w:tr>
        <w:trPr>
          <w:trHeight w:val="123"/>
        </w:trPr>
        <w:tc>
          <w:tcPr>
            <w:tcW w:w="2540" w:type="dxa"/>
            <w:vAlign w:val="bottom"/>
            <w:gridSpan w:val="2"/>
            <w:shd w:val="clear" w:color="auto" w:fill="CCEEFF"/>
          </w:tcPr>
          <w:p>
            <w:pPr>
              <w:ind w:left="40"/>
              <w:spacing w:after="0" w:line="123" w:lineRule="exact"/>
              <w:rPr>
                <w:sz w:val="20"/>
                <w:szCs w:val="20"/>
                <w:color w:val="auto"/>
              </w:rPr>
            </w:pPr>
            <w:r>
              <w:rPr>
                <w:rFonts w:ascii="Times New Roman" w:cs="Times New Roman" w:eastAsia="Times New Roman" w:hAnsi="Times New Roman"/>
                <w:sz w:val="14"/>
                <w:szCs w:val="14"/>
                <w:color w:val="auto"/>
              </w:rPr>
              <w:t>Adjusted comparable store sales</w:t>
            </w: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540" w:type="dxa"/>
            <w:vAlign w:val="bottom"/>
            <w:gridSpan w:val="2"/>
            <w:shd w:val="clear" w:color="auto" w:fill="CCEEFF"/>
          </w:tcPr>
          <w:p>
            <w:pPr>
              <w:ind w:left="40"/>
              <w:spacing w:after="0" w:line="209" w:lineRule="exact"/>
              <w:rPr>
                <w:sz w:val="20"/>
                <w:szCs w:val="20"/>
                <w:color w:val="auto"/>
              </w:rPr>
            </w:pPr>
            <w:r>
              <w:rPr>
                <w:rFonts w:ascii="Times New Roman" w:cs="Times New Roman" w:eastAsia="Times New Roman" w:hAnsi="Times New Roman"/>
                <w:sz w:val="15"/>
                <w:szCs w:val="15"/>
                <w:color w:val="auto"/>
              </w:rPr>
              <w:t>growth</w:t>
            </w:r>
            <w:r>
              <w:rPr>
                <w:rFonts w:ascii="Times New Roman" w:cs="Times New Roman" w:eastAsia="Times New Roman" w:hAnsi="Times New Roman"/>
                <w:sz w:val="24"/>
                <w:szCs w:val="24"/>
                <w:color w:val="auto"/>
                <w:vertAlign w:val="superscript"/>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660" w:hanging="328"/>
        <w:spacing w:after="0" w:line="246"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9. “Segment Reporting” in our unaudited condensed consolidated financial statements included in Part I. Item 1. of this Form 10-Q, with the exception of the legacy segment, which is adjusted as noted in clause (ii) of footnote (3) below.</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45"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0.8% and 0.1% from total comparable store sales growth based on consolidated net revenue for the three months ended March 30, 2019 and March 31, 2018, respectively, and (ii) adjusted comparable store sales growth includes retail sales to the legacy partner’s customers (rather than the revenues recognized consistent with the management &amp; services agreement), resulting in a decrease of 0.3% and 0.1% from total comparable store sales growth based on consolidated net revenue for the three months ended March 30, 2019 and March 31, 2018, respectively.</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$461.2 million for the three months ended March 30, 2019 increased $53.2 million, or 13.0%, from $408.0 million for the three months ended March 31, 2018. This increase was driven approximately 50% by comparable store sales growth, approximately 40% by new stores and approximately 10% by order volume in our AC Lens business within the Corporate/Other segment.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30, 2019, we opened 26 new stores, including 24 America’s Best stores and two Eyeglass World stores. Additionally, we closed two America’s Best stores and one Eyeglass World store. Overall, store count grew 7.6% from March 31, 2018 to March 30, 2019 (71 and nine net new America’s Best and Eyeglass World locations were added, respectively, and two Military locations were closed during the same period). Comparable store sales growth and adjusted comparable store sales growth were 6.2% and 6.7% for the three months ended March 30, 2019, respectively. Comparable store sales growth and adjusted comparable store sales growth were driven primarily by increases in average ticket and customer transactions. We believe the increases in net revenue and customer transactions were primarily due to execution of our key strategies, including new store openings and maturation, advertising and expansion of our participation in managed care programs as well as our recently expanded role in our contact lens distribution relationship with Walmart.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product sales comprised 83.1% and 83.0% of total net revenue for the three months ended March 30, 2019 and March 31, 2018, respectively. Net product sales increased $44.4 million, or 13.1%, in the three months ended March 30, 2019 compared to the three months ended March 31, 2018, driven primarily by eyeglass sales and, to a lesser extent, unit growth in our AC Lens business from the recently expanded role in the contact lens distribution relationship with Walmart and contact lens sales. Net sales of services and plans increased $8.9 million, or 12.8%, driven primarily by eye exam sales in our owned &amp; host segment. The eye exam increase was driven primarily by expanding participation in managed care programs and our store growth.</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changes in applicable California law, certain optometrists employed by FirstSight were transferred to a professional corporation that contracts directly with our legacy segment in the fourth quarter of fiscal year 2018, similar to optometrist transfers that occurred in the third quarter of 2017. This completed the transfer of optometrists from FirstSight to our legacy segment. This change led to an increase in legacy segment eye exam revenue and optometrist payroll costs of $1.0 million and $0.9 million, respectively, in the three months ended March 30, 2019. A corresponding decrease was recorded in our FirstSight subsidiary within the Corporate/Other segment. Therefore, the change had no impact on consolidated income from operations.</w:t>
      </w:r>
    </w:p>
    <w:p>
      <w:pPr>
        <w:spacing w:after="0" w:line="7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$44.8 million, or 14.0%, due to comparable store sales growth and new store openings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sales across our key product categories. The growth was predominately driven by performance in America’s Best and Eyeglass World.</w:t>
      </w:r>
    </w:p>
    <w:p>
      <w:pPr>
        <w:spacing w:after="0" w:line="5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grew $1.8 million, or 4.3%, primarily driven by higher eye exam sales and an increase in average ticket.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eye exam sales were primarily the result of changes to our FirstSight operations required by changes in applicable California law discussed above. The FirstSight operations changes resulted in a favorable impact of approximately 185 basis points in comparable store sales growth.</w:t>
      </w:r>
    </w:p>
    <w:p>
      <w:pPr>
        <w:spacing w:after="0" w:line="6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increased $12.0 million, or 23.2%, driven by unit growth in our AC Lens business from the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role in the contact lens distribution relationship with Walmart and our online retail business, which was partially offset by a $1.0 million reduction in sales as a result of the FirstSight operations changes discussed above.</w:t>
      </w:r>
    </w:p>
    <w:p>
      <w:pPr>
        <w:spacing w:after="0" w:line="6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Reconciliations include increases in deferred revenue of $4.7 million and $4.3 million, in the owned &amp; host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unearned revenue of $7.8 million and $2.7 million in the owned &amp; host and legacy segments for the three months ended March 30, 2019 and March 31, 2018, respectively. The increase in deferred revenue for the three months ended March 30, 2019 was driven by growth in our Eyecare Club membership sales, and to a lesser extent, product protection plans.</w:t>
      </w:r>
    </w:p>
    <w:p>
      <w:pPr>
        <w:spacing w:after="0" w:line="7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Differences between the increases in unearned revenue for the three months ended March 30, 2019 and March 31, 2018 were primarily the result of calendar influences on sales of prescription eyewear in our stores during the last week to 10 days of the preceding quarters. Unearned revenue was higher in December 2017 compared to December 2018 due to sales volume differences caused by shifts in the number of selling days after December 25. The higher opening balance for the quarter ended March 31, 2018 resulted in a lower increase in unearned revenue during the prior year than for the three months ended March 30, 2019.</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applicable to revenue of $212.0 million for the three months ended March 30, 2019 increased $31.5 million, or 17.5%, from $180.5 million for the three months ended March 31, 2018. As a percentage of net revenue, costs applicable to revenue increased from 44.2% for the three months ended March 31, 2018 to 46.0% for the three months ended March 30, 2019. The increase was primarily driven by our growing AC Lens business and increased optometrist costs, partially offset by a higher mix of eye exam sales as a result of our growing managed care business during the three months ended March 30, 2019.</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products as a percentage of net product sales increased from 38.6% for the three months ended March 31, 2018 to 40.2% for the three months ended March 30, 2019, driven by our growing AC Lens business. Our AC Lens net revenue grew faster than our store brands in the three months ended March 30, 2019, and AC Lens had a higher cost of products as a percentage of net revenue than our other businesses.</w:t>
      </w:r>
    </w:p>
    <w:p>
      <w:pPr>
        <w:spacing w:after="0" w:line="66"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increased from 28.3%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2018 to 28.7% for the three months ended March 30, 2019. The increase was primarily driven by increased contact lens costs and a lower mix of eyeglass sales.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Costs of products as a percentage of net product sales increased from 44.3%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to 46.9% for the three months ended March 30, 2019. The increase was driven by increased contact lens costs combined with lower eyeglass margins, partially offset by eyeglass sales mix as a result of increased managed care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have improved product margins and had a corresponding negative impact on service margins in our legacy segment.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71.6% for the three months ended March 31, 2018 to 74.3% for the three months ended March 30, 2019. The increase was primarily driven by higher optometrist costs, partially offset by increased eye exam sales as a result of increased managed care transactions. Optometrist costs increased as a result of planned increases in store coverage and, to a lesser extent, wage pressure in certain geographic markets.</w:t>
      </w:r>
    </w:p>
    <w:p>
      <w:pPr>
        <w:spacing w:after="0" w:line="7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74.3%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2018 to 75.6% for the three months ended March 30, 2019. The increase was driven by higher optometrist costs as described above, partially offset by increased eye exam sales as a result of increased managed care transactions, since eye exams purchased by managed care customers are excluded from our signature two-pair offer at our America’s Best brand, and are therefore recorded as services revenue.</w:t>
      </w:r>
    </w:p>
    <w:p>
      <w:pPr>
        <w:spacing w:after="0" w:line="72"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36.4%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2018 to 43.6% for the three months ended March 30, 2019. The increase was primarily driven by increased optometrist costs and lower management fees, partially offset by increased eye exam sales. The higher optometrist costs and increased eye exam sales were both primarily the result of the FirstSight operations changes discussed in “</w:t>
      </w: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xml:space="preserve"> above. Additionally, management fees declined due to the corresponding impact of increased managed care transactions, since revenue from managed care transactions are recorded in net sales of products as described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of $193.9 million for the three months ended March 30, 2019 increased $23.2 million, or 13.6%, from the three months ended March 31, 2018. As a percentage of net revenue, SG&amp;A increased from 41.8% for the three months ended March 31, 2018 to 42.0% for the three months ended March 30, 2019. The increase in SG&amp;A as a percentage of net revenue was primarily due to non-recurring management realignment and associated stock compensation expenses and performance-based incentive compensation, partially offset by increased net revenue from our AC Lens contact lens distribution relationship with Walmart, store payroll leverage and secondary public offering expenses incurred during the three months ended March 31, 2018 not recurring during the three months ended March 30, 2019.</w:t>
      </w:r>
    </w:p>
    <w:p>
      <w:pPr>
        <w:spacing w:after="0" w:line="78"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decreased from 37.0% for the three months ended March 31, 2018 to 36.5%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30, 2019, driven primarily by store payroll leverage.</w:t>
      </w:r>
    </w:p>
    <w:p>
      <w:pPr>
        <w:spacing w:after="0" w:line="5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SG&amp;A as a percentage of net revenue increased from 31.5% for the three months ended March 31, 2018 to 31.9%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30, 2019, driven by an increase in legal and professional fees associated with increasing managed care transactions, increases in expense associated with leasing space for the provision of vision care services, and to a lesser extent, increased advertising, partially offset by store payroll leverage.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Depreciation and amortization expense of $20.4 million for the three months ended March 30, 2019 increased $2.6 million, or 14.3%, from $17.9 million for the three months ended March 31, 2018 primarily driven by new store openings, as well as investments in optical laboratories, distribution centers and information technology infrastructure, including omni-channel platform related investments. Beginning in 2015, we accelerated our unit growth to approximately 75 new stores annually. We also invested in more efficient lab and IT technology to support our growth. Many of these incremental investments have depreciable lives in the five to eight year categories; therefore, we expect depreciation expense to continue to outpace revenue growth over the next few years. In recent years, a higher percentage of our new store leases were deemed to be finance leases, further increasing depreciation expense on finance lease assets. Our property and equipment balance, net, increased $9.5 million, or 2.7%, during the three months ended March 30, 2019, reflective of $26.0 million in purchases of property and equipment, $7.3 million in new finance leases, less $18.4 million in depreciation expense and $4.7 million in impairment and other adjustments.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of $9.1 million for the three months ended March 30, 2019 decreased $0.3 million, or 2.7%, from $9.3 million for the three months ended March 31, 2018. Interest expense decreased $0.7 million from the October 9, 2018 refinancing impact of applicable margins and the credit rating upgrades received during the third quarter of 2018 and the first quarter of 2019. These reductions were partially offset by $0.6 million in additional interest expense relating to finance lease obligations during three months ended March 30, 2019.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expense for the three months ended March 30, 2019 reflected income tax expense at our statutory federal and state rate of 25.7%, offset by a discrete benefit of $0.2 million associated primarily with the exercise of stock options. During the three months ended March 31, 2018, our expected combined statutory federal and state rate was reduced by a $2.7 million income tax benefit resulting from stock option exercises.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Adjusted EBITDA, Adjusted EBITDA Margin and Adjusted Net Income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EBITDA as net income, plus interest expense, income tax provision and depreciation and amortization. We define Adjusted EBITDA as EBITDA, further adjusted to exclude stock compensation expense, asset impairment, new store pre-opening expenses, non-cash rent, secondary offering expenses, management realignment expenses and other expenses. We describe these adjustments reconciling net income to EBITDA and Adjusted EBITDA in the tables below. We define Adjusted EBITDA Margin as Adjusted EBITDA as a percentage of total net revenue. We define Adjusted Net Income as net income, further adjusted to exclude stock compensation expense, asset impairment, new store pre-opening expenses, non-cash rent, secondary offering expenses, management realignment expenses and other expenses, amortization of acquisition intangibles and deferred financing costs, the tax benefit of stock option exercises and the tax effect of these adjustments. We describe these adjustments reconciling net income to Adjusted Net Income in the tables below.</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 supplementally.</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right="2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period to period changes in taxes, income tax expense or the cash necessary to pay income taxes;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net income to EBITDA, Adjusted EBITDA, Adjusted EBITDA Margin and Adjusted Net Income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30, 2019</w:t>
            </w:r>
          </w:p>
        </w:tc>
        <w:tc>
          <w:tcPr>
            <w:tcW w:w="28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24,455</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5,080</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20,415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17,862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52,815</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56,710</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13.9%</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2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(b)</w:t>
            </w: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(c)</w:t>
            </w:r>
          </w:p>
        </w:tc>
        <w:tc>
          <w:tcPr>
            <w:tcW w:w="2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(d)</w:t>
            </w: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(e)</w:t>
            </w:r>
          </w:p>
        </w:tc>
        <w:tc>
          <w:tcPr>
            <w:tcW w:w="2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(f)</w:t>
            </w: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(g)</w:t>
            </w:r>
          </w:p>
        </w:tc>
        <w:tc>
          <w:tcPr>
            <w:tcW w:w="27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 Adjusted EBITDA Margin</w:t>
            </w:r>
          </w:p>
        </w:tc>
        <w:tc>
          <w:tcPr>
            <w:tcW w:w="2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63,303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60,730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14.9%</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w:t>
            </w:r>
          </w:p>
        </w:tc>
        <w:tc>
          <w:tcPr>
            <w:tcW w:w="274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800" w:type="dxa"/>
            <w:vAlign w:val="bottom"/>
            <w:vMerge w:val="continue"/>
          </w:tcPr>
          <w:p>
            <w:pPr>
              <w:spacing w:after="0"/>
              <w:rPr>
                <w:sz w:val="13"/>
                <w:szCs w:val="13"/>
                <w:color w:val="auto"/>
              </w:rPr>
            </w:pPr>
          </w:p>
        </w:tc>
        <w:tc>
          <w:tcPr>
            <w:tcW w:w="2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7"/>
        </w:trPr>
        <w:tc>
          <w:tcPr>
            <w:tcW w:w="48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7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 2019</w:t>
            </w:r>
          </w:p>
        </w:tc>
        <w:tc>
          <w:tcPr>
            <w:tcW w:w="26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24,455</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(c)</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(d)</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(e)</w:t>
            </w:r>
          </w:p>
        </w:tc>
        <w:tc>
          <w:tcPr>
            <w:tcW w:w="26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(f)</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(g)</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and deferred financing costs </w:t>
            </w:r>
            <w:r>
              <w:rPr>
                <w:rFonts w:ascii="Times New Roman" w:cs="Times New Roman" w:eastAsia="Times New Roman" w:hAnsi="Times New Roman"/>
                <w:sz w:val="25"/>
                <w:szCs w:val="25"/>
                <w:color w:val="auto"/>
                <w:vertAlign w:val="superscript"/>
              </w:rPr>
              <w:t>(h)</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5"/>
                <w:szCs w:val="25"/>
                <w:color w:val="auto"/>
                <w:vertAlign w:val="superscript"/>
              </w:rPr>
              <w:t>(i)</w:t>
            </w: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5"/>
                <w:szCs w:val="25"/>
                <w:color w:val="auto"/>
                <w:vertAlign w:val="superscript"/>
              </w:rPr>
              <w:t>(j)</w:t>
            </w: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57"/>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26,682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26,448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and equipment for the three months ended March 30, 2019.</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are not indicative of ongoing core operating performance. We adjust for these costs to facilitate comparisons of store operating performance from period to period.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non-cash portion of rent expense, which reflects the extent to which our straight-line rent expense recognized under GAAP exceeds or is less than our cash rent payments.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our secondary public offerings for the three months ended March 31, 2018.</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a non-recurring realignment of management described on the Form 8-K filed with the SEC on January 10, 2019.</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$0.6 million and $0.2 million for the three months ended March 30, 2019 and March 31, 2018, respectively; the amortization impact of the KKR Acquisition-related adjustments (e.g., fair value of leasehold interests) of $0.1 million and $17 thousand for the three months ended March 30, 2019 and March 31, 2018, respectively; differences between the timing of expense versus cash payments related to contributions to charitable organizations of $(0.3) million for the three months ended March 31, 2018; costs of severance and relocation of $0.2 million for the three months ended March 30, 2019 and March 31, 2018; excess payroll taxes related to stock option exercises of $23 thousand and $0.3 million for the three months ended March 30, 2019 and March 31, 2018, respectively; and other expenses and adjustments totaling $0.3 million and $0.1 million for the three months ended March 30, 2019 and March 31, 2018, respectively.</w:t>
      </w:r>
    </w:p>
    <w:p>
      <w:pPr>
        <w:spacing w:after="0" w:line="2"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definite-lived intangible assets resulting from the application of purchase accounting to the KKR Acquisition of $1.9 million for each of the three months ended March 30, 2019 and March 31, 2018. Amortization of deferred financing costs is primarily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$0.4 million for the three months ended March 30, 2019 and March 31, 2018.</w:t>
      </w:r>
    </w:p>
    <w:p>
      <w:pPr>
        <w:spacing w:after="0" w:line="1"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Tax benefit associated with accounting guidance adopted at the beginning of fiscal year 2017 (Accounting Standards Update 2016-09,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requiring excess tax benefits to be recorded in earnings as discrete items in the reporting period in which they occur.</w:t>
      </w: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$100.0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deferred revenue and other payables and accrued expenses. Due to the seasonality of when we recognize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30, 2019, we had $72.5 million in cash and cash equivalents and $94.5 million of availability under our revolving credit facility, which reflects $5.5 million in outstanding letters of credit.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purchased $26.0 million in capital items in the three months ended March 30, 2019. Approximately 80% of our capital spend is related to our expected growth (i.e., new stores, optometric equipment, additional capacity in our optical laboratories and distribution centers, and our IT infrastructure, including omni-channel platform related investments). We plan on opening approximately 75 stores during fiscal year 2019 (inclusive of the 26 new stores opened through March 30, 2019). Our working capital requirements for inventory will increase as we continue to open additional stores. We primarily fund our working capital needs using cash provided by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from operating activities, investing activities and financing activities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 2019</w:t>
            </w:r>
          </w:p>
        </w:tc>
        <w:tc>
          <w:tcPr>
            <w:tcW w:w="26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77,787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54,810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increased $5.2 million from $77.8 million during the three months ended March 31, 2018 to $83.0 million for the three months ended March 30, 2019. Net income decreased $7.0 million, primarily due to an increase in non-cash expense items, such as depreciation and amortization, asset impairment, and stock based compensation expense. The impact of reduced net income combined with an increase in non-cash expense items was an increase to cash of $2.0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net working capital and other assets and liabilities contributed $3.3 million in cash compared to the three months ended March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other liabilities contributed $8.8 million in year-over-year cash, primarily related to increases in accruals for payroll and incentive related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other assets contributed $6.3 million in year-over-year cash, primarily the result of decreases in pre-paid advertising and rent-related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inventory contributed $5.8 million in year-over-year cash, primarily related to the sell down of late 2018 forward buys.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Off-setting these items was a $9.7 million reduction in year-over-year cash related to increases in accounts receivable balances, reflective of year-over-year increases in the growth of our participation in managed care programs, increases in our contact lens distribution business with other major retailers, and increases in receivables for tenant improvements. Additionally, use of cash to pay-down accounts payable during the quarter was $9.0 million more than the prior year quarter, primarily due to timing.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increased by $3.1 million, to $25.8 million, during the three months ended March 30, 2019 from $22.7 million during the three months ended March 31, 2018. The change in cash used for investing activities were due to purchases of property and equipment to support our store growth, including new stores, improvements to our optical laboratories and distribution centers, and continued development of our IT infrastructure.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increased $1.1 million, from $0.3 million to $1.4 million during the three months ended March 30, 2019. The change in cash provided by financing activities was primarily due to lower net proceeds of $1.0 million from the exercise of stock options for the three months ended March 30, 2019 as compared to the three months ended March 31,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long-term marketing and promotional commitments, or commitments to philanthropic endeavors. We have disclosed the amount of future commitments associated with these items in our fiscal year 2018 annual consolidated financial statements filed on the Form 10-K. We were not a party to any other off-balance sheet arrangements during the three months ended March 30, 2019.</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30, 2019, there were no material changes outside the ordinary course of business in our contractual obligations and commercial commitments from those reported as of December 29, 2018 in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Management has evaluated the accounting policies used in the preparation of the Company’s unaudited condensed consolidated financial statements and related notes and believe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Annual Report dated December 29, 2018,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Annual Report, except for the adoption of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discussed in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“Description of Business and Basis of Presentation” of our unaudited condensed consolidated financial statements included in Part I. Item 1. of this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 “Description of Business and Basis of Presentation” to our unaudited condensed consolidated financial statements under Part I. Item 1. under the heading “</w:t>
      </w:r>
      <w:r>
        <w:rPr>
          <w:rFonts w:ascii="Times New Roman" w:cs="Times New Roman" w:eastAsia="Times New Roman" w:hAnsi="Times New Roman"/>
          <w:sz w:val="18"/>
          <w:szCs w:val="18"/>
          <w:i w:val="1"/>
          <w:iCs w:val="1"/>
          <w:color w:val="auto"/>
        </w:rPr>
        <w:t>Adoption of New Accounting Pronouncements</w:t>
      </w:r>
      <w:r>
        <w:rPr>
          <w:rFonts w:ascii="Times New Roman" w:cs="Times New Roman" w:eastAsia="Times New Roman" w:hAnsi="Times New Roman"/>
          <w:sz w:val="18"/>
          <w:szCs w:val="18"/>
          <w:color w:val="auto"/>
        </w:rPr>
        <w:t>” of this Form 10-Q is incorporated herein by reference.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of Financial Assets and Liabilities,” to our unaudited condensed consolidated financial statements included in Part I. Item 1. of this Form 10-Q.</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unaudited condensed consolidated balance sheets.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30, 2019, all of our $563.1 million in term loan debt was subject to variable interest rates, with a weighted average borrowing rate of 4.6%. After inclusion of the notional amount of $430.0 million of interest rate swaps fixing a portion of the variable rate debt, $133.1 million, or 23.6% of our debt, is subject to variable rates. Assuming an increase to market rates of 1.0% as of March 30, 2019, we would incur an annual increase to interest expense of approximately $1.3 million related to debt subject to variable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March 30, 2019. Based on that evaluation, the CEO and the CFO have concluded that, because the previously identified material weaknesses in our internal control over financial reporting described below had not been remediated by the end of the period covered by this Form 10-Q, our disclosure controls and procedures were not effective as of the end of the period covered by this Form 10-Q.</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described below, based on the additional analysis and other post-closing procedures performed, management believes the financial statements included in this report are fairly presented, in all material respects, in conformity with accounting principles generally accepted in the United States of America (“U.S.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and Status of Material Weakness Remediation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filed with the SEC on February 27, 2019, we had identified a control deficiency that constituted a material weakness in our internal control over financial reporting as of December 29, 2018.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In part due to errors discovered as a result of the implementation of controls associated with the new lease accounting standard, the Company concluded the following material weakness still exists as of March 30, 2019:</w:t>
      </w:r>
    </w:p>
    <w:p>
      <w:pPr>
        <w:spacing w:after="0" w:line="7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The Company did not design and maintain effective entity level controls to identify and assess changes in our business environment that could significantly impact the system of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designed, implemented and tested the following controls to facilitate the remediation of this material weakness:</w:t>
      </w:r>
    </w:p>
    <w:p>
      <w:pPr>
        <w:spacing w:after="0" w:line="117" w:lineRule="exact"/>
        <w:rPr>
          <w:sz w:val="20"/>
          <w:szCs w:val="20"/>
          <w:color w:val="auto"/>
        </w:rPr>
      </w:pPr>
    </w:p>
    <w:p>
      <w:pPr>
        <w:ind w:left="660" w:right="20" w:hanging="409"/>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periodic meeting of senior leaders from key business groups, including operations and finance, for purposes of identifying and assessing changes in our business environment that could significantly impact the system of internal control over financial reporting.</w:t>
      </w:r>
    </w:p>
    <w:p>
      <w:pPr>
        <w:ind w:left="660" w:hanging="4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control to incorporate those changes into our risk assessment and control activities.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660" w:hanging="409"/>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disclosure committee, consisting of certain key members of management, to assist in formalizing our disclosure, risk assessment, internal controls and procedures.</w:t>
      </w:r>
    </w:p>
    <w:p>
      <w:pPr>
        <w:ind w:left="660" w:hanging="40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additional technical resources to enhance our overall control environment.</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maintaining a strong internal control environment, and we continue to assess the adequacy of these changes in the context of remediating this material weakness. In 2019, management will continue testing the operating effectiveness of such controls to demonstrate whether successful remediation has occurred and will also make enhancements to our financial risk assessment. The material weaknesses cannot be considered remediated until the applicable remedial controls operate for a sufficient period of time and management has concluded, through testing, that these controls are operating effectively.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that occurred during the first quarter of fiscal year 2019 that have materially affected, or are reasonably likely to materially affect, our internal control over financial reporting, other than as described above under “Material Weakness and Status of Material Weakness Remediation.”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normal course of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seeking, among other claims, unspecified damages and attorneys’ fees, and in November 2018, FirstSight filed a motion to dismiss. We believe that the claims alleged are without merit and intend to continue to defend the litigation vigorously.</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2017, a complaint was filed against us and other defendants alleging, on behalf of a proposed class of consumers 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 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25,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Monterey County Superior Court to the United States District Court for the Northern District of California. The plaintiff moved to remand the action to state court on April 18, 2019. We believe that the claims are without merit and intend to vigorously defend the litigation.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other legal proceedings that we believe would have a material adverse effect on our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There have been no material changes to the principal risks that we believe are material to our business, results of operations, and financial condition from those disclosed in Part I. Item 1A. of our Annual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219"/>
          </w:cols>
          <w:pgMar w:left="240" w:top="121"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804"/>
        </w:trPr>
        <w:tc>
          <w:tcPr>
            <w:tcW w:w="12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2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07"/>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 of National Vision Holdings, Inc. -incorporated herein by reference to</w:t>
            </w:r>
          </w:p>
        </w:tc>
      </w:tr>
      <w:tr>
        <w:trPr>
          <w:trHeight w:val="194"/>
        </w:trPr>
        <w:tc>
          <w:tcPr>
            <w:tcW w:w="360" w:type="dxa"/>
            <w:vAlign w:val="bottom"/>
            <w:gridSpan w:val="3"/>
          </w:tcPr>
          <w:p>
            <w:pPr>
              <w:ind w:left="40"/>
              <w:spacing w:after="0" w:line="194"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Exhibit 3.1 to the Company’s Current Report on Form 8-K filed on October 31, 2017.</w:t>
            </w:r>
          </w:p>
        </w:tc>
      </w:tr>
      <w:tr>
        <w:trPr>
          <w:trHeight w:val="272"/>
        </w:trPr>
        <w:tc>
          <w:tcPr>
            <w:tcW w:w="40" w:type="dxa"/>
            <w:vAlign w:val="bottom"/>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National Vision Holdings, Inc. -incorporated herein by reference to Exhibit 3.2 to the</w:t>
            </w:r>
          </w:p>
        </w:tc>
      </w:tr>
      <w:tr>
        <w:trPr>
          <w:trHeight w:val="194"/>
        </w:trPr>
        <w:tc>
          <w:tcPr>
            <w:tcW w:w="360" w:type="dxa"/>
            <w:vAlign w:val="bottom"/>
            <w:gridSpan w:val="3"/>
          </w:tcPr>
          <w:p>
            <w:pPr>
              <w:ind w:left="40"/>
              <w:spacing w:after="0" w:line="194"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Company’s Current Report on Form 8-K filed on October 31, 2017.</w:t>
            </w:r>
          </w:p>
        </w:tc>
      </w:tr>
      <w:tr>
        <w:trPr>
          <w:trHeight w:val="272"/>
        </w:trPr>
        <w:tc>
          <w:tcPr>
            <w:tcW w:w="40" w:type="dxa"/>
            <w:vAlign w:val="bottom"/>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Transition Agreement, dated as of February 1, 2019, between National Vision Holdings, Inc. and Jeff McAllister - incorporated herein</w:t>
            </w:r>
          </w:p>
        </w:tc>
      </w:tr>
      <w:tr>
        <w:trPr>
          <w:trHeight w:val="194"/>
        </w:trPr>
        <w:tc>
          <w:tcPr>
            <w:tcW w:w="360" w:type="dxa"/>
            <w:vAlign w:val="bottom"/>
            <w:gridSpan w:val="3"/>
          </w:tcPr>
          <w:p>
            <w:pPr>
              <w:ind w:left="40"/>
              <w:spacing w:after="0" w:line="194" w:lineRule="exact"/>
              <w:rPr>
                <w:rFonts w:ascii="Times New Roman" w:cs="Times New Roman" w:eastAsia="Times New Roman" w:hAnsi="Times New Roman"/>
                <w:sz w:val="18"/>
                <w:szCs w:val="18"/>
                <w:color w:val="0000FF"/>
                <w:w w:val="88"/>
              </w:rPr>
            </w:pPr>
            <w:hyperlink r:id="rId28">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by reference to Exhibit 10.1 to the Company’s Current Report on Form 8-K filed on February 1, 2019.</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Times New Roman" w:cs="Times New Roman" w:eastAsia="Times New Roman" w:hAnsi="Times New Roman"/>
                <w:sz w:val="18"/>
                <w:szCs w:val="18"/>
                <w:color w:val="0000FF"/>
                <w:w w:val="88"/>
              </w:rPr>
            </w:pPr>
            <w:hyperlink w:anchor="page42">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2</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Form of Stock Option Agreement under the 2017 Omnibus Incentive Plan, as adopted February 2019.</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Times New Roman" w:cs="Times New Roman" w:eastAsia="Times New Roman" w:hAnsi="Times New Roman"/>
                <w:sz w:val="18"/>
                <w:szCs w:val="18"/>
                <w:color w:val="0000FF"/>
                <w:w w:val="88"/>
              </w:rPr>
            </w:pPr>
            <w:hyperlink w:anchor="page48">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3</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February 2019.</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Times New Roman" w:cs="Times New Roman" w:eastAsia="Times New Roman" w:hAnsi="Times New Roman"/>
                <w:sz w:val="18"/>
                <w:szCs w:val="18"/>
                <w:color w:val="0000FF"/>
                <w:w w:val="88"/>
              </w:rPr>
            </w:pPr>
            <w:hyperlink w:anchor="page54">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4</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Form of Performance Stock Unit Agreement under the 2017 Omnibus Incentive Plan, as adopted February 2019.</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Times New Roman" w:cs="Times New Roman" w:eastAsia="Times New Roman" w:hAnsi="Times New Roman"/>
                <w:sz w:val="18"/>
                <w:szCs w:val="18"/>
                <w:color w:val="0000FF"/>
                <w:w w:val="88"/>
              </w:rPr>
            </w:pPr>
            <w:hyperlink w:anchor="page62">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5</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Form of Restricted Stock Agreement for Non-Employee Directors, as adopted February 2019.</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Times New Roman" w:cs="Times New Roman" w:eastAsia="Times New Roman" w:hAnsi="Times New Roman"/>
                <w:sz w:val="18"/>
                <w:szCs w:val="18"/>
                <w:color w:val="0000FF"/>
                <w:w w:val="88"/>
              </w:rPr>
            </w:pPr>
            <w:hyperlink w:anchor="page67">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 (filed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Times New Roman" w:cs="Times New Roman" w:eastAsia="Times New Roman" w:hAnsi="Times New Roman"/>
                <w:sz w:val="18"/>
                <w:szCs w:val="18"/>
                <w:color w:val="0000FF"/>
                <w:w w:val="88"/>
              </w:rPr>
            </w:pPr>
            <w:hyperlink w:anchor="page68">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 (filed herewith).</w:t>
            </w:r>
          </w:p>
        </w:tc>
      </w:tr>
      <w:tr>
        <w:trPr>
          <w:trHeight w:val="272"/>
        </w:trPr>
        <w:tc>
          <w:tcPr>
            <w:tcW w:w="40" w:type="dxa"/>
            <w:vAlign w:val="bottom"/>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194"/>
        </w:trPr>
        <w:tc>
          <w:tcPr>
            <w:tcW w:w="360" w:type="dxa"/>
            <w:vAlign w:val="bottom"/>
            <w:gridSpan w:val="3"/>
          </w:tcPr>
          <w:p>
            <w:pPr>
              <w:ind w:left="40"/>
              <w:spacing w:after="0" w:line="194" w:lineRule="exact"/>
              <w:rPr>
                <w:rFonts w:ascii="Times New Roman" w:cs="Times New Roman" w:eastAsia="Times New Roman" w:hAnsi="Times New Roman"/>
                <w:sz w:val="18"/>
                <w:szCs w:val="18"/>
                <w:color w:val="0000FF"/>
                <w:w w:val="88"/>
              </w:rPr>
            </w:pPr>
            <w:hyperlink w:anchor="page69">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Act of 2002 (furnished herewith).</w:t>
            </w:r>
          </w:p>
        </w:tc>
      </w:tr>
      <w:tr>
        <w:trPr>
          <w:trHeight w:val="272"/>
        </w:trPr>
        <w:tc>
          <w:tcPr>
            <w:tcW w:w="40" w:type="dxa"/>
            <w:vAlign w:val="bottom"/>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194"/>
        </w:trPr>
        <w:tc>
          <w:tcPr>
            <w:tcW w:w="360" w:type="dxa"/>
            <w:vAlign w:val="bottom"/>
            <w:gridSpan w:val="3"/>
          </w:tcPr>
          <w:p>
            <w:pPr>
              <w:ind w:left="40"/>
              <w:spacing w:after="0" w:line="194" w:lineRule="exact"/>
              <w:rPr>
                <w:rFonts w:ascii="Times New Roman" w:cs="Times New Roman" w:eastAsia="Times New Roman" w:hAnsi="Times New Roman"/>
                <w:sz w:val="18"/>
                <w:szCs w:val="18"/>
                <w:color w:val="0000FF"/>
                <w:w w:val="88"/>
              </w:rPr>
            </w:pPr>
            <w:hyperlink w:anchor="page70">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81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40</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Dated: May 9, 2019</w:t>
      </w:r>
      <w:r>
        <w:rPr>
          <w:sz w:val="20"/>
          <w:szCs w:val="20"/>
          <w:color w:val="auto"/>
        </w:rPr>
        <w:tab/>
      </w:r>
      <w:r>
        <w:rPr>
          <w:rFonts w:ascii="Times New Roman" w:cs="Times New Roman" w:eastAsia="Times New Roman" w:hAnsi="Times New Roman"/>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6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Dated: May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6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240" w:top="121"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Form of Option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OPTION GRANT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196"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1"/>
          <w:szCs w:val="21"/>
          <w:color w:val="auto"/>
        </w:rPr>
        <w:t>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the Participant set forth below the number of Options (each Option representing the right to purchase one share of Common Stock) set forth below, at an Exercise Price per share of Common Stock as set forth below. The Options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Participant Name</w:t>
            </w:r>
            <w:r>
              <w:rPr>
                <w:rFonts w:ascii="Times New Roman" w:cs="Times New Roman" w:eastAsia="Times New Roman" w:hAnsi="Times New Roman"/>
                <w:sz w:val="22"/>
                <w:szCs w:val="22"/>
                <w:color w:val="auto"/>
              </w:rPr>
              <w:t>]</w:t>
            </w:r>
          </w:p>
        </w:tc>
      </w:tr>
      <w:tr>
        <w:trPr>
          <w:trHeight w:val="473"/>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w:t>
            </w:r>
          </w:p>
        </w:tc>
        <w:tc>
          <w:tcPr>
            <w:tcW w:w="29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 2019</w:t>
            </w:r>
          </w:p>
        </w:tc>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73"/>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Number of Options</w:t>
            </w:r>
            <w:r>
              <w:rPr>
                <w:rFonts w:ascii="Times New Roman" w:cs="Times New Roman" w:eastAsia="Times New Roman" w:hAnsi="Times New Roman"/>
                <w:sz w:val="22"/>
                <w:szCs w:val="22"/>
                <w:color w:val="auto"/>
              </w:rPr>
              <w:t>:</w:t>
            </w: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No. of Options Granted</w:t>
            </w:r>
            <w:r>
              <w:rPr>
                <w:rFonts w:ascii="Times New Roman" w:cs="Times New Roman" w:eastAsia="Times New Roman" w:hAnsi="Times New Roman"/>
                <w:sz w:val="22"/>
                <w:szCs w:val="22"/>
                <w:color w:val="auto"/>
              </w:rPr>
              <w:t>]</w:t>
            </w:r>
          </w:p>
        </w:tc>
      </w:tr>
      <w:tr>
        <w:trPr>
          <w:trHeight w:val="562"/>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w:t>
            </w: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Exercise Price</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1</w:t>
            </w:r>
          </w:p>
        </w:tc>
      </w:tr>
      <w:tr>
        <w:trPr>
          <w:trHeight w:val="383"/>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Option Period Expiration Date</w:t>
            </w:r>
            <w:r>
              <w:rPr>
                <w:rFonts w:ascii="Times New Roman" w:cs="Times New Roman" w:eastAsia="Times New Roman" w:hAnsi="Times New Roman"/>
                <w:sz w:val="22"/>
                <w:szCs w:val="22"/>
                <w:color w:val="auto"/>
              </w:rPr>
              <w:t>:</w:t>
            </w: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Ten (10) years from Date of Grant</w:t>
            </w:r>
          </w:p>
        </w:tc>
      </w:tr>
      <w:tr>
        <w:trPr>
          <w:trHeight w:val="473"/>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Type of Option</w:t>
            </w:r>
            <w:r>
              <w:rPr>
                <w:rFonts w:ascii="Times New Roman" w:cs="Times New Roman" w:eastAsia="Times New Roman" w:hAnsi="Times New Roman"/>
                <w:sz w:val="22"/>
                <w:szCs w:val="22"/>
                <w:color w:val="auto"/>
              </w:rPr>
              <w:t>:</w:t>
            </w: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Nonqualified Stock Option</w:t>
            </w:r>
          </w:p>
        </w:tc>
      </w:tr>
      <w:tr>
        <w:trPr>
          <w:trHeight w:val="44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Provided the Participant has not undergone a Termination prior to the time of each applicable</w:t>
            </w:r>
          </w:p>
        </w:tc>
      </w:tr>
      <w:tr>
        <w:trPr>
          <w:trHeight w:val="230"/>
        </w:trPr>
        <w:tc>
          <w:tcPr>
            <w:tcW w:w="3080" w:type="dxa"/>
            <w:vAlign w:val="bottom"/>
          </w:tcPr>
          <w:p>
            <w:pPr>
              <w:spacing w:after="0"/>
              <w:rPr>
                <w:sz w:val="20"/>
                <w:szCs w:val="20"/>
                <w:color w:val="auto"/>
              </w:rPr>
            </w:pPr>
          </w:p>
        </w:tc>
        <w:tc>
          <w:tcPr>
            <w:tcW w:w="8340" w:type="dxa"/>
            <w:vAlign w:val="bottom"/>
            <w:gridSpan w:val="3"/>
          </w:tcPr>
          <w:p>
            <w:pPr>
              <w:ind w:left="160"/>
              <w:spacing w:after="0" w:line="230" w:lineRule="exact"/>
              <w:rPr>
                <w:sz w:val="20"/>
                <w:szCs w:val="20"/>
                <w:color w:val="auto"/>
              </w:rPr>
            </w:pPr>
            <w:r>
              <w:rPr>
                <w:rFonts w:ascii="Times New Roman" w:cs="Times New Roman" w:eastAsia="Times New Roman" w:hAnsi="Times New Roman"/>
                <w:sz w:val="22"/>
                <w:szCs w:val="22"/>
                <w:color w:val="auto"/>
              </w:rPr>
              <w:t>vesting date (or event) (each, a “Vesting Date”):</w:t>
            </w:r>
          </w:p>
        </w:tc>
      </w:tr>
      <w:tr>
        <w:trPr>
          <w:trHeight w:val="20"/>
        </w:trPr>
        <w:tc>
          <w:tcPr>
            <w:tcW w:w="3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70"/>
        </w:trPr>
        <w:tc>
          <w:tcPr>
            <w:tcW w:w="3080" w:type="dxa"/>
            <w:vAlign w:val="bottom"/>
          </w:tcPr>
          <w:p>
            <w:pPr>
              <w:spacing w:after="0"/>
              <w:rPr>
                <w:sz w:val="24"/>
                <w:szCs w:val="24"/>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One-third (1/3) of the Options (rounded down to the nearest whole share underlying such</w:t>
            </w:r>
          </w:p>
        </w:tc>
      </w:tr>
      <w:tr>
        <w:trPr>
          <w:trHeight w:val="257"/>
        </w:trPr>
        <w:tc>
          <w:tcPr>
            <w:tcW w:w="3080" w:type="dxa"/>
            <w:vAlign w:val="bottom"/>
          </w:tcPr>
          <w:p>
            <w:pPr>
              <w:spacing w:after="0"/>
              <w:rPr>
                <w:sz w:val="22"/>
                <w:szCs w:val="22"/>
                <w:color w:val="auto"/>
              </w:rPr>
            </w:pPr>
          </w:p>
        </w:tc>
        <w:tc>
          <w:tcPr>
            <w:tcW w:w="8340" w:type="dxa"/>
            <w:vAlign w:val="bottom"/>
            <w:gridSpan w:val="3"/>
          </w:tcPr>
          <w:p>
            <w:pPr>
              <w:ind w:left="500"/>
              <w:spacing w:after="0" w:line="257" w:lineRule="exact"/>
              <w:rPr>
                <w:sz w:val="20"/>
                <w:szCs w:val="20"/>
                <w:color w:val="auto"/>
              </w:rPr>
            </w:pPr>
            <w:r>
              <w:rPr>
                <w:rFonts w:ascii="Times New Roman" w:cs="Times New Roman" w:eastAsia="Times New Roman" w:hAnsi="Times New Roman"/>
                <w:sz w:val="22"/>
                <w:szCs w:val="22"/>
                <w:color w:val="auto"/>
              </w:rPr>
              <w:t>Option) will vest and become exercisable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Date of</w:t>
            </w:r>
          </w:p>
        </w:tc>
      </w:tr>
      <w:tr>
        <w:trPr>
          <w:trHeight w:val="381"/>
        </w:trPr>
        <w:tc>
          <w:tcPr>
            <w:tcW w:w="3080" w:type="dxa"/>
            <w:vAlign w:val="bottom"/>
          </w:tcPr>
          <w:p>
            <w:pPr>
              <w:spacing w:after="0"/>
              <w:rPr>
                <w:sz w:val="24"/>
                <w:szCs w:val="24"/>
                <w:color w:val="auto"/>
              </w:rPr>
            </w:pPr>
          </w:p>
        </w:tc>
        <w:tc>
          <w:tcPr>
            <w:tcW w:w="834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Grant][October 26, 2019]</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w:t>
            </w:r>
          </w:p>
        </w:tc>
      </w:tr>
      <w:tr>
        <w:trPr>
          <w:trHeight w:val="349"/>
        </w:trPr>
        <w:tc>
          <w:tcPr>
            <w:tcW w:w="3080" w:type="dxa"/>
            <w:vAlign w:val="bottom"/>
          </w:tcPr>
          <w:p>
            <w:pPr>
              <w:spacing w:after="0"/>
              <w:rPr>
                <w:sz w:val="24"/>
                <w:szCs w:val="24"/>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One-third (1/3) of the Options (rounded down to the nearest whole share underlying such</w:t>
            </w:r>
          </w:p>
        </w:tc>
      </w:tr>
      <w:tr>
        <w:trPr>
          <w:trHeight w:val="265"/>
        </w:trPr>
        <w:tc>
          <w:tcPr>
            <w:tcW w:w="3080" w:type="dxa"/>
            <w:vAlign w:val="bottom"/>
          </w:tcPr>
          <w:p>
            <w:pPr>
              <w:spacing w:after="0"/>
              <w:rPr>
                <w:sz w:val="23"/>
                <w:szCs w:val="23"/>
                <w:color w:val="auto"/>
              </w:rPr>
            </w:pPr>
          </w:p>
        </w:tc>
        <w:tc>
          <w:tcPr>
            <w:tcW w:w="8340" w:type="dxa"/>
            <w:vAlign w:val="bottom"/>
            <w:gridSpan w:val="3"/>
          </w:tcPr>
          <w:p>
            <w:pPr>
              <w:ind w:left="500"/>
              <w:spacing w:after="0" w:line="265" w:lineRule="exact"/>
              <w:rPr>
                <w:sz w:val="20"/>
                <w:szCs w:val="20"/>
                <w:color w:val="auto"/>
              </w:rPr>
            </w:pPr>
            <w:r>
              <w:rPr>
                <w:rFonts w:ascii="Times New Roman" w:cs="Times New Roman" w:eastAsia="Times New Roman" w:hAnsi="Times New Roman"/>
                <w:sz w:val="22"/>
                <w:szCs w:val="22"/>
                <w:color w:val="auto"/>
              </w:rPr>
              <w:t>Option) will vest and become exercisable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Date of</w:t>
            </w:r>
          </w:p>
        </w:tc>
      </w:tr>
      <w:tr>
        <w:trPr>
          <w:trHeight w:val="283"/>
        </w:trPr>
        <w:tc>
          <w:tcPr>
            <w:tcW w:w="3080" w:type="dxa"/>
            <w:vAlign w:val="bottom"/>
          </w:tcPr>
          <w:p>
            <w:pPr>
              <w:spacing w:after="0"/>
              <w:rPr>
                <w:sz w:val="24"/>
                <w:szCs w:val="24"/>
                <w:color w:val="auto"/>
              </w:rPr>
            </w:pPr>
          </w:p>
        </w:tc>
        <w:tc>
          <w:tcPr>
            <w:tcW w:w="834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Grant; and</w:t>
            </w:r>
          </w:p>
        </w:tc>
      </w:tr>
      <w:tr>
        <w:trPr>
          <w:trHeight w:val="438"/>
        </w:trPr>
        <w:tc>
          <w:tcPr>
            <w:tcW w:w="3080" w:type="dxa"/>
            <w:vAlign w:val="bottom"/>
          </w:tcPr>
          <w:p>
            <w:pPr>
              <w:spacing w:after="0"/>
              <w:rPr>
                <w:sz w:val="24"/>
                <w:szCs w:val="24"/>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Any Options that are not vested and exercisable as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1"/>
                <w:szCs w:val="21"/>
                <w:color w:val="auto"/>
              </w:rPr>
              <w:t>) anniversary of the</w:t>
            </w:r>
          </w:p>
        </w:tc>
      </w:tr>
      <w:tr>
        <w:trPr>
          <w:trHeight w:val="265"/>
        </w:trPr>
        <w:tc>
          <w:tcPr>
            <w:tcW w:w="3080" w:type="dxa"/>
            <w:vAlign w:val="bottom"/>
          </w:tcPr>
          <w:p>
            <w:pPr>
              <w:spacing w:after="0"/>
              <w:rPr>
                <w:sz w:val="23"/>
                <w:szCs w:val="23"/>
                <w:color w:val="auto"/>
              </w:rPr>
            </w:pPr>
          </w:p>
        </w:tc>
        <w:tc>
          <w:tcPr>
            <w:tcW w:w="8340" w:type="dxa"/>
            <w:vAlign w:val="bottom"/>
            <w:gridSpan w:val="3"/>
          </w:tcPr>
          <w:p>
            <w:pPr>
              <w:ind w:left="500"/>
              <w:spacing w:after="0" w:line="265" w:lineRule="exact"/>
              <w:rPr>
                <w:sz w:val="20"/>
                <w:szCs w:val="20"/>
                <w:color w:val="auto"/>
              </w:rPr>
            </w:pPr>
            <w:r>
              <w:rPr>
                <w:rFonts w:ascii="Times New Roman" w:cs="Times New Roman" w:eastAsia="Times New Roman" w:hAnsi="Times New Roman"/>
                <w:sz w:val="22"/>
                <w:szCs w:val="22"/>
                <w:color w:val="auto"/>
                <w:w w:val="99"/>
              </w:rPr>
              <w:t>Date of Grant will vest and become exercisable on the third (3</w:t>
            </w:r>
            <w:r>
              <w:rPr>
                <w:rFonts w:ascii="Times New Roman" w:cs="Times New Roman" w:eastAsia="Times New Roman" w:hAnsi="Times New Roman"/>
                <w:sz w:val="28"/>
                <w:szCs w:val="28"/>
                <w:color w:val="auto"/>
                <w:w w:val="99"/>
                <w:vertAlign w:val="superscript"/>
              </w:rPr>
              <w:t>rd</w:t>
            </w:r>
            <w:r>
              <w:rPr>
                <w:rFonts w:ascii="Times New Roman" w:cs="Times New Roman" w:eastAsia="Times New Roman" w:hAnsi="Times New Roman"/>
                <w:sz w:val="22"/>
                <w:szCs w:val="22"/>
                <w:color w:val="auto"/>
                <w:w w:val="99"/>
              </w:rPr>
              <w:t>) anniversary of the Date</w:t>
            </w:r>
          </w:p>
        </w:tc>
      </w:tr>
      <w:tr>
        <w:trPr>
          <w:trHeight w:val="283"/>
        </w:trPr>
        <w:tc>
          <w:tcPr>
            <w:tcW w:w="3080" w:type="dxa"/>
            <w:vAlign w:val="bottom"/>
          </w:tcPr>
          <w:p>
            <w:pPr>
              <w:spacing w:after="0"/>
              <w:rPr>
                <w:sz w:val="24"/>
                <w:szCs w:val="24"/>
                <w:color w:val="auto"/>
              </w:rPr>
            </w:pPr>
          </w:p>
        </w:tc>
        <w:tc>
          <w:tcPr>
            <w:tcW w:w="834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of Grant.</w:t>
            </w:r>
          </w:p>
        </w:tc>
      </w:tr>
      <w:tr>
        <w:trPr>
          <w:trHeight w:val="447"/>
        </w:trPr>
        <w:tc>
          <w:tcPr>
            <w:tcW w:w="3080" w:type="dxa"/>
            <w:vAlign w:val="bottom"/>
          </w:tcPr>
          <w:p>
            <w:pPr>
              <w:spacing w:after="0"/>
              <w:rPr>
                <w:sz w:val="24"/>
                <w:szCs w:val="24"/>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Notwithstanding the foregoing, in the event (i) that the Participant undergoes a Qualifying</w:t>
            </w:r>
          </w:p>
        </w:tc>
      </w:tr>
      <w:tr>
        <w:trPr>
          <w:trHeight w:val="257"/>
        </w:trPr>
        <w:tc>
          <w:tcPr>
            <w:tcW w:w="3080" w:type="dxa"/>
            <w:vAlign w:val="bottom"/>
          </w:tcPr>
          <w:p>
            <w:pPr>
              <w:spacing w:after="0"/>
              <w:rPr>
                <w:sz w:val="22"/>
                <w:szCs w:val="22"/>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Termination (other than within the two (2)-year period following a Change in Control) or (ii)</w:t>
            </w:r>
          </w:p>
        </w:tc>
      </w:tr>
      <w:tr>
        <w:trPr>
          <w:trHeight w:val="257"/>
        </w:trPr>
        <w:tc>
          <w:tcPr>
            <w:tcW w:w="3080" w:type="dxa"/>
            <w:vAlign w:val="bottom"/>
          </w:tcPr>
          <w:p>
            <w:pPr>
              <w:spacing w:after="0"/>
              <w:rPr>
                <w:sz w:val="22"/>
                <w:szCs w:val="22"/>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of the Participant’s Termination due to Retirement, a number of Options equal to the number</w:t>
            </w:r>
          </w:p>
        </w:tc>
      </w:tr>
      <w:tr>
        <w:trPr>
          <w:trHeight w:val="257"/>
        </w:trPr>
        <w:tc>
          <w:tcPr>
            <w:tcW w:w="3080" w:type="dxa"/>
            <w:vAlign w:val="bottom"/>
          </w:tcPr>
          <w:p>
            <w:pPr>
              <w:spacing w:after="0"/>
              <w:rPr>
                <w:sz w:val="22"/>
                <w:szCs w:val="22"/>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of Options that would have become vested on the next Vesting Date following the date of</w:t>
            </w:r>
          </w:p>
        </w:tc>
      </w:tr>
      <w:tr>
        <w:trPr>
          <w:trHeight w:val="257"/>
        </w:trPr>
        <w:tc>
          <w:tcPr>
            <w:tcW w:w="3080" w:type="dxa"/>
            <w:vAlign w:val="bottom"/>
          </w:tcPr>
          <w:p>
            <w:pPr>
              <w:spacing w:after="0"/>
              <w:rPr>
                <w:sz w:val="22"/>
                <w:szCs w:val="22"/>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such Termination multiplied by a fraction, the numerator of which is the number of days that</w:t>
            </w:r>
          </w:p>
        </w:tc>
      </w:tr>
      <w:tr>
        <w:trPr>
          <w:trHeight w:val="283"/>
        </w:trPr>
        <w:tc>
          <w:tcPr>
            <w:tcW w:w="3080" w:type="dxa"/>
            <w:vAlign w:val="bottom"/>
          </w:tcPr>
          <w:p>
            <w:pPr>
              <w:spacing w:after="0"/>
              <w:rPr>
                <w:sz w:val="24"/>
                <w:szCs w:val="24"/>
                <w:color w:val="auto"/>
              </w:rPr>
            </w:pPr>
          </w:p>
        </w:tc>
        <w:tc>
          <w:tcPr>
            <w:tcW w:w="8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the Participant is employed by the Service Recipient from the most recent Vesting Date</w:t>
            </w:r>
          </w:p>
        </w:tc>
      </w:tr>
    </w:tbl>
    <w:p>
      <w:pPr>
        <w:spacing w:after="0" w:line="372" w:lineRule="exact"/>
        <w:rPr>
          <w:sz w:val="20"/>
          <w:szCs w:val="20"/>
          <w:color w:val="auto"/>
        </w:rPr>
      </w:pPr>
    </w:p>
    <w:p>
      <w:pPr>
        <w:ind w:left="100" w:hanging="92"/>
        <w:spacing w:after="0"/>
        <w:tabs>
          <w:tab w:leader="none" w:pos="10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To equal Fair Market Value on the Date of Grant.</w:t>
      </w:r>
    </w:p>
    <w:p>
      <w:pPr>
        <w:ind w:left="100" w:hanging="92"/>
        <w:spacing w:after="0" w:line="183" w:lineRule="auto"/>
        <w:tabs>
          <w:tab w:leader="none" w:pos="10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October 26, 2019 date to be used for awards to Directors, DMs , and any other individual whom the Board designates.</w:t>
      </w:r>
    </w:p>
    <w:p>
      <w:pPr>
        <w:sectPr>
          <w:pgSz w:w="11900" w:h="16838" w:orient="portrait"/>
          <w:cols w:equalWidth="0" w:num="1">
            <w:col w:w="11420"/>
          </w:cols>
          <w:pgMar w:left="240" w:top="121" w:right="239" w:bottom="1440" w:gutter="0" w:footer="0" w:header="0"/>
        </w:sectPr>
      </w:pPr>
    </w:p>
    <w:bookmarkStart w:id="42" w:name="page43"/>
    <w:bookmarkEnd w:id="42"/>
    <w:p>
      <w:pPr>
        <w:jc w:val="both"/>
        <w:ind w:left="2040"/>
        <w:spacing w:after="0" w:line="271" w:lineRule="auto"/>
        <w:rPr>
          <w:sz w:val="20"/>
          <w:szCs w:val="20"/>
          <w:color w:val="auto"/>
        </w:rPr>
      </w:pPr>
      <w:r>
        <w:rPr>
          <w:rFonts w:ascii="Times New Roman" w:cs="Times New Roman" w:eastAsia="Times New Roman" w:hAnsi="Times New Roman"/>
          <w:sz w:val="22"/>
          <w:szCs w:val="22"/>
          <w:color w:val="auto"/>
        </w:rPr>
        <w:t>to the date of Termination and the denominator of which shall equal three hundred and sixty-five (365) (rounded down to the nearest whole share underlying such Option).</w:t>
      </w:r>
    </w:p>
    <w:p>
      <w:pPr>
        <w:spacing w:after="0" w:line="158" w:lineRule="exact"/>
        <w:rPr>
          <w:sz w:val="20"/>
          <w:szCs w:val="20"/>
          <w:color w:val="auto"/>
        </w:rPr>
      </w:pPr>
    </w:p>
    <w:p>
      <w:pPr>
        <w:jc w:val="both"/>
        <w:ind w:left="2040"/>
        <w:spacing w:after="0" w:line="252" w:lineRule="auto"/>
        <w:rPr>
          <w:sz w:val="20"/>
          <w:szCs w:val="20"/>
          <w:color w:val="auto"/>
        </w:rPr>
      </w:pPr>
      <w:r>
        <w:rPr>
          <w:rFonts w:ascii="Times New Roman" w:cs="Times New Roman" w:eastAsia="Times New Roman" w:hAnsi="Times New Roman"/>
          <w:sz w:val="22"/>
          <w:szCs w:val="22"/>
          <w:color w:val="auto"/>
        </w:rPr>
        <w:t>In addition, in the event (i) of a Qualifying Termination within the two (2)-year period following a Change in Control or (ii) that the Participant undergoes a Termination as a result of the Participant’s death or Disability, the Participant shall fully vest in the Participant’s Options to the extent not then vested or previously forfeited.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to appear on following page</w:t>
      </w:r>
      <w:r>
        <w:rPr>
          <w:rFonts w:ascii="Times New Roman" w:cs="Times New Roman" w:eastAsia="Times New Roman" w:hAnsi="Times New Roman"/>
          <w:sz w:val="22"/>
          <w:szCs w:val="22"/>
          <w:color w:val="auto"/>
        </w:rPr>
        <w:t>]</w:t>
      </w:r>
    </w:p>
    <w:p>
      <w:pPr>
        <w:sectPr>
          <w:pgSz w:w="11900" w:h="16838" w:orient="portrait"/>
          <w:cols w:equalWidth="0" w:num="1">
            <w:col w:w="10220"/>
          </w:cols>
          <w:pgMar w:left="1440" w:top="369" w:right="239" w:bottom="1440" w:gutter="0" w:footer="0" w:header="0"/>
        </w:sectPr>
      </w:pPr>
    </w:p>
    <w:bookmarkStart w:id="43" w:name="page44"/>
    <w:bookmarkEnd w:id="43"/>
    <w:p>
      <w:pPr>
        <w:ind w:right="420"/>
        <w:spacing w:after="0" w:line="254"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OPTION GRANT NOTICE, THE OPTION AGREEMENT AND THE PLAN, AND, AS AN EXPRESS CONDITION TO THE GRANT OF OPTIONS HEREUNDER, AGREES TO BE BOUND BY THE TERMS OF THIS OPTION GRANT NOTICE, THE OPTION AGREEMENT AND THE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r>
        <w:rPr>
          <w:rFonts w:ascii="Times New Roman" w:cs="Times New Roman" w:eastAsia="Times New Roman" w:hAnsi="Times New Roman"/>
          <w:sz w:val="28"/>
          <w:szCs w:val="28"/>
          <w:color w:val="auto"/>
          <w:vertAlign w:val="superscript"/>
        </w:rPr>
        <w:t>3</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Option Award</w:t>
      </w:r>
      <w:r>
        <w:rPr>
          <w:rFonts w:ascii="Times New Roman" w:cs="Times New Roman" w:eastAsia="Times New Roman" w:hAnsi="Times New Roman"/>
          <w:sz w:val="21"/>
          <w:szCs w:val="21"/>
          <w:color w:val="auto"/>
        </w:rPr>
        <w:t>]</w:t>
      </w:r>
    </w:p>
    <w:p>
      <w:pPr>
        <w:sectPr>
          <w:pgSz w:w="11900" w:h="16838" w:orient="portrait"/>
          <w:cols w:equalWidth="0" w:num="1">
            <w:col w:w="11200"/>
          </w:cols>
          <w:pgMar w:left="240" w:top="36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hereof.</w:t>
      </w:r>
    </w:p>
    <w:p>
      <w:pPr>
        <w:sectPr>
          <w:pgSz w:w="11900" w:h="16838" w:orient="portrait"/>
          <w:cols w:equalWidth="0" w:num="1">
            <w:col w:w="11200"/>
          </w:cols>
          <w:pgMar w:left="240" w:top="365" w:right="45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OPTION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Pursuant to the Option Grant Notice (the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delivered to the Participant (as defined in the Grant Notice), and subject to the terms of this Option Agreement (this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and the National Vision Holdings, Inc.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agree as follows. Capitalized terms not otherwise defined herein shall have the same meaning as set forth in the Plan.</w:t>
      </w:r>
    </w:p>
    <w:p>
      <w:pPr>
        <w:spacing w:after="0" w:line="177" w:lineRule="exact"/>
        <w:rPr>
          <w:sz w:val="20"/>
          <w:szCs w:val="20"/>
          <w:color w:val="auto"/>
        </w:rPr>
      </w:pPr>
    </w:p>
    <w:p>
      <w:pPr>
        <w:jc w:val="both"/>
        <w:ind w:firstLine="656"/>
        <w:spacing w:after="0" w:line="263" w:lineRule="auto"/>
        <w:tabs>
          <w:tab w:leader="none" w:pos="86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Option</w:t>
      </w:r>
      <w:r>
        <w:rPr>
          <w:rFonts w:ascii="Times New Roman" w:cs="Times New Roman" w:eastAsia="Times New Roman" w:hAnsi="Times New Roman"/>
          <w:sz w:val="21"/>
          <w:szCs w:val="21"/>
          <w:color w:val="auto"/>
        </w:rPr>
        <w:t>. Subject to the terms and conditions set forth herein and in the Plan, the Company hereby grants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the number of Options provided in the Grant Notice (with each Option representing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67" w:lineRule="exact"/>
        <w:rPr>
          <w:rFonts w:ascii="Times New Roman" w:cs="Times New Roman" w:eastAsia="Times New Roman" w:hAnsi="Times New Roman"/>
          <w:sz w:val="21"/>
          <w:szCs w:val="21"/>
          <w:color w:val="auto"/>
        </w:rPr>
      </w:pPr>
    </w:p>
    <w:p>
      <w:pPr>
        <w:ind w:left="900" w:hanging="244"/>
        <w:spacing w:after="0"/>
        <w:tabs>
          <w:tab w:leader="none" w:pos="9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Subject to the conditions contained herein and in the Plan, the Options shall vest as provided in the Grant</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w:t>
      </w:r>
    </w:p>
    <w:p>
      <w:pPr>
        <w:spacing w:after="0" w:line="191" w:lineRule="exact"/>
        <w:rPr>
          <w:rFonts w:ascii="Times New Roman" w:cs="Times New Roman" w:eastAsia="Times New Roman" w:hAnsi="Times New Roman"/>
          <w:sz w:val="22"/>
          <w:szCs w:val="22"/>
          <w:color w:val="auto"/>
        </w:rPr>
      </w:pPr>
    </w:p>
    <w:p>
      <w:pPr>
        <w:jc w:val="both"/>
        <w:ind w:firstLine="656"/>
        <w:spacing w:after="0" w:line="248" w:lineRule="auto"/>
        <w:tabs>
          <w:tab w:leader="none" w:pos="86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of Options Following Termination</w:t>
      </w:r>
      <w:r>
        <w:rPr>
          <w:rFonts w:ascii="Times New Roman" w:cs="Times New Roman" w:eastAsia="Times New Roman" w:hAnsi="Times New Roman"/>
          <w:sz w:val="22"/>
          <w:szCs w:val="22"/>
          <w:color w:val="auto"/>
        </w:rPr>
        <w:t>. Unless otherwise provided by the Committee, in the event of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 by the Service Recipient for Cause, all outstanding Options shall immediately terminate and expire; (b) due to death or Disability, except as set forth in the Grant Notice, each outstanding unvested Option shall immediately terminate and expire, and each outstanding vested Option shall remain exercisable for one (1) year thereafter (but in no event beyond the expiration of the Option Period); and (c) for any other reason, except as set forth in the Grant Notice, each outstanding unvested Option shall immediately terminate and expire, and each outstanding vested Option shall remain exercisable for ninety (90) days thereafter (but in no event beyond the expiration of the Option Period).</w:t>
      </w:r>
    </w:p>
    <w:p>
      <w:pPr>
        <w:spacing w:after="0" w:line="182" w:lineRule="exact"/>
        <w:rPr>
          <w:rFonts w:ascii="Times New Roman" w:cs="Times New Roman" w:eastAsia="Times New Roman" w:hAnsi="Times New Roman"/>
          <w:sz w:val="22"/>
          <w:szCs w:val="22"/>
          <w:color w:val="auto"/>
        </w:rPr>
      </w:pPr>
    </w:p>
    <w:p>
      <w:pPr>
        <w:jc w:val="both"/>
        <w:ind w:firstLine="656"/>
        <w:spacing w:after="0" w:line="246" w:lineRule="auto"/>
        <w:tabs>
          <w:tab w:leader="none" w:pos="86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Exercising Options</w:t>
      </w:r>
      <w:r>
        <w:rPr>
          <w:rFonts w:ascii="Times New Roman" w:cs="Times New Roman" w:eastAsia="Times New Roman" w:hAnsi="Times New Roman"/>
          <w:sz w:val="22"/>
          <w:szCs w:val="22"/>
          <w:color w:val="auto"/>
        </w:rPr>
        <w:t>. The Options may be exercised by the delivery of notice of the number of Options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General Counsel;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Participant shall obtain written consent from the Committee prior to (i) the use of the method described in Section 7(d)(ii)(A) or, (ii) to the extent that the “net exercise” procedure described in Section 7(d)(ii)(C) of the Plan is used, prior to having such net exercise apply to applicable withholding taxes.</w:t>
      </w:r>
    </w:p>
    <w:p>
      <w:pPr>
        <w:spacing w:after="0" w:line="189" w:lineRule="exact"/>
        <w:rPr>
          <w:rFonts w:ascii="Times New Roman" w:cs="Times New Roman" w:eastAsia="Times New Roman" w:hAnsi="Times New Roman"/>
          <w:sz w:val="22"/>
          <w:szCs w:val="22"/>
          <w:color w:val="auto"/>
        </w:rPr>
      </w:pPr>
    </w:p>
    <w:p>
      <w:pPr>
        <w:jc w:val="both"/>
        <w:ind w:firstLine="656"/>
        <w:spacing w:after="0" w:line="251" w:lineRule="auto"/>
        <w:tabs>
          <w:tab w:leader="none" w:pos="90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Shares</w:t>
      </w:r>
      <w:r>
        <w:rPr>
          <w:rFonts w:ascii="Times New Roman" w:cs="Times New Roman" w:eastAsia="Times New Roman" w:hAnsi="Times New Roman"/>
          <w:sz w:val="22"/>
          <w:szCs w:val="22"/>
          <w:color w:val="auto"/>
        </w:rPr>
        <w:t>. Following the exercise of an Option hereunder, as promptly as practical after receipt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notification and full payment of such Exercise Price and any required income or other tax withholding amount (as provided in Section 9 hereof), the Company shall issue or transfer, or cause such issue or transfer, to the Participant the number of shares with respect to which the Options have been so exercised, and shall either (a) deliver, or cause to be delivered, to the Participant a certificate or certificates</w:t>
      </w:r>
    </w:p>
    <w:p>
      <w:pPr>
        <w:sectPr>
          <w:pgSz w:w="11900" w:h="16838" w:orient="portrait"/>
          <w:cols w:equalWidth="0" w:num="1">
            <w:col w:w="11420"/>
          </w:cols>
          <w:pgMar w:left="240" w:top="365" w:right="239" w:bottom="1440" w:gutter="0" w:footer="0" w:header="0"/>
        </w:sectPr>
      </w:pPr>
    </w:p>
    <w:bookmarkStart w:id="45" w:name="page46"/>
    <w:bookmarkEnd w:id="45"/>
    <w:p>
      <w:pPr>
        <w:spacing w:after="0" w:line="271" w:lineRule="auto"/>
        <w:rPr>
          <w:sz w:val="20"/>
          <w:szCs w:val="20"/>
          <w:color w:val="auto"/>
        </w:rPr>
      </w:pPr>
      <w:r>
        <w:rPr>
          <w:rFonts w:ascii="Times New Roman" w:cs="Times New Roman" w:eastAsia="Times New Roman" w:hAnsi="Times New Roman"/>
          <w:sz w:val="22"/>
          <w:szCs w:val="22"/>
          <w:color w:val="auto"/>
        </w:rPr>
        <w:t>therefor, registered in the Participant’s name or (b) cause such shares to be credited to the Participant’s account at the third-party plan administrator.</w:t>
      </w:r>
    </w:p>
    <w:p>
      <w:pPr>
        <w:spacing w:after="0" w:line="154" w:lineRule="exact"/>
        <w:rPr>
          <w:sz w:val="20"/>
          <w:szCs w:val="20"/>
          <w:color w:val="auto"/>
        </w:rPr>
      </w:pPr>
    </w:p>
    <w:p>
      <w:pPr>
        <w:ind w:left="880" w:hanging="224"/>
        <w:spacing w:after="0"/>
        <w:tabs>
          <w:tab w:leader="none" w:pos="8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56"/>
        <w:spacing w:after="0" w:line="271" w:lineRule="auto"/>
        <w:tabs>
          <w:tab w:leader="none" w:pos="94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used in this Option Agreement with reference to employment shall include the Company and its Subsidiaries.</w:t>
      </w:r>
    </w:p>
    <w:p>
      <w:pPr>
        <w:spacing w:after="0" w:line="157" w:lineRule="exact"/>
        <w:rPr>
          <w:rFonts w:ascii="Times New Roman" w:cs="Times New Roman" w:eastAsia="Times New Roman" w:hAnsi="Times New Roman"/>
          <w:sz w:val="22"/>
          <w:szCs w:val="22"/>
          <w:color w:val="auto"/>
        </w:rPr>
      </w:pPr>
    </w:p>
    <w:p>
      <w:pPr>
        <w:jc w:val="both"/>
        <w:ind w:firstLine="656"/>
        <w:spacing w:after="0" w:line="260" w:lineRule="auto"/>
        <w:tabs>
          <w:tab w:leader="none" w:pos="963"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as used in this Option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w:t>
      </w:r>
    </w:p>
    <w:p>
      <w:pPr>
        <w:spacing w:after="0" w:line="3" w:lineRule="exact"/>
        <w:rPr>
          <w:rFonts w:ascii="Times New Roman" w:cs="Times New Roman" w:eastAsia="Times New Roman" w:hAnsi="Times New Roman"/>
          <w:sz w:val="21"/>
          <w:szCs w:val="21"/>
          <w:color w:val="auto"/>
        </w:rPr>
      </w:pPr>
    </w:p>
    <w:p>
      <w:pPr>
        <w:jc w:val="both"/>
        <w:ind w:firstLine="8"/>
        <w:spacing w:after="0" w:line="244" w:lineRule="auto"/>
        <w:tabs>
          <w:tab w:leader="none" w:pos="38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significant diminution of the Participant’s duties and responsibilities. The Participant must make a claim for Good Reason within ninety (90) days following the occurrence of the event giving rise to the claim and terminate employment no later than one hundred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pacing w:after="0" w:line="189" w:lineRule="exact"/>
        <w:rPr>
          <w:rFonts w:ascii="Times New Roman" w:cs="Times New Roman" w:eastAsia="Times New Roman" w:hAnsi="Times New Roman"/>
          <w:sz w:val="22"/>
          <w:szCs w:val="22"/>
          <w:color w:val="auto"/>
        </w:rPr>
      </w:pPr>
    </w:p>
    <w:p>
      <w:pPr>
        <w:jc w:val="both"/>
        <w:ind w:firstLine="656"/>
        <w:spacing w:after="0" w:line="252" w:lineRule="auto"/>
        <w:tabs>
          <w:tab w:leader="none" w:pos="96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word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is used in any provision of this Option Agreement under circumstances where the provision should logically be construed to apply to the executors, the administrators, or the person or persons to whom the Options may be transferred by will or by the laws of descent and distribution, the word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be deemed to include such person or persons.</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98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as used in this Option Agreement shall mean a Participant’s Termination by the Service Recipient without Cause or by the Participant with Good Reason.</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98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as used in this Option Agreement shall mean the Participant’s voluntary resignation from employment, other than while grounds for Cause exist, when (i) (x) the Participant’s age is at least sixty (60) years old and (y) the Participant’s number of years of service with the Company and its predecessors is at least ten (10) years or (2) the Participant’s age is at least sixty five (65) years old.</w:t>
      </w:r>
    </w:p>
    <w:p>
      <w:pPr>
        <w:spacing w:after="0" w:line="176" w:lineRule="exact"/>
        <w:rPr>
          <w:sz w:val="20"/>
          <w:szCs w:val="20"/>
          <w:color w:val="auto"/>
        </w:rPr>
      </w:pPr>
    </w:p>
    <w:p>
      <w:pPr>
        <w:jc w:val="both"/>
        <w:ind w:firstLine="656"/>
        <w:spacing w:after="0" w:line="251" w:lineRule="auto"/>
        <w:tabs>
          <w:tab w:leader="none" w:pos="8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Options are not transferable by the Participant except to Permitted Transferees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Section 14(b) of the Plan.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87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as Stockholder</w:t>
      </w:r>
      <w:r>
        <w:rPr>
          <w:rFonts w:ascii="Times New Roman" w:cs="Times New Roman" w:eastAsia="Times New Roman" w:hAnsi="Times New Roman"/>
          <w:sz w:val="22"/>
          <w:szCs w:val="22"/>
          <w:color w:val="auto"/>
        </w:rPr>
        <w:t>. The Participant or a Permitted Transferee of the Options shall have no 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any share of Common Stock covered by an Option until the Participant or the Permitted Transferee shall have become the holder of record or the beneficial owner of such Common Stock, and no adjustment shall be made for dividends or distributions or other rights in respect of such share of Common Stock for which the record date is prior to the date upon which the Participant or the Permitted Transferee shall become the holder of record or the beneficial owner thereof.</w:t>
      </w:r>
    </w:p>
    <w:p>
      <w:pPr>
        <w:spacing w:after="0" w:line="176" w:lineRule="exact"/>
        <w:rPr>
          <w:rFonts w:ascii="Times New Roman" w:cs="Times New Roman" w:eastAsia="Times New Roman" w:hAnsi="Times New Roman"/>
          <w:sz w:val="22"/>
          <w:szCs w:val="22"/>
          <w:color w:val="auto"/>
        </w:rPr>
      </w:pPr>
    </w:p>
    <w:p>
      <w:pPr>
        <w:ind w:left="900" w:hanging="244"/>
        <w:spacing w:after="0"/>
        <w:tabs>
          <w:tab w:leader="none" w:pos="9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The provisions of Section 14(d) of the Plan are incorporated herein by reference and made a part</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ectPr>
          <w:pgSz w:w="11900" w:h="16838" w:orient="portrait"/>
          <w:cols w:equalWidth="0" w:num="1">
            <w:col w:w="11420"/>
          </w:cols>
          <w:pgMar w:left="240" w:top="369" w:right="239" w:bottom="1440" w:gutter="0" w:footer="0" w:header="0"/>
        </w:sectPr>
      </w:pPr>
    </w:p>
    <w:bookmarkStart w:id="46" w:name="page47"/>
    <w:bookmarkEnd w:id="46"/>
    <w:p>
      <w:pPr>
        <w:jc w:val="both"/>
        <w:ind w:left="-656" w:firstLine="656"/>
        <w:spacing w:after="0" w:line="246" w:lineRule="auto"/>
        <w:tabs>
          <w:tab w:leader="none" w:pos="37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Every notice or other communication relating to this Option Agreement between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9" w:lineRule="exact"/>
        <w:rPr>
          <w:rFonts w:ascii="Times New Roman" w:cs="Times New Roman" w:eastAsia="Times New Roman" w:hAnsi="Times New Roman"/>
          <w:sz w:val="22"/>
          <w:szCs w:val="22"/>
          <w:color w:val="auto"/>
        </w:rPr>
      </w:pPr>
    </w:p>
    <w:p>
      <w:pPr>
        <w:ind w:left="-656" w:firstLine="656"/>
        <w:spacing w:after="0" w:line="275" w:lineRule="auto"/>
        <w:tabs>
          <w:tab w:leader="none" w:pos="30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22"/>
          <w:szCs w:val="22"/>
          <w:color w:val="auto"/>
        </w:rPr>
        <w:t>. This Option Agreement does not confer upon the Participant any right to continue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employee or service provider to the Company.</w:t>
      </w:r>
    </w:p>
    <w:p>
      <w:pPr>
        <w:spacing w:after="0" w:line="149" w:lineRule="exact"/>
        <w:rPr>
          <w:rFonts w:ascii="Times New Roman" w:cs="Times New Roman" w:eastAsia="Times New Roman" w:hAnsi="Times New Roman"/>
          <w:sz w:val="22"/>
          <w:szCs w:val="22"/>
          <w:color w:val="auto"/>
        </w:rPr>
      </w:pPr>
    </w:p>
    <w:p>
      <w:pPr>
        <w:ind w:left="-656" w:firstLine="656"/>
        <w:spacing w:after="0" w:line="275"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Option Agreement shall be binding upon the heirs, executors, administrators and successors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w:t>
      </w:r>
    </w:p>
    <w:p>
      <w:pPr>
        <w:spacing w:after="0" w:line="149" w:lineRule="exact"/>
        <w:rPr>
          <w:rFonts w:ascii="Times New Roman" w:cs="Times New Roman" w:eastAsia="Times New Roman" w:hAnsi="Times New Roman"/>
          <w:sz w:val="22"/>
          <w:szCs w:val="22"/>
          <w:color w:val="auto"/>
        </w:rPr>
      </w:pPr>
    </w:p>
    <w:p>
      <w:pPr>
        <w:jc w:val="both"/>
        <w:ind w:left="-656" w:firstLine="656"/>
        <w:spacing w:after="0" w:line="249"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22"/>
          <w:szCs w:val="22"/>
          <w:color w:val="auto"/>
        </w:rPr>
        <w:t>. Except as otherwise set forth in Section 13 of the Plan, any waiver, alteration,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modification of any of the terms of this Option Agreement shall be valid only if made in writing and signed by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any such waiver, alteration, amendment or modification is consented to on the Company’s behalf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0"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Clawback/Forfeiture</w:t>
      </w:r>
      <w:r>
        <w:rPr>
          <w:rFonts w:ascii="Times New Roman" w:cs="Times New Roman" w:eastAsia="Times New Roman" w:hAnsi="Times New Roman"/>
          <w:sz w:val="22"/>
          <w:szCs w:val="22"/>
          <w:color w:val="auto"/>
        </w:rPr>
        <w:t>. In addition, if the Participant receives any amount in excess of what the Participant should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under the terms of this Option Agreement for any reason (including without limitation by reason of a financial restatement, mistake in calculations or other administrative error), the Participant shall be required to repay any such excess amount to the Company. Without limiting the foregoing, all Options shall be subject to reduction, cancellation, forfeiture or recoupment to the extent necessary to comply with applicable law.</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Option Agreement shall be construed and interpreted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Delaware.</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59" w:lineRule="auto"/>
        <w:tabs>
          <w:tab w:leader="none" w:pos="37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terms and provisions of the Plan are incorporated herein by reference. In the event of a conflict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inconsistency between the terms and provisions of the Plan and the provisions of this Option Agreement (including the Grant Notice), the Plan shall govern and control.</w:t>
      </w:r>
    </w:p>
    <w:p>
      <w:pPr>
        <w:sectPr>
          <w:pgSz w:w="11900" w:h="16838" w:orient="portrait"/>
          <w:cols w:equalWidth="0" w:num="1">
            <w:col w:w="10764"/>
          </w:cols>
          <w:pgMar w:left="896" w:top="365"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10.3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Form of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GRANT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2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its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Participant Name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2019</w:t>
      </w:r>
    </w:p>
    <w:p>
      <w:pPr>
        <w:spacing w:after="0" w:line="200"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Insert No. of Restricted Stock Units Granted</w:t>
      </w:r>
      <w:r>
        <w:rPr>
          <w:rFonts w:ascii="Times New Roman" w:cs="Times New Roman" w:eastAsia="Times New Roman" w:hAnsi="Times New Roman"/>
          <w:sz w:val="21"/>
          <w:szCs w:val="21"/>
          <w:color w:val="auto"/>
        </w:rPr>
        <w:t>]</w:t>
      </w:r>
    </w:p>
    <w:p>
      <w:pPr>
        <w:sectPr>
          <w:pgSz w:w="11900" w:h="16838" w:orient="portrait"/>
          <w:cols w:equalWidth="0" w:num="1">
            <w:col w:w="11420"/>
          </w:cols>
          <w:pgMar w:left="240" w:top="121" w:right="23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the Participant has not undergone a Termination at the time of each applicable</w:t>
      </w:r>
    </w:p>
    <w:p>
      <w:pPr>
        <w:spacing w:after="0" w:line="30"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ind w:left="3240"/>
        <w:spacing w:after="0"/>
        <w:rPr>
          <w:sz w:val="20"/>
          <w:szCs w:val="20"/>
          <w:color w:val="auto"/>
        </w:rPr>
      </w:pPr>
      <w:r>
        <w:rPr>
          <w:rFonts w:ascii="Times New Roman" w:cs="Times New Roman" w:eastAsia="Times New Roman" w:hAnsi="Times New Roman"/>
          <w:sz w:val="22"/>
          <w:szCs w:val="22"/>
          <w:color w:val="auto"/>
        </w:rPr>
        <w:t>vesting date (or event)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left="3900" w:hanging="319"/>
        <w:spacing w:after="0" w:line="236" w:lineRule="auto"/>
        <w:tabs>
          <w:tab w:leader="none" w:pos="3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22"/>
          <w:szCs w:val="22"/>
          <w:color w:val="auto"/>
        </w:rPr>
        <w:t>One-third (1/3) of the Restricted Stock Units (rounded down to the nearest whole Restricted Stock Unit) will vest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Date of Grant] [October 26, 2019]</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104" w:lineRule="exact"/>
        <w:rPr>
          <w:sz w:val="20"/>
          <w:szCs w:val="20"/>
          <w:color w:val="auto"/>
        </w:rPr>
      </w:pPr>
    </w:p>
    <w:p>
      <w:pPr>
        <w:jc w:val="both"/>
        <w:ind w:left="3900" w:hanging="319"/>
        <w:spacing w:after="0" w:line="230" w:lineRule="auto"/>
        <w:tabs>
          <w:tab w:leader="none" w:pos="3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22"/>
          <w:szCs w:val="22"/>
          <w:color w:val="auto"/>
        </w:rPr>
        <w:t>One-third (1/3) of the Restricted Stock Units (rounded down to the nearest whole Restricted Stock Unit) will vest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Date of Grant; and</w:t>
      </w:r>
    </w:p>
    <w:p>
      <w:pPr>
        <w:spacing w:after="0" w:line="184" w:lineRule="exact"/>
        <w:rPr>
          <w:sz w:val="20"/>
          <w:szCs w:val="20"/>
          <w:color w:val="auto"/>
        </w:rPr>
      </w:pPr>
    </w:p>
    <w:p>
      <w:pPr>
        <w:jc w:val="both"/>
        <w:ind w:left="3900" w:hanging="319"/>
        <w:spacing w:after="0" w:line="237" w:lineRule="auto"/>
        <w:tabs>
          <w:tab w:leader="none" w:pos="3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22"/>
          <w:szCs w:val="22"/>
          <w:color w:val="auto"/>
        </w:rPr>
        <w:t>Any Restricted Stock Units that are not vested as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Date of Grant will vest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Date of Grant.</w:t>
      </w:r>
    </w:p>
    <w:p>
      <w:pPr>
        <w:spacing w:after="0" w:line="102" w:lineRule="exact"/>
        <w:rPr>
          <w:sz w:val="20"/>
          <w:szCs w:val="20"/>
          <w:color w:val="auto"/>
        </w:rPr>
      </w:pPr>
    </w:p>
    <w:p>
      <w:pPr>
        <w:jc w:val="both"/>
        <w:ind w:left="3580"/>
        <w:spacing w:after="0" w:line="252" w:lineRule="auto"/>
        <w:rPr>
          <w:sz w:val="20"/>
          <w:szCs w:val="20"/>
          <w:color w:val="auto"/>
        </w:rPr>
      </w:pPr>
      <w:r>
        <w:rPr>
          <w:rFonts w:ascii="Times New Roman" w:cs="Times New Roman" w:eastAsia="Times New Roman" w:hAnsi="Times New Roman"/>
          <w:sz w:val="22"/>
          <w:szCs w:val="22"/>
          <w:color w:val="auto"/>
        </w:rPr>
        <w:t>In the event that the Participant undergoes a Termination for any reason, (i) all vesting with respect to such Restricted Stock Units shall cease and (ii) all unvested Restricted Stock Units shall be forfeited by the Participant for no consideration as of the date of such Termination.</w:t>
      </w:r>
    </w:p>
    <w:p>
      <w:pPr>
        <w:spacing w:after="0" w:line="18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Notwithstanding the foregoing, in the event (i) that the Participant undergoes a Qualifying</w:t>
      </w:r>
    </w:p>
    <w:p>
      <w:pPr>
        <w:spacing w:after="0" w:line="31" w:lineRule="exact"/>
        <w:rPr>
          <w:sz w:val="20"/>
          <w:szCs w:val="20"/>
          <w:color w:val="auto"/>
        </w:rPr>
      </w:pPr>
    </w:p>
    <w:p>
      <w:pPr>
        <w:ind w:left="3580"/>
        <w:spacing w:after="0" w:line="242" w:lineRule="exact"/>
        <w:rPr>
          <w:sz w:val="20"/>
          <w:szCs w:val="20"/>
          <w:color w:val="auto"/>
        </w:rPr>
      </w:pPr>
      <w:r>
        <w:rPr>
          <w:rFonts w:ascii="Times New Roman" w:cs="Times New Roman" w:eastAsia="Times New Roman" w:hAnsi="Times New Roman"/>
          <w:sz w:val="21"/>
          <w:szCs w:val="21"/>
          <w:color w:val="auto"/>
        </w:rPr>
        <w:t>Termination (other than within the two (2)</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year period following a Change in Control) or</w:t>
      </w:r>
    </w:p>
    <w:p>
      <w:pPr>
        <w:spacing w:after="0" w:line="23" w:lineRule="exact"/>
        <w:rPr>
          <w:sz w:val="20"/>
          <w:szCs w:val="20"/>
          <w:color w:val="auto"/>
        </w:rPr>
      </w:pPr>
    </w:p>
    <w:p>
      <w:pPr>
        <w:jc w:val="both"/>
        <w:ind w:left="3580" w:hanging="7"/>
        <w:spacing w:after="0" w:line="260" w:lineRule="auto"/>
        <w:tabs>
          <w:tab w:leader="none" w:pos="390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Participant’s Termination due to Retirement, a number of Restricted Stock Units shall vest equal to the number of Restricted Stock Units that would have become vested on the next Vesting Date following the date of such Termination multiplied by a fraction, the numerator of which is the number of days that the Participant is employed by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October 26, 2019 date to be used for awards to Directors, DMs, and any other individual whom the Board designates.</w:t>
      </w:r>
    </w:p>
    <w:p>
      <w:pPr>
        <w:sectPr>
          <w:pgSz w:w="11900" w:h="16838" w:orient="portrait"/>
          <w:cols w:equalWidth="0" w:num="1">
            <w:col w:w="11420"/>
          </w:cols>
          <w:pgMar w:left="240" w:top="121" w:right="239" w:bottom="1440" w:gutter="0" w:footer="0" w:header="0"/>
          <w:type w:val="continuous"/>
        </w:sectPr>
      </w:pPr>
    </w:p>
    <w:bookmarkStart w:id="48" w:name="page49"/>
    <w:bookmarkEnd w:id="48"/>
    <w:p>
      <w:pPr>
        <w:jc w:val="both"/>
        <w:ind w:left="2380"/>
        <w:spacing w:after="0" w:line="257" w:lineRule="auto"/>
        <w:rPr>
          <w:sz w:val="20"/>
          <w:szCs w:val="20"/>
          <w:color w:val="auto"/>
        </w:rPr>
      </w:pPr>
      <w:r>
        <w:rPr>
          <w:rFonts w:ascii="Times New Roman" w:cs="Times New Roman" w:eastAsia="Times New Roman" w:hAnsi="Times New Roman"/>
          <w:sz w:val="22"/>
          <w:szCs w:val="22"/>
          <w:color w:val="auto"/>
        </w:rPr>
        <w:t>the Service Recipient from the most recent Vesting Date to the date of Termination and the denominator of which shall equal three hundred and sixty-five (365) (rounded down to the nearest whole Restricted Stock Unit).</w:t>
      </w:r>
    </w:p>
    <w:p>
      <w:pPr>
        <w:spacing w:after="0" w:line="139" w:lineRule="exact"/>
        <w:rPr>
          <w:sz w:val="20"/>
          <w:szCs w:val="20"/>
          <w:color w:val="auto"/>
        </w:rPr>
      </w:pPr>
    </w:p>
    <w:p>
      <w:pPr>
        <w:jc w:val="both"/>
        <w:ind w:left="2380"/>
        <w:spacing w:after="0" w:line="271" w:lineRule="exact"/>
        <w:rPr>
          <w:sz w:val="20"/>
          <w:szCs w:val="20"/>
          <w:color w:val="auto"/>
        </w:rPr>
      </w:pPr>
      <w:r>
        <w:rPr>
          <w:rFonts w:ascii="Times New Roman" w:cs="Times New Roman" w:eastAsia="Times New Roman" w:hAnsi="Times New Roman"/>
          <w:sz w:val="22"/>
          <w:szCs w:val="22"/>
          <w:color w:val="auto"/>
        </w:rPr>
        <w:t>In addition, in the event (i) of a Qualifying Termination within the two (2)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following a Change in Control or (ii) that the Participant undergoes a Termination as a result of the Participant’s death or Disability, the Participant shall fully vest in the Participant’s Restricted Stock Units to the extent not then vested or previously forfeited.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to appear on following page</w:t>
      </w:r>
      <w:r>
        <w:rPr>
          <w:rFonts w:ascii="Times New Roman" w:cs="Times New Roman" w:eastAsia="Times New Roman" w:hAnsi="Times New Roman"/>
          <w:sz w:val="22"/>
          <w:szCs w:val="22"/>
          <w:color w:val="auto"/>
        </w:rPr>
        <w:t>]</w:t>
      </w:r>
    </w:p>
    <w:p>
      <w:pPr>
        <w:sectPr>
          <w:pgSz w:w="11900" w:h="16838" w:orient="portrait"/>
          <w:cols w:equalWidth="0" w:num="1">
            <w:col w:w="10220"/>
          </w:cols>
          <w:pgMar w:left="1440" w:top="369" w:right="239" w:bottom="1440" w:gutter="0" w:footer="0" w:header="0"/>
        </w:sectPr>
      </w:pPr>
    </w:p>
    <w:bookmarkStart w:id="49" w:name="page50"/>
    <w:bookmarkEnd w:id="49"/>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r>
        <w:rPr>
          <w:rFonts w:ascii="Times New Roman" w:cs="Times New Roman" w:eastAsia="Times New Roman" w:hAnsi="Times New Roman"/>
          <w:sz w:val="28"/>
          <w:szCs w:val="28"/>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Restricted Stock Unit Award</w:t>
      </w:r>
      <w:r>
        <w:rPr>
          <w:rFonts w:ascii="Times New Roman" w:cs="Times New Roman" w:eastAsia="Times New Roman" w:hAnsi="Times New Roman"/>
          <w:sz w:val="16"/>
          <w:szCs w:val="16"/>
          <w:color w:val="auto"/>
        </w:rPr>
        <w:t>]</w:t>
      </w:r>
    </w:p>
    <w:p>
      <w:pPr>
        <w:sectPr>
          <w:pgSz w:w="11900" w:h="16838" w:orient="portrait"/>
          <w:cols w:equalWidth="0" w:num="1">
            <w:col w:w="11420"/>
          </w:cols>
          <w:pgMar w:left="240" w:top="8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0" w:firstLine="8"/>
        <w:spacing w:after="0" w:line="218" w:lineRule="auto"/>
        <w:tabs>
          <w:tab w:leader="none" w:pos="94"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hereof.</w:t>
      </w:r>
    </w:p>
    <w:p>
      <w:pPr>
        <w:sectPr>
          <w:pgSz w:w="11900" w:h="16838" w:orient="portrait"/>
          <w:cols w:equalWidth="0" w:num="1">
            <w:col w:w="11420"/>
          </w:cols>
          <w:pgMar w:left="240" w:top="837" w:right="239"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2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Pursuant to the Restricted Stock Unit Grant Notice (the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delivered to the Participant (as defined in the Grant Notice), and subject to the terms of this Restricted Stock Unit Agreement (this “</w:t>
      </w:r>
      <w:r>
        <w:rPr>
          <w:rFonts w:ascii="Times New Roman" w:cs="Times New Roman" w:eastAsia="Times New Roman" w:hAnsi="Times New Roman"/>
          <w:sz w:val="22"/>
          <w:szCs w:val="22"/>
          <w:u w:val="single" w:color="auto"/>
          <w:color w:val="auto"/>
        </w:rPr>
        <w:t>Restricted Stock Unit Agreement</w:t>
      </w:r>
      <w:r>
        <w:rPr>
          <w:rFonts w:ascii="Times New Roman" w:cs="Times New Roman" w:eastAsia="Times New Roman" w:hAnsi="Times New Roman"/>
          <w:sz w:val="22"/>
          <w:szCs w:val="22"/>
          <w:color w:val="auto"/>
        </w:rPr>
        <w:t>”) and the National Vision Holdings, Inc.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agree as follows. Capitalized terms not otherwise defined herein shall have the same meaning as set forth in the Plan.</w:t>
      </w:r>
    </w:p>
    <w:p>
      <w:pPr>
        <w:spacing w:after="0" w:line="177" w:lineRule="exact"/>
        <w:rPr>
          <w:sz w:val="20"/>
          <w:szCs w:val="20"/>
          <w:color w:val="auto"/>
        </w:rPr>
      </w:pPr>
    </w:p>
    <w:p>
      <w:pPr>
        <w:jc w:val="both"/>
        <w:ind w:firstLine="656"/>
        <w:spacing w:after="0" w:line="248" w:lineRule="auto"/>
        <w:tabs>
          <w:tab w:leader="none" w:pos="87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color w:val="auto"/>
        </w:rPr>
        <w:t>. Subject to the terms and conditions set forth herein and in the Plan,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grants to the Participant the number of Restricted Stock Units provided in the Grant Notice (with each Restricted Stock Unit representing the right to receive one share of Common Stock upon the vesting of such Restricted Stock Unit).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82" w:lineRule="exact"/>
        <w:rPr>
          <w:rFonts w:ascii="Times New Roman" w:cs="Times New Roman" w:eastAsia="Times New Roman" w:hAnsi="Times New Roman"/>
          <w:sz w:val="22"/>
          <w:szCs w:val="22"/>
          <w:color w:val="auto"/>
        </w:rPr>
      </w:pPr>
    </w:p>
    <w:p>
      <w:pPr>
        <w:jc w:val="both"/>
        <w:ind w:firstLine="656"/>
        <w:spacing w:after="0" w:line="254" w:lineRule="auto"/>
        <w:tabs>
          <w:tab w:leader="none" w:pos="90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Subject to the conditions contained herein and in the Plan, the Restricted Stock Units shall vest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on such Restricted Stock Units shall lapse as provided in the Grant Notice. With respect to any Restricted Stock Unit, the period of time that commences on the Date of Grant and ends on the applicable Vesting Date, or, if earlier, the date of any Termination that results in vesting of such Restricted Stock Unit, shall be its Restricted Period.</w:t>
      </w:r>
    </w:p>
    <w:p>
      <w:pPr>
        <w:spacing w:after="0" w:line="171" w:lineRule="exact"/>
        <w:rPr>
          <w:rFonts w:ascii="Times New Roman" w:cs="Times New Roman" w:eastAsia="Times New Roman" w:hAnsi="Times New Roman"/>
          <w:sz w:val="22"/>
          <w:szCs w:val="22"/>
          <w:color w:val="auto"/>
        </w:rPr>
      </w:pPr>
    </w:p>
    <w:p>
      <w:pPr>
        <w:jc w:val="both"/>
        <w:ind w:firstLine="656"/>
        <w:spacing w:after="0" w:line="259" w:lineRule="auto"/>
        <w:tabs>
          <w:tab w:leader="none" w:pos="86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 of Restricted Stock Units</w:t>
      </w:r>
      <w:r>
        <w:rPr>
          <w:rFonts w:ascii="Times New Roman" w:cs="Times New Roman" w:eastAsia="Times New Roman" w:hAnsi="Times New Roman"/>
          <w:sz w:val="22"/>
          <w:szCs w:val="22"/>
          <w:color w:val="auto"/>
        </w:rPr>
        <w:t>. The provisions of Section 9(d)(ii) of the Plan are incorporated herein by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made a part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will settlement of a Restricted Stock Unit occur more than thirty (30) days following the expiration of its Restricted Period.</w:t>
      </w:r>
    </w:p>
    <w:p>
      <w:pPr>
        <w:spacing w:after="0" w:line="166"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56"/>
        <w:spacing w:after="0" w:line="271" w:lineRule="auto"/>
        <w:tabs>
          <w:tab w:leader="none" w:pos="95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used in this Restricted Stock Unit Agreement with reference to employment shall include the Company and its Subsidiaries.</w:t>
      </w:r>
    </w:p>
    <w:p>
      <w:pPr>
        <w:spacing w:after="0" w:line="157" w:lineRule="exact"/>
        <w:rPr>
          <w:rFonts w:ascii="Times New Roman" w:cs="Times New Roman" w:eastAsia="Times New Roman" w:hAnsi="Times New Roman"/>
          <w:sz w:val="22"/>
          <w:szCs w:val="22"/>
          <w:color w:val="auto"/>
        </w:rPr>
      </w:pPr>
    </w:p>
    <w:p>
      <w:pPr>
        <w:jc w:val="both"/>
        <w:ind w:firstLine="656"/>
        <w:spacing w:after="0" w:line="246" w:lineRule="auto"/>
        <w:tabs>
          <w:tab w:leader="none" w:pos="97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as used in this Restricted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ectPr>
          <w:pgSz w:w="11900" w:h="16838" w:orient="portrait"/>
          <w:cols w:equalWidth="0" w:num="1">
            <w:col w:w="11420"/>
          </w:cols>
          <w:pgMar w:left="240" w:top="365" w:right="239" w:bottom="1440" w:gutter="0" w:footer="0" w:header="0"/>
        </w:sectPr>
      </w:pPr>
    </w:p>
    <w:bookmarkStart w:id="51" w:name="page52"/>
    <w:bookmarkEnd w:id="51"/>
    <w:p>
      <w:pPr>
        <w:jc w:val="both"/>
        <w:ind w:firstLine="656"/>
        <w:spacing w:after="0" w:line="252" w:lineRule="auto"/>
        <w:tabs>
          <w:tab w:leader="none" w:pos="94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word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is used in any provision of this Restricted Stock Unit Agreement under circumstances where the provision should logically be construed to apply to the executors, the administrators, or the person or persons to whom the Restricted Stock Units may be transferred by will or by the laws of descent and distribution, the word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be deemed to include such person or persons.</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00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as used in this Restricted Stock Unit Agreement shall mean a Participant’s Termination by the Service Recipient without Cause or by the Participant with Good Reason.</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100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as used in this Restricted Stock Unit Agreement shall mean the Participant’s voluntary resignation from employment, other than while grounds for Cause exist, when (i) (x) the Participant’s age is at least sixty (60) years old and (y) the Participant’s number of years of service with the Company and its predecessors is at least ten (10) years or (ii) the Participant’s age is at least sixty five (65) years old.</w:t>
      </w:r>
    </w:p>
    <w:p>
      <w:pPr>
        <w:spacing w:after="0" w:line="176" w:lineRule="exact"/>
        <w:rPr>
          <w:sz w:val="20"/>
          <w:szCs w:val="20"/>
          <w:color w:val="auto"/>
        </w:rPr>
      </w:pPr>
    </w:p>
    <w:p>
      <w:pPr>
        <w:jc w:val="both"/>
        <w:ind w:firstLine="656"/>
        <w:spacing w:after="0" w:line="251" w:lineRule="auto"/>
        <w:tabs>
          <w:tab w:leader="none" w:pos="8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Restricted Stock Units are not transferable by the Participant except to Permitted Transferees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76" w:lineRule="exact"/>
        <w:rPr>
          <w:rFonts w:ascii="Times New Roman" w:cs="Times New Roman" w:eastAsia="Times New Roman" w:hAnsi="Times New Roman"/>
          <w:sz w:val="22"/>
          <w:szCs w:val="22"/>
          <w:color w:val="auto"/>
        </w:rPr>
      </w:pPr>
    </w:p>
    <w:p>
      <w:pPr>
        <w:jc w:val="both"/>
        <w:ind w:firstLine="656"/>
        <w:spacing w:after="0" w:line="254" w:lineRule="auto"/>
        <w:tabs>
          <w:tab w:leader="none" w:pos="8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as Stockholder</w:t>
      </w:r>
      <w:r>
        <w:rPr>
          <w:rFonts w:ascii="Times New Roman" w:cs="Times New Roman" w:eastAsia="Times New Roman" w:hAnsi="Times New Roman"/>
          <w:sz w:val="22"/>
          <w:szCs w:val="22"/>
          <w:color w:val="auto"/>
        </w:rPr>
        <w:t>. The Participant or a Permitted Transferee of the Restricted Stock Units shall have no rights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with respect to any share of Common Stock underlying a Restricted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71" w:lineRule="exact"/>
        <w:rPr>
          <w:rFonts w:ascii="Times New Roman" w:cs="Times New Roman" w:eastAsia="Times New Roman" w:hAnsi="Times New Roman"/>
          <w:sz w:val="22"/>
          <w:szCs w:val="22"/>
          <w:color w:val="auto"/>
        </w:rPr>
      </w:pPr>
    </w:p>
    <w:p>
      <w:pPr>
        <w:ind w:left="900" w:hanging="244"/>
        <w:spacing w:after="0"/>
        <w:tabs>
          <w:tab w:leader="none" w:pos="9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The provisions of Section 14(d) of the Plan are incorporated herein by reference and made a part</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91" w:lineRule="exact"/>
        <w:rPr>
          <w:rFonts w:ascii="Times New Roman" w:cs="Times New Roman" w:eastAsia="Times New Roman" w:hAnsi="Times New Roman"/>
          <w:sz w:val="22"/>
          <w:szCs w:val="22"/>
          <w:color w:val="auto"/>
        </w:rPr>
      </w:pPr>
    </w:p>
    <w:p>
      <w:pPr>
        <w:jc w:val="both"/>
        <w:ind w:firstLine="656"/>
        <w:spacing w:after="0" w:line="260" w:lineRule="exact"/>
        <w:tabs>
          <w:tab w:leader="none" w:pos="8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Every notice or other communication relating to this Restricted Stock Unit Agreement between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plan administrator shall be mailed, delivered, transmitted or sent in accordance with the procedures established by such third-party plan administrator and communicated to the Participant from time to time.</w:t>
      </w:r>
    </w:p>
    <w:p>
      <w:pPr>
        <w:spacing w:after="0" w:line="189" w:lineRule="exact"/>
        <w:rPr>
          <w:rFonts w:ascii="Times New Roman" w:cs="Times New Roman" w:eastAsia="Times New Roman" w:hAnsi="Times New Roman"/>
          <w:sz w:val="22"/>
          <w:szCs w:val="22"/>
          <w:color w:val="auto"/>
        </w:rPr>
      </w:pPr>
    </w:p>
    <w:p>
      <w:pPr>
        <w:ind w:firstLine="656"/>
        <w:spacing w:after="0" w:line="275" w:lineRule="auto"/>
        <w:tabs>
          <w:tab w:leader="none" w:pos="8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22"/>
          <w:szCs w:val="22"/>
          <w:color w:val="auto"/>
        </w:rPr>
        <w:t>. This Restricted Stock Unit Agreement does not confer upon the Participant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an employee or service provider to the Company.</w:t>
      </w:r>
    </w:p>
    <w:p>
      <w:pPr>
        <w:spacing w:after="0" w:line="149" w:lineRule="exact"/>
        <w:rPr>
          <w:rFonts w:ascii="Times New Roman" w:cs="Times New Roman" w:eastAsia="Times New Roman" w:hAnsi="Times New Roman"/>
          <w:sz w:val="22"/>
          <w:szCs w:val="22"/>
          <w:color w:val="auto"/>
        </w:rPr>
      </w:pPr>
    </w:p>
    <w:p>
      <w:pPr>
        <w:ind w:right="20" w:firstLine="656"/>
        <w:spacing w:after="0" w:line="275" w:lineRule="auto"/>
        <w:tabs>
          <w:tab w:leader="none" w:pos="9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Restricted Stock Unit Agreement shall be binding upon the heirs, executors, administrators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successors of the parties hereto.</w:t>
      </w:r>
    </w:p>
    <w:p>
      <w:pPr>
        <w:sectPr>
          <w:pgSz w:w="11900" w:h="16838" w:orient="portrait"/>
          <w:cols w:equalWidth="0" w:num="1">
            <w:col w:w="11420"/>
          </w:cols>
          <w:pgMar w:left="240" w:top="369" w:right="239" w:bottom="1440" w:gutter="0" w:footer="0" w:header="0"/>
        </w:sectPr>
      </w:pPr>
    </w:p>
    <w:bookmarkStart w:id="52" w:name="page53"/>
    <w:bookmarkEnd w:id="52"/>
    <w:p>
      <w:pPr>
        <w:jc w:val="both"/>
        <w:ind w:left="-656" w:firstLine="656"/>
        <w:spacing w:after="0" w:line="249" w:lineRule="auto"/>
        <w:tabs>
          <w:tab w:leader="none" w:pos="30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22"/>
          <w:szCs w:val="22"/>
          <w:color w:val="auto"/>
        </w:rPr>
        <w:t>. Except as otherwise set forth in Section 13 of the Plan, any waiver, alteration,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modification of any of the terms of this Restricted Stock Unit Agreement shall be valid only if made in writing and signed by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0"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31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Restricted Stock Unit Agreement shall be construed and interpreted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59" w:lineRule="auto"/>
        <w:tabs>
          <w:tab w:leader="none" w:pos="37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terms and provisions of the Plan are incorporated herein by reference. In the event of a conflict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inconsistency between the terms and provisions of the Plan and the provisions of this Restricted Stock Unit Agreement (including the Grant Notice), the Plan shall govern and control.</w:t>
      </w:r>
    </w:p>
    <w:p>
      <w:pPr>
        <w:spacing w:after="0" w:line="166" w:lineRule="exact"/>
        <w:rPr>
          <w:rFonts w:ascii="Times New Roman" w:cs="Times New Roman" w:eastAsia="Times New Roman" w:hAnsi="Times New Roman"/>
          <w:sz w:val="22"/>
          <w:szCs w:val="22"/>
          <w:color w:val="auto"/>
        </w:rPr>
      </w:pPr>
    </w:p>
    <w:p>
      <w:pPr>
        <w:ind w:left="324" w:hanging="324"/>
        <w:spacing w:after="0"/>
        <w:tabs>
          <w:tab w:leader="none" w:pos="32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656" w:firstLine="656"/>
        <w:spacing w:after="0" w:line="250" w:lineRule="auto"/>
        <w:tabs>
          <w:tab w:leader="none" w:pos="112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Restricted Stock Unit Agreement is intended to comply with the provisions of Section 409A of the Code and the regulations promulgated thereunder, and shall be interpreted consistent with such intent. Without limiting the foregoing, the Committee will have the right to amend the terms and conditions of this Restricted Stock Unit Agreement in any respect as may be necessary or appropriate to comply with Section 409A of the Code or any regulations promulgated thereunder, including, without limitation, by delaying the issuance of the shares of Common Stock contemplated hereunder.</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59" w:lineRule="exact"/>
        <w:tabs>
          <w:tab w:leader="none" w:pos="89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Restricted Stock Unit Agreement to the contrary, if the Participant is a “specified employee” within the meaning of Section 409A of the Code, and is subject to U.S. federal income tax, no payments in respect of any Restricted Stock Unit that is “deferred compensation” subject to Section 409A of the Code and which would otherwise be payable upon the Participant’s “separation from service” (as defined in Section 409A of the Code) will be made to the Participant prior to the date that is six (6) months after the date of the Participant’s “separation from service” or, if earlier, the Participant’s date of death. Following any applicable six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this Agreement, and the Company will not be liable to any Participant for any payment made under this Plan that is determined to result in an additional tax, penalty or interest under Section 409A of the Code, nor for reporting in good faith any payment made under this Agreement as an amount includible in gross income under Section 409A of the Code. Each payment in a series of payments hereunder will be deemed to be a separate payment for the purposes of Section 409A of the Code.</w:t>
      </w:r>
    </w:p>
    <w:p>
      <w:pPr>
        <w:sectPr>
          <w:pgSz w:w="11900" w:h="16838" w:orient="portrait"/>
          <w:cols w:equalWidth="0" w:num="1">
            <w:col w:w="10764"/>
          </w:cols>
          <w:pgMar w:left="896" w:top="365"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10.4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Form of PSU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GRANT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23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its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hereby grants to the Participant set forth below the number of Performance Stock Units, which are Restricted Stock Units that are subject to the performance-vesting conditions described herein (the “</w:t>
      </w:r>
      <w:r>
        <w:rPr>
          <w:rFonts w:ascii="Times New Roman" w:cs="Times New Roman" w:eastAsia="Times New Roman" w:hAnsi="Times New Roman"/>
          <w:sz w:val="22"/>
          <w:szCs w:val="22"/>
          <w:u w:val="single" w:color="auto"/>
          <w:color w:val="auto"/>
        </w:rPr>
        <w:t>Performance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xml:space="preserve"> ”) set forth below. The Performance Stock Units are subject to all of the terms and conditions as set forth herein, in the Performance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Participant Name</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73"/>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w:t>
            </w:r>
          </w:p>
        </w:tc>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 2019</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Number of Performance</w:t>
            </w: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line="235" w:lineRule="exact"/>
              <w:rPr>
                <w:sz w:val="20"/>
                <w:szCs w:val="20"/>
                <w:color w:val="auto"/>
              </w:rPr>
            </w:pPr>
            <w:r>
              <w:rPr>
                <w:rFonts w:ascii="Times New Roman" w:cs="Times New Roman" w:eastAsia="Times New Roman" w:hAnsi="Times New Roman"/>
                <w:sz w:val="22"/>
                <w:szCs w:val="22"/>
                <w:b w:val="1"/>
                <w:bCs w:val="1"/>
                <w:color w:val="auto"/>
              </w:rPr>
              <w:t>Stock Units</w:t>
            </w:r>
            <w:r>
              <w:rPr>
                <w:rFonts w:ascii="Times New Roman" w:cs="Times New Roman" w:eastAsia="Times New Roman" w:hAnsi="Times New Roman"/>
                <w:sz w:val="22"/>
                <w:szCs w:val="22"/>
                <w:color w:val="auto"/>
              </w:rPr>
              <w:t>:</w:t>
            </w:r>
          </w:p>
        </w:tc>
        <w:tc>
          <w:tcPr>
            <w:tcW w:w="8180" w:type="dxa"/>
            <w:vAlign w:val="bottom"/>
            <w:gridSpan w:val="8"/>
          </w:tcPr>
          <w:p>
            <w:pPr>
              <w:spacing w:after="0" w:line="23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No. of PSUs Granted</w:t>
            </w:r>
            <w:r>
              <w:rPr>
                <w:rFonts w:ascii="Times New Roman" w:cs="Times New Roman" w:eastAsia="Times New Roman" w:hAnsi="Times New Roman"/>
                <w:sz w:val="22"/>
                <w:szCs w:val="22"/>
                <w:color w:val="auto"/>
              </w:rPr>
              <w:t>] (the “PSUs”)</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tc>
        <w:tc>
          <w:tcPr>
            <w:tcW w:w="1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40" w:type="dxa"/>
            <w:vAlign w:val="bottom"/>
            <w:vMerge w:val="continue"/>
          </w:tcPr>
          <w:p>
            <w:pPr>
              <w:spacing w:after="0"/>
              <w:rPr>
                <w:sz w:val="24"/>
                <w:szCs w:val="24"/>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The PSUs will become earned (“Earned PSUs”) based on achievement of the applicable</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40" w:type="dxa"/>
            <w:vAlign w:val="bottom"/>
          </w:tcPr>
          <w:p>
            <w:pPr>
              <w:spacing w:after="0"/>
              <w:rPr>
                <w:sz w:val="22"/>
                <w:szCs w:val="22"/>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8"/>
              </w:rPr>
              <w:t>Performance Condition with respect to the applicable Performance Period, in each case, as set</w:t>
            </w: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4"/>
                <w:szCs w:val="24"/>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forth below:</w:t>
            </w:r>
          </w:p>
        </w:tc>
        <w:tc>
          <w:tcPr>
            <w:tcW w:w="0" w:type="dxa"/>
            <w:vAlign w:val="bottom"/>
          </w:tcPr>
          <w:p>
            <w:pPr>
              <w:spacing w:after="0"/>
              <w:rPr>
                <w:sz w:val="1"/>
                <w:szCs w:val="1"/>
                <w:color w:val="auto"/>
              </w:rPr>
            </w:pPr>
          </w:p>
        </w:tc>
      </w:tr>
      <w:tr>
        <w:trPr>
          <w:trHeight w:val="473"/>
        </w:trPr>
        <w:tc>
          <w:tcPr>
            <w:tcW w:w="3240" w:type="dxa"/>
            <w:vAlign w:val="bottom"/>
          </w:tcPr>
          <w:p>
            <w:pPr>
              <w:spacing w:after="0"/>
              <w:rPr>
                <w:sz w:val="24"/>
                <w:szCs w:val="24"/>
                <w:color w:val="auto"/>
              </w:rPr>
            </w:pPr>
          </w:p>
        </w:tc>
        <w:tc>
          <w:tcPr>
            <w:tcW w:w="8180" w:type="dxa"/>
            <w:vAlign w:val="bottom"/>
            <w:gridSpan w:val="8"/>
          </w:tcPr>
          <w:p>
            <w:pPr>
              <w:ind w:left="660"/>
              <w:spacing w:after="0"/>
              <w:rPr>
                <w:sz w:val="20"/>
                <w:szCs w:val="20"/>
                <w:color w:val="auto"/>
              </w:rPr>
            </w:pPr>
            <w:r>
              <w:rPr>
                <w:rFonts w:ascii="Times New Roman" w:cs="Times New Roman" w:eastAsia="Times New Roman" w:hAnsi="Times New Roman"/>
                <w:sz w:val="22"/>
                <w:szCs w:val="22"/>
                <w:i w:val="1"/>
                <w:iCs w:val="1"/>
                <w:color w:val="auto"/>
              </w:rPr>
              <w:t>Performance Period</w:t>
            </w:r>
          </w:p>
        </w:tc>
        <w:tc>
          <w:tcPr>
            <w:tcW w:w="0" w:type="dxa"/>
            <w:vAlign w:val="bottom"/>
          </w:tcPr>
          <w:p>
            <w:pPr>
              <w:spacing w:after="0"/>
              <w:rPr>
                <w:sz w:val="1"/>
                <w:szCs w:val="1"/>
                <w:color w:val="auto"/>
              </w:rPr>
            </w:pPr>
          </w:p>
        </w:tc>
      </w:tr>
      <w:tr>
        <w:trPr>
          <w:trHeight w:val="473"/>
        </w:trPr>
        <w:tc>
          <w:tcPr>
            <w:tcW w:w="3240" w:type="dxa"/>
            <w:vAlign w:val="bottom"/>
          </w:tcPr>
          <w:p>
            <w:pPr>
              <w:spacing w:after="0"/>
              <w:rPr>
                <w:sz w:val="24"/>
                <w:szCs w:val="24"/>
                <w:color w:val="auto"/>
              </w:rPr>
            </w:pPr>
          </w:p>
        </w:tc>
        <w:tc>
          <w:tcPr>
            <w:tcW w:w="8180" w:type="dxa"/>
            <w:vAlign w:val="bottom"/>
            <w:gridSpan w:val="8"/>
          </w:tcPr>
          <w:p>
            <w:pPr>
              <w:ind w:left="660"/>
              <w:spacing w:after="0"/>
              <w:rPr>
                <w:sz w:val="20"/>
                <w:szCs w:val="20"/>
                <w:color w:val="auto"/>
              </w:rPr>
            </w:pPr>
            <w:r>
              <w:rPr>
                <w:rFonts w:ascii="Times New Roman" w:cs="Times New Roman" w:eastAsia="Times New Roman" w:hAnsi="Times New Roman"/>
                <w:sz w:val="22"/>
                <w:szCs w:val="22"/>
                <w:color w:val="auto"/>
              </w:rPr>
              <w:t>Fiscal year 2019 through fiscal year 2021.</w:t>
            </w:r>
          </w:p>
        </w:tc>
        <w:tc>
          <w:tcPr>
            <w:tcW w:w="0" w:type="dxa"/>
            <w:vAlign w:val="bottom"/>
          </w:tcPr>
          <w:p>
            <w:pPr>
              <w:spacing w:after="0"/>
              <w:rPr>
                <w:sz w:val="1"/>
                <w:szCs w:val="1"/>
                <w:color w:val="auto"/>
              </w:rPr>
            </w:pPr>
          </w:p>
        </w:tc>
      </w:tr>
      <w:tr>
        <w:trPr>
          <w:trHeight w:val="635"/>
        </w:trPr>
        <w:tc>
          <w:tcPr>
            <w:tcW w:w="3240" w:type="dxa"/>
            <w:vAlign w:val="bottom"/>
          </w:tcPr>
          <w:p>
            <w:pPr>
              <w:spacing w:after="0"/>
              <w:rPr>
                <w:sz w:val="24"/>
                <w:szCs w:val="24"/>
                <w:color w:val="auto"/>
              </w:rPr>
            </w:pPr>
          </w:p>
        </w:tc>
        <w:tc>
          <w:tcPr>
            <w:tcW w:w="8180" w:type="dxa"/>
            <w:vAlign w:val="bottom"/>
            <w:gridSpan w:val="8"/>
          </w:tcPr>
          <w:p>
            <w:pPr>
              <w:ind w:left="660"/>
              <w:spacing w:after="0"/>
              <w:rPr>
                <w:sz w:val="20"/>
                <w:szCs w:val="20"/>
                <w:color w:val="auto"/>
              </w:rPr>
            </w:pPr>
            <w:r>
              <w:rPr>
                <w:rFonts w:ascii="Times New Roman" w:cs="Times New Roman" w:eastAsia="Times New Roman" w:hAnsi="Times New Roman"/>
                <w:sz w:val="22"/>
                <w:szCs w:val="22"/>
                <w:i w:val="1"/>
                <w:iCs w:val="1"/>
                <w:color w:val="auto"/>
              </w:rPr>
              <w:t>Performance Conditions</w:t>
            </w:r>
          </w:p>
        </w:tc>
        <w:tc>
          <w:tcPr>
            <w:tcW w:w="0" w:type="dxa"/>
            <w:vAlign w:val="bottom"/>
          </w:tcPr>
          <w:p>
            <w:pPr>
              <w:spacing w:after="0"/>
              <w:rPr>
                <w:sz w:val="1"/>
                <w:szCs w:val="1"/>
                <w:color w:val="auto"/>
              </w:rPr>
            </w:pPr>
          </w:p>
        </w:tc>
      </w:tr>
      <w:tr>
        <w:trPr>
          <w:trHeight w:val="447"/>
        </w:trPr>
        <w:tc>
          <w:tcPr>
            <w:tcW w:w="3240" w:type="dxa"/>
            <w:vAlign w:val="bottom"/>
          </w:tcPr>
          <w:p>
            <w:pPr>
              <w:spacing w:after="0"/>
              <w:rPr>
                <w:sz w:val="24"/>
                <w:szCs w:val="24"/>
                <w:color w:val="auto"/>
              </w:rPr>
            </w:pPr>
          </w:p>
        </w:tc>
        <w:tc>
          <w:tcPr>
            <w:tcW w:w="8180" w:type="dxa"/>
            <w:vAlign w:val="bottom"/>
            <w:gridSpan w:val="8"/>
          </w:tcPr>
          <w:p>
            <w:pPr>
              <w:ind w:left="660"/>
              <w:spacing w:after="0"/>
              <w:rPr>
                <w:sz w:val="20"/>
                <w:szCs w:val="20"/>
                <w:color w:val="auto"/>
              </w:rPr>
            </w:pPr>
            <w:r>
              <w:rPr>
                <w:rFonts w:ascii="Times New Roman" w:cs="Times New Roman" w:eastAsia="Times New Roman" w:hAnsi="Times New Roman"/>
                <w:sz w:val="22"/>
                <w:szCs w:val="22"/>
                <w:color w:val="auto"/>
              </w:rPr>
              <w:t>The number of PSUs that become Earned PSUs shall be based on the achievement of</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the Performance Conditions set forth below, with the number PSUs earned equal to (x) the</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number of PSUs multiplied by (y) the applicable percentage earned (calculated as set forth</w:t>
            </w: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4"/>
                <w:szCs w:val="24"/>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below, rounded up to the nearest whole unit).</w:t>
            </w:r>
          </w:p>
        </w:tc>
        <w:tc>
          <w:tcPr>
            <w:tcW w:w="0" w:type="dxa"/>
            <w:vAlign w:val="bottom"/>
          </w:tcPr>
          <w:p>
            <w:pPr>
              <w:spacing w:after="0"/>
              <w:rPr>
                <w:sz w:val="1"/>
                <w:szCs w:val="1"/>
                <w:color w:val="auto"/>
              </w:rPr>
            </w:pPr>
          </w:p>
        </w:tc>
      </w:tr>
      <w:tr>
        <w:trPr>
          <w:trHeight w:val="447"/>
        </w:trPr>
        <w:tc>
          <w:tcPr>
            <w:tcW w:w="3240" w:type="dxa"/>
            <w:vAlign w:val="bottom"/>
          </w:tcPr>
          <w:p>
            <w:pPr>
              <w:spacing w:after="0"/>
              <w:rPr>
                <w:sz w:val="24"/>
                <w:szCs w:val="24"/>
                <w:color w:val="auto"/>
              </w:rPr>
            </w:pPr>
          </w:p>
        </w:tc>
        <w:tc>
          <w:tcPr>
            <w:tcW w:w="8180" w:type="dxa"/>
            <w:vAlign w:val="bottom"/>
            <w:gridSpan w:val="8"/>
          </w:tcPr>
          <w:p>
            <w:pPr>
              <w:ind w:left="660"/>
              <w:spacing w:after="0"/>
              <w:rPr>
                <w:sz w:val="20"/>
                <w:szCs w:val="20"/>
                <w:color w:val="auto"/>
              </w:rPr>
            </w:pPr>
            <w:r>
              <w:rPr>
                <w:rFonts w:ascii="Times New Roman" w:cs="Times New Roman" w:eastAsia="Times New Roman" w:hAnsi="Times New Roman"/>
                <w:sz w:val="22"/>
                <w:szCs w:val="22"/>
                <w:color w:val="auto"/>
                <w:w w:val="99"/>
              </w:rPr>
              <w:t>PSUs shall become Earned PSUs based on achievement of specified Annual Adjusted</w:t>
            </w: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4"/>
                <w:szCs w:val="24"/>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EBITDA Growth targets over the Performance Period:</w:t>
            </w:r>
          </w:p>
        </w:tc>
        <w:tc>
          <w:tcPr>
            <w:tcW w:w="0" w:type="dxa"/>
            <w:vAlign w:val="bottom"/>
          </w:tcPr>
          <w:p>
            <w:pPr>
              <w:spacing w:after="0"/>
              <w:rPr>
                <w:sz w:val="1"/>
                <w:szCs w:val="1"/>
                <w:color w:val="auto"/>
              </w:rPr>
            </w:pPr>
          </w:p>
        </w:tc>
      </w:tr>
      <w:tr>
        <w:trPr>
          <w:trHeight w:val="609"/>
        </w:trPr>
        <w:tc>
          <w:tcPr>
            <w:tcW w:w="3240" w:type="dxa"/>
            <w:vAlign w:val="bottom"/>
          </w:tcPr>
          <w:p>
            <w:pPr>
              <w:spacing w:after="0"/>
              <w:rPr>
                <w:sz w:val="24"/>
                <w:szCs w:val="24"/>
                <w:color w:val="auto"/>
              </w:rPr>
            </w:pPr>
          </w:p>
        </w:tc>
        <w:tc>
          <w:tcPr>
            <w:tcW w:w="8180" w:type="dxa"/>
            <w:vAlign w:val="bottom"/>
            <w:gridSpan w:val="8"/>
          </w:tcPr>
          <w:p>
            <w:pPr>
              <w:ind w:left="660"/>
              <w:spacing w:after="0"/>
              <w:rPr>
                <w:sz w:val="20"/>
                <w:szCs w:val="20"/>
                <w:color w:val="auto"/>
              </w:rPr>
            </w:pPr>
            <w:r>
              <w:rPr>
                <w:rFonts w:ascii="Times New Roman" w:cs="Times New Roman" w:eastAsia="Times New Roman" w:hAnsi="Times New Roman"/>
                <w:sz w:val="22"/>
                <w:szCs w:val="22"/>
                <w:color w:val="auto"/>
              </w:rPr>
              <w:t>As soon as practicable following the beginning of the Performance Period, the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8180" w:type="dxa"/>
            <w:vAlign w:val="bottom"/>
            <w:gridSpan w:val="8"/>
          </w:tcPr>
          <w:p>
            <w:pPr>
              <w:spacing w:after="0" w:line="230" w:lineRule="exact"/>
              <w:rPr>
                <w:sz w:val="20"/>
                <w:szCs w:val="20"/>
                <w:color w:val="auto"/>
              </w:rPr>
            </w:pPr>
            <w:r>
              <w:rPr>
                <w:rFonts w:ascii="Times New Roman" w:cs="Times New Roman" w:eastAsia="Times New Roman" w:hAnsi="Times New Roman"/>
                <w:sz w:val="22"/>
                <w:szCs w:val="22"/>
                <w:color w:val="auto"/>
              </w:rPr>
              <w:t>Committee (or its designee) shall establish a baseline Adjusted EBITDA (the “Baseline</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8180" w:type="dxa"/>
            <w:vAlign w:val="bottom"/>
            <w:gridSpan w:val="8"/>
          </w:tcPr>
          <w:p>
            <w:pPr>
              <w:spacing w:after="0" w:line="237" w:lineRule="exact"/>
              <w:rPr>
                <w:sz w:val="20"/>
                <w:szCs w:val="20"/>
                <w:color w:val="auto"/>
              </w:rPr>
            </w:pPr>
            <w:r>
              <w:rPr>
                <w:rFonts w:ascii="Times New Roman" w:cs="Times New Roman" w:eastAsia="Times New Roman" w:hAnsi="Times New Roman"/>
                <w:sz w:val="22"/>
                <w:szCs w:val="22"/>
                <w:color w:val="auto"/>
              </w:rPr>
              <w:t>Adjusted EBITDA”). At the end of the first fiscal year in the Performance Period, the</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8180" w:type="dxa"/>
            <w:vAlign w:val="bottom"/>
            <w:gridSpan w:val="8"/>
          </w:tcPr>
          <w:p>
            <w:pPr>
              <w:spacing w:after="0" w:line="237" w:lineRule="exact"/>
              <w:rPr>
                <w:sz w:val="20"/>
                <w:szCs w:val="20"/>
                <w:color w:val="auto"/>
              </w:rPr>
            </w:pPr>
            <w:r>
              <w:rPr>
                <w:rFonts w:ascii="Times New Roman" w:cs="Times New Roman" w:eastAsia="Times New Roman" w:hAnsi="Times New Roman"/>
                <w:sz w:val="22"/>
                <w:szCs w:val="22"/>
                <w:color w:val="auto"/>
                <w:w w:val="98"/>
              </w:rPr>
              <w:t>Committee shall determine (i) the actual Adjusted EBITDA (the “Actual Adjusted EBITDA”)</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40" w:type="dxa"/>
            <w:vAlign w:val="bottom"/>
          </w:tcPr>
          <w:p>
            <w:pPr>
              <w:spacing w:after="0"/>
              <w:rPr>
                <w:sz w:val="22"/>
                <w:szCs w:val="22"/>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as of the end of the first fiscal year in the Performance Period and (ii) the percentage growth</w:t>
            </w: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4"/>
                <w:szCs w:val="24"/>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between the Baseline Adjusted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ind w:left="2040"/>
        <w:spacing w:after="0"/>
        <w:rPr>
          <w:sz w:val="20"/>
          <w:szCs w:val="20"/>
          <w:color w:val="auto"/>
        </w:rPr>
      </w:pPr>
      <w:r>
        <w:rPr>
          <w:rFonts w:ascii="Times New Roman" w:cs="Times New Roman" w:eastAsia="Times New Roman" w:hAnsi="Times New Roman"/>
          <w:sz w:val="22"/>
          <w:szCs w:val="22"/>
          <w:color w:val="auto"/>
        </w:rPr>
        <w:t>EBITDA and the Actual Adjusted EBITDA for such fiscal year as follows:</w:t>
      </w:r>
    </w:p>
    <w:p>
      <w:pPr>
        <w:spacing w:after="0" w:line="382" w:lineRule="exact"/>
        <w:rPr>
          <w:sz w:val="20"/>
          <w:szCs w:val="20"/>
          <w:color w:val="auto"/>
        </w:rPr>
      </w:pPr>
    </w:p>
    <w:p>
      <w:pPr>
        <w:ind w:left="2700" w:firstLine="648"/>
        <w:spacing w:after="0" w:line="271" w:lineRule="auto"/>
        <w:rPr>
          <w:sz w:val="20"/>
          <w:szCs w:val="20"/>
          <w:color w:val="auto"/>
        </w:rPr>
      </w:pPr>
      <w:r>
        <w:rPr>
          <w:rFonts w:ascii="Times New Roman" w:cs="Times New Roman" w:eastAsia="Times New Roman" w:hAnsi="Times New Roman"/>
          <w:sz w:val="22"/>
          <w:szCs w:val="22"/>
          <w:color w:val="auto"/>
        </w:rPr>
        <w:t>((Actual Adjusted EBITDA - Baseline Adjusted EBITDA) / (Baseline Adjusted EBITDA)) * 100</w:t>
      </w:r>
    </w:p>
    <w:p>
      <w:pPr>
        <w:spacing w:after="0" w:line="320" w:lineRule="exact"/>
        <w:rPr>
          <w:sz w:val="20"/>
          <w:szCs w:val="20"/>
          <w:color w:val="auto"/>
        </w:rPr>
      </w:pPr>
    </w:p>
    <w:p>
      <w:pPr>
        <w:jc w:val="both"/>
        <w:ind w:left="2040"/>
        <w:spacing w:after="0" w:line="271" w:lineRule="auto"/>
        <w:rPr>
          <w:sz w:val="20"/>
          <w:szCs w:val="20"/>
          <w:color w:val="auto"/>
        </w:rPr>
      </w:pPr>
      <w:r>
        <w:rPr>
          <w:rFonts w:ascii="Times New Roman" w:cs="Times New Roman" w:eastAsia="Times New Roman" w:hAnsi="Times New Roman"/>
          <w:sz w:val="22"/>
          <w:szCs w:val="22"/>
          <w:color w:val="auto"/>
        </w:rPr>
        <w:t>The percentage growth shall then be extrapolated to a hypothetical Payout as a percentage of the target PSUs as set forth below:</w:t>
      </w:r>
    </w:p>
    <w:p>
      <w:pPr>
        <w:spacing w:after="0" w:line="200" w:lineRule="exact"/>
        <w:rPr>
          <w:sz w:val="20"/>
          <w:szCs w:val="20"/>
          <w:color w:val="auto"/>
        </w:rPr>
      </w:pPr>
    </w:p>
    <w:p>
      <w:pPr>
        <w:spacing w:after="0" w:line="317" w:lineRule="exact"/>
        <w:rPr>
          <w:sz w:val="20"/>
          <w:szCs w:val="20"/>
          <w:color w:val="auto"/>
        </w:rPr>
      </w:pPr>
    </w:p>
    <w:tbl>
      <w:tblPr>
        <w:tblLayout w:type="fixed"/>
        <w:tblInd w:w="2030" w:type="dxa"/>
        <w:tblCellMar>
          <w:top w:w="0" w:type="dxa"/>
          <w:left w:w="0" w:type="dxa"/>
          <w:bottom w:w="0" w:type="dxa"/>
          <w:right w:w="0" w:type="dxa"/>
        </w:tblCellMar>
      </w:tblPr>
      <w:tr>
        <w:trPr>
          <w:trHeight w:val="243"/>
        </w:trPr>
        <w:tc>
          <w:tcPr>
            <w:tcW w:w="21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Annual Adjusted</w:t>
            </w:r>
          </w:p>
        </w:tc>
        <w:tc>
          <w:tcPr>
            <w:tcW w:w="2880" w:type="dxa"/>
            <w:vAlign w:val="bottom"/>
            <w:tcBorders>
              <w:top w:val="single" w:sz="8" w:color="auto"/>
              <w:right w:val="single" w:sz="8" w:color="auto"/>
            </w:tcBorders>
            <w:gridSpan w:val="3"/>
            <w:shd w:val="clear" w:color="auto" w:fill="D9D9D9"/>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Payout as a % of Target PSUs</w:t>
            </w:r>
          </w:p>
        </w:tc>
      </w:tr>
      <w:tr>
        <w:trPr>
          <w:trHeight w:val="283"/>
        </w:trPr>
        <w:tc>
          <w:tcPr>
            <w:tcW w:w="2120" w:type="dxa"/>
            <w:vAlign w:val="bottom"/>
            <w:tcBorders>
              <w:left w:val="single" w:sz="8" w:color="auto"/>
              <w:bottom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EBITDA Growth</w:t>
            </w:r>
          </w:p>
        </w:tc>
        <w:tc>
          <w:tcPr>
            <w:tcW w:w="2880" w:type="dxa"/>
            <w:vAlign w:val="bottom"/>
            <w:tcBorders>
              <w:bottom w:val="single" w:sz="8" w:color="auto"/>
              <w:right w:val="single" w:sz="8" w:color="auto"/>
            </w:tcBorders>
            <w:gridSpan w:val="3"/>
            <w:shd w:val="clear" w:color="auto" w:fill="D9D9D9"/>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(“Payout”)</w:t>
            </w:r>
          </w:p>
        </w:tc>
      </w:tr>
      <w:tr>
        <w:trPr>
          <w:trHeight w:val="256"/>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172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8"/>
              </w:rPr>
              <w:t>200%</w:t>
            </w:r>
          </w:p>
        </w:tc>
        <w:tc>
          <w:tcPr>
            <w:tcW w:w="1160" w:type="dxa"/>
            <w:vAlign w:val="bottom"/>
            <w:tcBorders>
              <w:right w:val="single" w:sz="8" w:color="auto"/>
            </w:tcBorders>
          </w:tcPr>
          <w:p>
            <w:pPr>
              <w:spacing w:after="0"/>
              <w:rPr>
                <w:sz w:val="22"/>
                <w:szCs w:val="22"/>
                <w:color w:val="auto"/>
              </w:rPr>
            </w:pP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172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8"/>
              </w:rPr>
              <w:t>100%</w:t>
            </w:r>
          </w:p>
        </w:tc>
        <w:tc>
          <w:tcPr>
            <w:tcW w:w="1160" w:type="dxa"/>
            <w:vAlign w:val="bottom"/>
            <w:tcBorders>
              <w:right w:val="single" w:sz="8" w:color="auto"/>
            </w:tcBorders>
          </w:tcPr>
          <w:p>
            <w:pPr>
              <w:spacing w:after="0"/>
              <w:rPr>
                <w:sz w:val="22"/>
                <w:szCs w:val="22"/>
                <w:color w:val="auto"/>
              </w:rPr>
            </w:pP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1720" w:type="dxa"/>
            <w:vAlign w:val="bottom"/>
            <w:gridSpan w:val="2"/>
          </w:tcPr>
          <w:p>
            <w:pPr>
              <w:jc w:val="center"/>
              <w:ind w:left="1021"/>
              <w:spacing w:after="0"/>
              <w:rPr>
                <w:sz w:val="20"/>
                <w:szCs w:val="20"/>
                <w:color w:val="auto"/>
              </w:rPr>
            </w:pPr>
            <w:r>
              <w:rPr>
                <w:rFonts w:ascii="Times New Roman" w:cs="Times New Roman" w:eastAsia="Times New Roman" w:hAnsi="Times New Roman"/>
                <w:sz w:val="20"/>
                <w:szCs w:val="20"/>
                <w:color w:val="auto"/>
                <w:w w:val="98"/>
              </w:rPr>
              <w:t>50%</w:t>
            </w:r>
          </w:p>
        </w:tc>
        <w:tc>
          <w:tcPr>
            <w:tcW w:w="1160" w:type="dxa"/>
            <w:vAlign w:val="bottom"/>
            <w:tcBorders>
              <w:right w:val="single" w:sz="8" w:color="auto"/>
            </w:tcBorders>
          </w:tcPr>
          <w:p>
            <w:pPr>
              <w:spacing w:after="0"/>
              <w:rPr>
                <w:sz w:val="22"/>
                <w:szCs w:val="22"/>
                <w:color w:val="auto"/>
              </w:rPr>
            </w:pP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20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For each of the second and third fiscal years in the Performance Period, the Committee shall make the same determination with respect to Actual Adjusted EBITDA and percentage growth, in each case, for each of the second and third fiscal years in the Performance Period as set forth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percentage growth shall be determined (i) for the second fiscal year in the Performance Period, between the Actual Adjusted EBITDA as of the end of the first fiscal year in the Performance Period and the Actual Adjusted EBITDA as of the end of the second fiscal year in the Performance Period; and (ii) for the third fiscal year in the Performance Period, between the Actual Adjusted EBITDA as of the end of the second fiscal year in the Performance Period and the Actual Adjusted EBITDA as of the end of the Performance Period.</w:t>
      </w:r>
    </w:p>
    <w:p>
      <w:pPr>
        <w:spacing w:after="0" w:line="351" w:lineRule="exact"/>
        <w:rPr>
          <w:sz w:val="20"/>
          <w:szCs w:val="20"/>
          <w:color w:val="auto"/>
        </w:rPr>
      </w:pPr>
    </w:p>
    <w:p>
      <w:pPr>
        <w:jc w:val="both"/>
        <w:ind w:left="2040"/>
        <w:spacing w:after="0" w:line="246" w:lineRule="auto"/>
        <w:rPr>
          <w:sz w:val="20"/>
          <w:szCs w:val="20"/>
          <w:color w:val="auto"/>
        </w:rPr>
      </w:pPr>
      <w:r>
        <w:rPr>
          <w:rFonts w:ascii="Times New Roman" w:cs="Times New Roman" w:eastAsia="Times New Roman" w:hAnsi="Times New Roman"/>
          <w:sz w:val="22"/>
          <w:szCs w:val="22"/>
          <w:color w:val="auto"/>
        </w:rPr>
        <w:t>In the case of any individual merger, acquisition, or divestiture for which the net assets acquired or disposed, on an annualized basis, generate an annual run rate Adjusted EBITDA in excess of 2% of the Baseline Adjusted EBITDA in the fiscal year such transaction closes (each, an “</w:t>
      </w:r>
      <w:r>
        <w:rPr>
          <w:rFonts w:ascii="Times New Roman" w:cs="Times New Roman" w:eastAsia="Times New Roman" w:hAnsi="Times New Roman"/>
          <w:sz w:val="22"/>
          <w:szCs w:val="22"/>
          <w:u w:val="single" w:color="auto"/>
          <w:color w:val="auto"/>
        </w:rPr>
        <w:t>Excluded Transaction</w:t>
      </w:r>
      <w:r>
        <w:rPr>
          <w:rFonts w:ascii="Times New Roman" w:cs="Times New Roman" w:eastAsia="Times New Roman" w:hAnsi="Times New Roman"/>
          <w:sz w:val="22"/>
          <w:szCs w:val="22"/>
          <w:color w:val="auto"/>
        </w:rPr>
        <w:t>”), the Adjusted EBITDA results attributable to such Excluded Transaction shall be excluded from the Adjusted EBITDA results for the fiscal year in which such Excluded Transaction closes for purposes of calculating the Annual Adjusted EBITDA Growth for such fiscal year. Notwithstanding the foregoing, for purposes of calculating the Annual Adjusted EBITDA Growth for any fiscal year in the Performance Period after such Excluded Transaction closes, the Adjusted EBITDA results attributable to such Excluded Transaction shall be included in the prior fiscal year Adjusted EBITDA results, on an annualized basis.</w:t>
      </w:r>
    </w:p>
    <w:p>
      <w:pPr>
        <w:spacing w:after="0" w:line="348" w:lineRule="exact"/>
        <w:rPr>
          <w:sz w:val="20"/>
          <w:szCs w:val="20"/>
          <w:color w:val="auto"/>
        </w:rPr>
      </w:pPr>
    </w:p>
    <w:p>
      <w:pPr>
        <w:jc w:val="both"/>
        <w:ind w:left="2040"/>
        <w:spacing w:after="0" w:line="26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EBITDA</w:t>
      </w:r>
      <w:r>
        <w:rPr>
          <w:rFonts w:ascii="Times New Roman" w:cs="Times New Roman" w:eastAsia="Times New Roman" w:hAnsi="Times New Roman"/>
          <w:sz w:val="22"/>
          <w:szCs w:val="22"/>
          <w:color w:val="auto"/>
        </w:rPr>
        <w:t>” means net income, plus interest expense, income tax provision (benefit) and depreciation and amortization, as further adjusted to exclude stock compensation expense, costs associated with debt refinancing, asset impairment, non-cash inventory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offs, management fees, new store pre-opening expenses, non-cash rent,</w:t>
      </w:r>
    </w:p>
    <w:p>
      <w:pPr>
        <w:sectPr>
          <w:pgSz w:w="11900" w:h="16838" w:orient="portrait"/>
          <w:cols w:equalWidth="0" w:num="1">
            <w:col w:w="10220"/>
          </w:cols>
          <w:pgMar w:left="1440" w:top="531" w:right="239" w:bottom="1440" w:gutter="0" w:footer="0" w:header="0"/>
        </w:sectPr>
      </w:pPr>
    </w:p>
    <w:bookmarkStart w:id="55" w:name="page56"/>
    <w:bookmarkEnd w:id="55"/>
    <w:p>
      <w:pPr>
        <w:jc w:val="both"/>
        <w:ind w:left="2040"/>
        <w:spacing w:after="0" w:line="271" w:lineRule="auto"/>
        <w:rPr>
          <w:sz w:val="20"/>
          <w:szCs w:val="20"/>
          <w:color w:val="auto"/>
        </w:rPr>
      </w:pPr>
      <w:r>
        <w:rPr>
          <w:rFonts w:ascii="Times New Roman" w:cs="Times New Roman" w:eastAsia="Times New Roman" w:hAnsi="Times New Roman"/>
          <w:sz w:val="22"/>
          <w:szCs w:val="22"/>
          <w:color w:val="auto"/>
        </w:rPr>
        <w:t>litigation settlements, secondary offering expenses, long-term incentive plan expenses, and other expenses.</w:t>
      </w:r>
    </w:p>
    <w:p>
      <w:pPr>
        <w:spacing w:after="0" w:line="3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i w:val="1"/>
          <w:iCs w:val="1"/>
          <w:color w:val="auto"/>
        </w:rPr>
        <w:t>Calculation of Number of Earned PSUs</w:t>
      </w:r>
    </w:p>
    <w:p>
      <w:pPr>
        <w:spacing w:after="0" w:line="386" w:lineRule="exact"/>
        <w:rPr>
          <w:sz w:val="20"/>
          <w:szCs w:val="20"/>
          <w:color w:val="auto"/>
        </w:rPr>
      </w:pPr>
    </w:p>
    <w:p>
      <w:pPr>
        <w:jc w:val="both"/>
        <w:ind w:left="2040"/>
        <w:spacing w:after="0" w:line="248" w:lineRule="auto"/>
        <w:rPr>
          <w:sz w:val="20"/>
          <w:szCs w:val="20"/>
          <w:color w:val="auto"/>
        </w:rPr>
      </w:pPr>
      <w:r>
        <w:rPr>
          <w:rFonts w:ascii="Times New Roman" w:cs="Times New Roman" w:eastAsia="Times New Roman" w:hAnsi="Times New Roman"/>
          <w:sz w:val="22"/>
          <w:szCs w:val="22"/>
          <w:color w:val="auto"/>
        </w:rPr>
        <w:t>Payout for performance between levels of a Performance Condition shall be interpolated on a straight-line basis. All determinations with respect to whether and to the extent to which a Performance Condition has been achieved shall be made by the Committee in its sole discretion and the applicable Performance Conditions shall not be achieved and the applicable PSUs shall not become Earned PSUs until the date that Committee certifies in writing the extent to which such Performance Conditions have been met (such date, the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344" w:lineRule="exact"/>
        <w:rPr>
          <w:sz w:val="20"/>
          <w:szCs w:val="20"/>
          <w:color w:val="auto"/>
        </w:rPr>
      </w:pPr>
    </w:p>
    <w:p>
      <w:pPr>
        <w:jc w:val="both"/>
        <w:ind w:left="2040"/>
        <w:spacing w:after="0" w:line="252" w:lineRule="auto"/>
        <w:rPr>
          <w:sz w:val="20"/>
          <w:szCs w:val="20"/>
          <w:color w:val="auto"/>
        </w:rPr>
      </w:pPr>
      <w:r>
        <w:rPr>
          <w:rFonts w:ascii="Times New Roman" w:cs="Times New Roman" w:eastAsia="Times New Roman" w:hAnsi="Times New Roman"/>
          <w:sz w:val="22"/>
          <w:szCs w:val="22"/>
          <w:color w:val="auto"/>
        </w:rPr>
        <w:t>Following the last day of the Performance Period, the Committee shall average the hypothetical Payout corresponding to the Annual Adjusted EBITDA Growth achieved with respect to each fiscal year in the Performance Period to determine the actual Payout for the Performance Period.</w:t>
      </w:r>
    </w:p>
    <w:p>
      <w:pPr>
        <w:spacing w:after="0" w:line="342" w:lineRule="exact"/>
        <w:rPr>
          <w:sz w:val="20"/>
          <w:szCs w:val="20"/>
          <w:color w:val="auto"/>
        </w:rPr>
      </w:pPr>
    </w:p>
    <w:p>
      <w:pPr>
        <w:jc w:val="both"/>
        <w:ind w:left="2040" w:right="20" w:firstLine="648"/>
        <w:spacing w:after="0" w:line="271" w:lineRule="auto"/>
        <w:rPr>
          <w:sz w:val="20"/>
          <w:szCs w:val="20"/>
          <w:color w:val="auto"/>
        </w:rPr>
      </w:pPr>
      <w:r>
        <w:rPr>
          <w:rFonts w:ascii="Times New Roman" w:cs="Times New Roman" w:eastAsia="Times New Roman" w:hAnsi="Times New Roman"/>
          <w:sz w:val="22"/>
          <w:szCs w:val="22"/>
          <w:color w:val="auto"/>
        </w:rPr>
        <w:t>Any PSUs which do not become Earned PSUs based on actual performance during the Performance Period shall be forfeited as of the last day of the Performance Period.</w:t>
      </w:r>
    </w:p>
    <w:p>
      <w:pPr>
        <w:spacing w:after="0" w:line="15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i w:val="1"/>
          <w:iCs w:val="1"/>
          <w:color w:val="auto"/>
        </w:rPr>
        <w:t>Vesting of Earned PSUs</w:t>
      </w:r>
    </w:p>
    <w:p>
      <w:pPr>
        <w:spacing w:after="0" w:line="224" w:lineRule="exact"/>
        <w:rPr>
          <w:sz w:val="20"/>
          <w:szCs w:val="20"/>
          <w:color w:val="auto"/>
        </w:rPr>
      </w:pPr>
    </w:p>
    <w:p>
      <w:pPr>
        <w:jc w:val="both"/>
        <w:ind w:left="2040" w:firstLine="648"/>
        <w:spacing w:after="0" w:line="271" w:lineRule="auto"/>
        <w:rPr>
          <w:sz w:val="20"/>
          <w:szCs w:val="20"/>
          <w:color w:val="auto"/>
        </w:rPr>
      </w:pPr>
      <w:r>
        <w:rPr>
          <w:rFonts w:ascii="Times New Roman" w:cs="Times New Roman" w:eastAsia="Times New Roman" w:hAnsi="Times New Roman"/>
          <w:sz w:val="22"/>
          <w:szCs w:val="22"/>
          <w:color w:val="auto"/>
        </w:rPr>
        <w:t>Any PSUs that become Earned PSUs shall become vested on the Determination Date for the applicable Performance Period.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Notwithstanding the foregoing:</w:t>
      </w:r>
    </w:p>
    <w:p>
      <w:pPr>
        <w:spacing w:after="0" w:line="220" w:lineRule="exact"/>
        <w:rPr>
          <w:sz w:val="20"/>
          <w:szCs w:val="20"/>
          <w:color w:val="auto"/>
        </w:rPr>
      </w:pPr>
    </w:p>
    <w:p>
      <w:pPr>
        <w:jc w:val="both"/>
        <w:ind w:left="2700" w:hanging="327"/>
        <w:spacing w:after="0" w:line="249" w:lineRule="auto"/>
        <w:tabs>
          <w:tab w:leader="none" w:pos="2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event that the Participant undergoes a Termination as a result of such Participant’s death or Disability, the PSUs shall become vested assuming achievement of a 100% payout (“</w:t>
      </w:r>
      <w:r>
        <w:rPr>
          <w:rFonts w:ascii="Times New Roman" w:cs="Times New Roman" w:eastAsia="Times New Roman" w:hAnsi="Times New Roman"/>
          <w:sz w:val="22"/>
          <w:szCs w:val="22"/>
          <w:u w:val="single" w:color="auto"/>
          <w:color w:val="auto"/>
        </w:rPr>
        <w:t>Target Performance</w:t>
      </w:r>
      <w:r>
        <w:rPr>
          <w:rFonts w:ascii="Times New Roman" w:cs="Times New Roman" w:eastAsia="Times New Roman" w:hAnsi="Times New Roman"/>
          <w:sz w:val="22"/>
          <w:szCs w:val="22"/>
          <w:color w:val="auto"/>
        </w:rPr>
        <w:t>”), and settled in accordance with the Agreement within sixty (60) days following such Termination.</w:t>
      </w:r>
    </w:p>
    <w:p>
      <w:pPr>
        <w:jc w:val="both"/>
        <w:ind w:left="2700" w:hanging="327"/>
        <w:spacing w:after="0" w:line="256" w:lineRule="auto"/>
        <w:tabs>
          <w:tab w:leader="none" w:pos="2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the event that prior to a Change in Control the Participant undergoes a Termination by the Service Recipient without Cause or by such Participant for Good Reason, subject to the Participant’s compliance during the Performance Period with any restrictive covenant by which such Participant is bound, including, without limitation, any covenant not to compete or not to solicit, in any agreement with any member of the Company Group, with respect to any PSUs for which the Performance Period has not been completed, a prorated portion of the PSUs will remain outstanding and eligible to vest based on actual performance on the last day of the Performance Period, with such proration based on the number of days the Participant was employed during the Performance Period relative to the total number of days of the Performance Period.</w:t>
      </w:r>
    </w:p>
    <w:p>
      <w:pPr>
        <w:sectPr>
          <w:pgSz w:w="11900" w:h="16838" w:orient="portrait"/>
          <w:cols w:equalWidth="0" w:num="1">
            <w:col w:w="10220"/>
          </w:cols>
          <w:pgMar w:left="1440" w:top="531" w:right="239" w:bottom="1440" w:gutter="0" w:footer="0" w:header="0"/>
        </w:sectPr>
      </w:pPr>
    </w:p>
    <w:bookmarkStart w:id="56" w:name="page57"/>
    <w:bookmarkEnd w:id="56"/>
    <w:p>
      <w:pPr>
        <w:jc w:val="both"/>
        <w:ind w:left="2700"/>
        <w:spacing w:after="0" w:line="251" w:lineRule="auto"/>
        <w:rPr>
          <w:sz w:val="20"/>
          <w:szCs w:val="20"/>
          <w:color w:val="auto"/>
        </w:rPr>
      </w:pPr>
      <w:r>
        <w:rPr>
          <w:rFonts w:ascii="Times New Roman" w:cs="Times New Roman" w:eastAsia="Times New Roman" w:hAnsi="Times New Roman"/>
          <w:sz w:val="22"/>
          <w:szCs w:val="22"/>
          <w:color w:val="auto"/>
        </w:rPr>
        <w:t>Any PSUs that become Earned PSUs following the Determination Date shall become vested and settled in accordance with the Agreement within sixty (60) days following the Determination Date.</w:t>
      </w:r>
    </w:p>
    <w:p>
      <w:pPr>
        <w:jc w:val="both"/>
        <w:ind w:left="2700" w:hanging="327"/>
        <w:spacing w:after="0" w:line="255" w:lineRule="auto"/>
        <w:tabs>
          <w:tab w:leader="none" w:pos="2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the event of a Change in Control, PSUs shall be converted into time-based vesting shares of Restricted Stock (the “</w:t>
      </w:r>
      <w:r>
        <w:rPr>
          <w:rFonts w:ascii="Times New Roman" w:cs="Times New Roman" w:eastAsia="Times New Roman" w:hAnsi="Times New Roman"/>
          <w:sz w:val="21"/>
          <w:szCs w:val="21"/>
          <w:u w:val="single" w:color="auto"/>
          <w:color w:val="auto"/>
        </w:rPr>
        <w:t>Converted PSUs</w:t>
      </w:r>
      <w:r>
        <w:rPr>
          <w:rFonts w:ascii="Times New Roman" w:cs="Times New Roman" w:eastAsia="Times New Roman" w:hAnsi="Times New Roman"/>
          <w:sz w:val="21"/>
          <w:szCs w:val="21"/>
          <w:color w:val="auto"/>
        </w:rPr>
        <w:t>”) determined based on the greater of</w:t>
      </w:r>
    </w:p>
    <w:p>
      <w:pPr>
        <w:jc w:val="both"/>
        <w:ind w:left="2700" w:hanging="2"/>
        <w:spacing w:after="0" w:line="257" w:lineRule="exact"/>
        <w:tabs>
          <w:tab w:leader="none" w:pos="305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Performance and (y) actual performance on the date of the Change in Control. If (i) a successor entity does not assume, convert, or replace the Converted PSUs in connection with the Change in Control or (ii) on or within the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four (24) months following the Change in Control the Participant undergoes a Termination by the Service Recipient without Cause or by such Participant for Good Reason, in each case, such Participant shall fully vest in such Converted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to appear on following page</w:t>
      </w:r>
      <w:r>
        <w:rPr>
          <w:rFonts w:ascii="Times New Roman" w:cs="Times New Roman" w:eastAsia="Times New Roman" w:hAnsi="Times New Roman"/>
          <w:sz w:val="22"/>
          <w:szCs w:val="22"/>
          <w:color w:val="auto"/>
        </w:rPr>
        <w:t>]</w:t>
      </w:r>
    </w:p>
    <w:p>
      <w:pPr>
        <w:sectPr>
          <w:pgSz w:w="11900" w:h="16838" w:orient="portrait"/>
          <w:cols w:equalWidth="0" w:num="1">
            <w:col w:w="10220"/>
          </w:cols>
          <w:pgMar w:left="1440" w:top="369" w:right="239" w:bottom="1440" w:gutter="0" w:footer="0" w:header="0"/>
        </w:sectPr>
      </w:pPr>
    </w:p>
    <w:bookmarkStart w:id="57" w:name="page58"/>
    <w:bookmarkEnd w:id="57"/>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r>
        <w:rPr>
          <w:rFonts w:ascii="Times New Roman" w:cs="Times New Roman" w:eastAsia="Times New Roman" w:hAnsi="Times New Roman"/>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Performance Stock Unit Award</w:t>
      </w:r>
      <w:r>
        <w:rPr>
          <w:rFonts w:ascii="Times New Roman" w:cs="Times New Roman" w:eastAsia="Times New Roman" w:hAnsi="Times New Roman"/>
          <w:sz w:val="16"/>
          <w:szCs w:val="16"/>
          <w:color w:val="auto"/>
        </w:rPr>
        <w:t>]</w:t>
      </w:r>
    </w:p>
    <w:p>
      <w:pPr>
        <w:sectPr>
          <w:pgSz w:w="11900" w:h="16838" w:orient="portrait"/>
          <w:cols w:equalWidth="0" w:num="1">
            <w:col w:w="11420"/>
          </w:cols>
          <w:pgMar w:left="240" w:top="7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hereof.</w:t>
      </w:r>
    </w:p>
    <w:p>
      <w:pPr>
        <w:sectPr>
          <w:pgSz w:w="11900" w:h="16838" w:orient="portrait"/>
          <w:cols w:equalWidth="0" w:num="1">
            <w:col w:w="11420"/>
          </w:cols>
          <w:pgMar w:left="240" w:top="770" w:right="2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2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Pursuant to the Performance Stock Unit Grant Notice (the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delivered to the Participant (as defined in the Grant Notice), and subject to the terms of this Performance Stock Unit Agreement (this “</w:t>
      </w:r>
      <w:r>
        <w:rPr>
          <w:rFonts w:ascii="Times New Roman" w:cs="Times New Roman" w:eastAsia="Times New Roman" w:hAnsi="Times New Roman"/>
          <w:sz w:val="22"/>
          <w:szCs w:val="22"/>
          <w:u w:val="single" w:color="auto"/>
          <w:color w:val="auto"/>
        </w:rPr>
        <w:t>Performance Stock Unit Agreement</w:t>
      </w:r>
      <w:r>
        <w:rPr>
          <w:rFonts w:ascii="Times New Roman" w:cs="Times New Roman" w:eastAsia="Times New Roman" w:hAnsi="Times New Roman"/>
          <w:sz w:val="22"/>
          <w:szCs w:val="22"/>
          <w:color w:val="auto"/>
        </w:rPr>
        <w:t>”) and the National Vision Holdings, Inc.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agree as follows. Capitalized terms not otherwise defined herein shall have the same meaning as set forth in the Plan.</w:t>
      </w:r>
    </w:p>
    <w:p>
      <w:pPr>
        <w:spacing w:after="0" w:line="177" w:lineRule="exact"/>
        <w:rPr>
          <w:sz w:val="20"/>
          <w:szCs w:val="20"/>
          <w:color w:val="auto"/>
        </w:rPr>
      </w:pPr>
    </w:p>
    <w:p>
      <w:pPr>
        <w:jc w:val="both"/>
        <w:ind w:firstLine="656"/>
        <w:spacing w:after="0" w:line="247" w:lineRule="auto"/>
        <w:tabs>
          <w:tab w:leader="none" w:pos="86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Performance Stock Units</w:t>
      </w:r>
      <w:r>
        <w:rPr>
          <w:rFonts w:ascii="Times New Roman" w:cs="Times New Roman" w:eastAsia="Times New Roman" w:hAnsi="Times New Roman"/>
          <w:sz w:val="22"/>
          <w:szCs w:val="22"/>
          <w:color w:val="auto"/>
        </w:rPr>
        <w:t>. Subject to the terms and conditions set forth herein and in the Plan,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grants to the Participant the number of Performance Stock Units provided in the Grant Notice (with each Performance Stock Unit representing the right to receive one share of Common Stock upon the vesting of such Performance Stock Unit).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86" w:lineRule="exact"/>
        <w:rPr>
          <w:rFonts w:ascii="Times New Roman" w:cs="Times New Roman" w:eastAsia="Times New Roman" w:hAnsi="Times New Roman"/>
          <w:sz w:val="22"/>
          <w:szCs w:val="22"/>
          <w:color w:val="auto"/>
        </w:rPr>
      </w:pPr>
    </w:p>
    <w:p>
      <w:pPr>
        <w:ind w:firstLine="656"/>
        <w:spacing w:after="0" w:line="275" w:lineRule="auto"/>
        <w:tabs>
          <w:tab w:leader="none" w:pos="8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Subject to the conditions contained herein and in the Plan, the Performance Stock Units shall vest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on such Performance Stock Units shall lapse as provided in the Grant Notice.</w:t>
      </w:r>
    </w:p>
    <w:p>
      <w:pPr>
        <w:spacing w:after="0" w:line="149" w:lineRule="exact"/>
        <w:rPr>
          <w:rFonts w:ascii="Times New Roman" w:cs="Times New Roman" w:eastAsia="Times New Roman" w:hAnsi="Times New Roman"/>
          <w:sz w:val="22"/>
          <w:szCs w:val="22"/>
          <w:color w:val="auto"/>
        </w:rPr>
      </w:pPr>
    </w:p>
    <w:p>
      <w:pPr>
        <w:jc w:val="both"/>
        <w:ind w:firstLine="656"/>
        <w:spacing w:after="0" w:line="259" w:lineRule="auto"/>
        <w:tabs>
          <w:tab w:leader="none" w:pos="8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 of Performance Stock Units</w:t>
      </w:r>
      <w:r>
        <w:rPr>
          <w:rFonts w:ascii="Times New Roman" w:cs="Times New Roman" w:eastAsia="Times New Roman" w:hAnsi="Times New Roman"/>
          <w:sz w:val="22"/>
          <w:szCs w:val="22"/>
          <w:color w:val="auto"/>
        </w:rPr>
        <w:t>. The provisions of Section 9(d)(ii) of the Plan are incorporated herein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reference and made a part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will settlement of a Performance Stock Unit occur more than thirty (30) days following the expiration of its Restricted Period.</w:t>
      </w:r>
    </w:p>
    <w:p>
      <w:pPr>
        <w:spacing w:after="0" w:line="166"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56"/>
        <w:spacing w:after="0" w:line="271" w:lineRule="auto"/>
        <w:tabs>
          <w:tab w:leader="none" w:pos="94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used in this Performance Stock Unit Agreement with reference to employment shall include the Company and its Subsidiaries.</w:t>
      </w:r>
    </w:p>
    <w:p>
      <w:pPr>
        <w:spacing w:after="0" w:line="157" w:lineRule="exact"/>
        <w:rPr>
          <w:rFonts w:ascii="Times New Roman" w:cs="Times New Roman" w:eastAsia="Times New Roman" w:hAnsi="Times New Roman"/>
          <w:sz w:val="22"/>
          <w:szCs w:val="22"/>
          <w:color w:val="auto"/>
        </w:rPr>
      </w:pPr>
    </w:p>
    <w:p>
      <w:pPr>
        <w:jc w:val="both"/>
        <w:ind w:firstLine="656"/>
        <w:spacing w:after="0" w:line="246" w:lineRule="auto"/>
        <w:tabs>
          <w:tab w:leader="none" w:pos="95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as used in this Performance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pacing w:after="0" w:line="191" w:lineRule="exact"/>
        <w:rPr>
          <w:rFonts w:ascii="Times New Roman" w:cs="Times New Roman" w:eastAsia="Times New Roman" w:hAnsi="Times New Roman"/>
          <w:sz w:val="22"/>
          <w:szCs w:val="22"/>
          <w:color w:val="auto"/>
        </w:rPr>
      </w:pPr>
    </w:p>
    <w:p>
      <w:pPr>
        <w:jc w:val="both"/>
        <w:ind w:firstLine="656"/>
        <w:spacing w:after="0" w:line="257" w:lineRule="auto"/>
        <w:tabs>
          <w:tab w:leader="none" w:pos="101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word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is used in any provision of this Performance Stock Unit Agreement under circumstances where the provision should logically be construed to apply to the executors, the administrators, or the person or persons to whom the Performance Stock Units may be transferred by</w:t>
      </w:r>
    </w:p>
    <w:p>
      <w:pPr>
        <w:sectPr>
          <w:pgSz w:w="11900" w:h="16838" w:orient="portrait"/>
          <w:cols w:equalWidth="0" w:num="1">
            <w:col w:w="11420"/>
          </w:cols>
          <w:pgMar w:left="240" w:top="365"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will or by the laws of descent and distribution, the word “Participant” shall be deemed to include such person or persons.</w:t>
      </w:r>
    </w:p>
    <w:p>
      <w:pPr>
        <w:spacing w:after="0" w:line="216" w:lineRule="exact"/>
        <w:rPr>
          <w:sz w:val="20"/>
          <w:szCs w:val="20"/>
          <w:color w:val="auto"/>
        </w:rPr>
      </w:pPr>
    </w:p>
    <w:p>
      <w:pPr>
        <w:jc w:val="both"/>
        <w:ind w:firstLine="656"/>
        <w:spacing w:after="0" w:line="251" w:lineRule="auto"/>
        <w:tabs>
          <w:tab w:leader="none" w:pos="93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Performance Stock Units are not transferable by the Participant except to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Transferees 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76" w:lineRule="exact"/>
        <w:rPr>
          <w:rFonts w:ascii="Times New Roman" w:cs="Times New Roman" w:eastAsia="Times New Roman" w:hAnsi="Times New Roman"/>
          <w:sz w:val="22"/>
          <w:szCs w:val="22"/>
          <w:color w:val="auto"/>
        </w:rPr>
      </w:pPr>
    </w:p>
    <w:p>
      <w:pPr>
        <w:jc w:val="both"/>
        <w:ind w:firstLine="656"/>
        <w:spacing w:after="0" w:line="254" w:lineRule="auto"/>
        <w:tabs>
          <w:tab w:leader="none" w:pos="8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as Stockholder</w:t>
      </w:r>
      <w:r>
        <w:rPr>
          <w:rFonts w:ascii="Times New Roman" w:cs="Times New Roman" w:eastAsia="Times New Roman" w:hAnsi="Times New Roman"/>
          <w:sz w:val="22"/>
          <w:szCs w:val="22"/>
          <w:color w:val="auto"/>
        </w:rPr>
        <w:t>. The Participant or a Permitted Transferee of the Performance Stock Units shall have no rights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stockholder with respect to any share of Common Stock underlying a Performance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71" w:lineRule="exact"/>
        <w:rPr>
          <w:rFonts w:ascii="Times New Roman" w:cs="Times New Roman" w:eastAsia="Times New Roman" w:hAnsi="Times New Roman"/>
          <w:sz w:val="22"/>
          <w:szCs w:val="22"/>
          <w:color w:val="auto"/>
        </w:rPr>
      </w:pPr>
    </w:p>
    <w:p>
      <w:pPr>
        <w:ind w:left="900" w:hanging="244"/>
        <w:spacing w:after="0"/>
        <w:tabs>
          <w:tab w:leader="none" w:pos="9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The provisions of Section 14(d) of the Plan are incorporated herein by reference and made a part</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91" w:lineRule="exact"/>
        <w:rPr>
          <w:rFonts w:ascii="Times New Roman" w:cs="Times New Roman" w:eastAsia="Times New Roman" w:hAnsi="Times New Roman"/>
          <w:sz w:val="22"/>
          <w:szCs w:val="22"/>
          <w:color w:val="auto"/>
        </w:rPr>
      </w:pPr>
    </w:p>
    <w:p>
      <w:pPr>
        <w:jc w:val="both"/>
        <w:ind w:firstLine="656"/>
        <w:spacing w:after="0" w:line="260" w:lineRule="exact"/>
        <w:tabs>
          <w:tab w:leader="none" w:pos="8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Every notice or other communication relating to this Performance Stock Unit Agreement between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plan administrator shall be mailed, delivered, transmitted or sent in accordance with the procedures established by such third-party plan administrator and communicated to the Participant from time to time.</w:t>
      </w:r>
    </w:p>
    <w:p>
      <w:pPr>
        <w:spacing w:after="0" w:line="189" w:lineRule="exact"/>
        <w:rPr>
          <w:rFonts w:ascii="Times New Roman" w:cs="Times New Roman" w:eastAsia="Times New Roman" w:hAnsi="Times New Roman"/>
          <w:sz w:val="22"/>
          <w:szCs w:val="22"/>
          <w:color w:val="auto"/>
        </w:rPr>
      </w:pPr>
    </w:p>
    <w:p>
      <w:pPr>
        <w:ind w:firstLine="656"/>
        <w:spacing w:after="0" w:line="275" w:lineRule="auto"/>
        <w:tabs>
          <w:tab w:leader="none" w:pos="8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22"/>
          <w:szCs w:val="22"/>
          <w:color w:val="auto"/>
        </w:rPr>
        <w:t>. This Performance Stock Unit Agreement does not confer upon the Participant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continue as an employee or service provider to the Company.</w:t>
      </w:r>
    </w:p>
    <w:p>
      <w:pPr>
        <w:spacing w:after="0" w:line="149" w:lineRule="exact"/>
        <w:rPr>
          <w:rFonts w:ascii="Times New Roman" w:cs="Times New Roman" w:eastAsia="Times New Roman" w:hAnsi="Times New Roman"/>
          <w:sz w:val="22"/>
          <w:szCs w:val="22"/>
          <w:color w:val="auto"/>
        </w:rPr>
      </w:pPr>
    </w:p>
    <w:p>
      <w:pPr>
        <w:ind w:right="20" w:firstLine="656"/>
        <w:spacing w:after="0" w:line="275" w:lineRule="auto"/>
        <w:tabs>
          <w:tab w:leader="none" w:pos="97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Performance Stock Unit Agreement shall be binding upon the heirs, executors, administrators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successors of the parties hereto.</w:t>
      </w:r>
    </w:p>
    <w:p>
      <w:pPr>
        <w:spacing w:after="0" w:line="149" w:lineRule="exact"/>
        <w:rPr>
          <w:rFonts w:ascii="Times New Roman" w:cs="Times New Roman" w:eastAsia="Times New Roman" w:hAnsi="Times New Roman"/>
          <w:sz w:val="22"/>
          <w:szCs w:val="22"/>
          <w:color w:val="auto"/>
        </w:rPr>
      </w:pPr>
    </w:p>
    <w:p>
      <w:pPr>
        <w:jc w:val="both"/>
        <w:ind w:firstLine="656"/>
        <w:spacing w:after="0" w:line="249" w:lineRule="auto"/>
        <w:tabs>
          <w:tab w:leader="none" w:pos="9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22"/>
          <w:szCs w:val="22"/>
          <w:color w:val="auto"/>
        </w:rPr>
        <w:t>. Except as otherwise set forth in Section 13 of the Plan, any waiver, alteration,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modification of any of the terms of this Performance Stock Unit Agreement shall be valid only if made in writing and signed by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0" w:lineRule="exact"/>
        <w:rPr>
          <w:rFonts w:ascii="Times New Roman" w:cs="Times New Roman" w:eastAsia="Times New Roman" w:hAnsi="Times New Roman"/>
          <w:sz w:val="22"/>
          <w:szCs w:val="22"/>
          <w:color w:val="auto"/>
        </w:rPr>
      </w:pPr>
    </w:p>
    <w:p>
      <w:pPr>
        <w:jc w:val="both"/>
        <w:ind w:firstLine="656"/>
        <w:spacing w:after="0" w:line="254" w:lineRule="auto"/>
        <w:tabs>
          <w:tab w:leader="none" w:pos="98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Performance Stock Unit Agreement shall be construed and interpreted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w:t>
      </w:r>
    </w:p>
    <w:p>
      <w:pPr>
        <w:sectPr>
          <w:pgSz w:w="11900" w:h="16838" w:orient="portrait"/>
          <w:cols w:equalWidth="0" w:num="1">
            <w:col w:w="11420"/>
          </w:cols>
          <w:pgMar w:left="240" w:top="369" w:right="239" w:bottom="1440" w:gutter="0" w:footer="0" w:header="0"/>
        </w:sectPr>
      </w:pPr>
    </w:p>
    <w:bookmarkStart w:id="60" w:name="page61"/>
    <w:bookmarkEnd w:id="60"/>
    <w:p>
      <w:pPr>
        <w:ind w:right="20"/>
        <w:spacing w:after="0" w:line="271" w:lineRule="auto"/>
        <w:rPr>
          <w:sz w:val="20"/>
          <w:szCs w:val="20"/>
          <w:color w:val="auto"/>
        </w:rPr>
      </w:pPr>
      <w:r>
        <w:rPr>
          <w:rFonts w:ascii="Times New Roman" w:cs="Times New Roman" w:eastAsia="Times New Roman" w:hAnsi="Times New Roman"/>
          <w:sz w:val="22"/>
          <w:szCs w:val="22"/>
          <w:color w:val="auto"/>
        </w:rPr>
        <w:t>Stock Unit Agreement, the Grant Notice or the Plan, the Participant hereby submits to the exclusive jurisdiction of and venue in the courts of Delaware.</w:t>
      </w:r>
    </w:p>
    <w:p>
      <w:pPr>
        <w:spacing w:after="0" w:line="154" w:lineRule="exact"/>
        <w:rPr>
          <w:sz w:val="20"/>
          <w:szCs w:val="20"/>
          <w:color w:val="auto"/>
        </w:rPr>
      </w:pPr>
    </w:p>
    <w:p>
      <w:pPr>
        <w:jc w:val="both"/>
        <w:ind w:firstLine="656"/>
        <w:spacing w:after="0" w:line="259" w:lineRule="auto"/>
        <w:tabs>
          <w:tab w:leader="none" w:pos="102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terms and provisions of the Plan are incorporated herein by reference. In the event of a conflict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inconsistency between the terms and provisions of the Plan and the provisions of this Performance Stock Unit Agreement (including the Grant Notice), the Plan shall govern and control.</w:t>
      </w:r>
    </w:p>
    <w:p>
      <w:pPr>
        <w:sectPr>
          <w:pgSz w:w="11900" w:h="16838" w:orient="portrait"/>
          <w:cols w:equalWidth="0" w:num="1">
            <w:col w:w="11420"/>
          </w:cols>
          <w:pgMar w:left="240" w:top="369"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10.5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Form Restricted Stock Agreement -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GRANT NOTICE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Directors)</w:t>
      </w:r>
    </w:p>
    <w:p>
      <w:pPr>
        <w:spacing w:after="0" w:line="207"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National Vision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2017 Omnibus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set forth below the number of shares of Restricted Stock set forth below. The shares of Restricted Stock are subject to all of the terms and conditions as set forth herein, in the Restricted Stock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Participant Name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Date of Grant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Date of Grant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Number of Shares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No. of Shares of Restricted Stock Granted</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Vesting Schedule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20"/>
          <w:szCs w:val="20"/>
          <w:color w:val="auto"/>
        </w:rPr>
        <w:t>Provided the Participant has not undergone a Termination at the time of the applicable vesting date (or event), the shares of Restricted Stock (rounded down to the nearest whole share of Restricted Stock) will vest on the first anniversary of the Date of Grant.</w:t>
      </w:r>
    </w:p>
    <w:p>
      <w:pPr>
        <w:spacing w:after="0" w:line="175"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jc w:val="both"/>
        <w:ind w:left="3240"/>
        <w:spacing w:after="0" w:line="254" w:lineRule="auto"/>
        <w:rPr>
          <w:sz w:val="20"/>
          <w:szCs w:val="20"/>
          <w:color w:val="auto"/>
        </w:rPr>
      </w:pPr>
      <w:r>
        <w:rPr>
          <w:rFonts w:ascii="Times New Roman" w:cs="Times New Roman" w:eastAsia="Times New Roman" w:hAnsi="Times New Roman"/>
          <w:sz w:val="20"/>
          <w:szCs w:val="20"/>
          <w:color w:val="auto"/>
        </w:rPr>
        <w:t>In the event that the Participant undergoes a Termination for any reason, (i) all vesting with respect to such shares of Restricted Stock shall cease and (ii) all unvested shares of Restricted Stock shall be forfeited by the Participant for no consideration as of the date of such Termination.</w:t>
      </w:r>
    </w:p>
    <w:p>
      <w:pPr>
        <w:spacing w:after="0" w:line="175" w:lineRule="exact"/>
        <w:rPr>
          <w:sz w:val="20"/>
          <w:szCs w:val="20"/>
          <w:color w:val="auto"/>
        </w:rPr>
      </w:pPr>
    </w:p>
    <w:p>
      <w:pPr>
        <w:ind w:left="3240"/>
        <w:spacing w:after="0" w:line="269" w:lineRule="auto"/>
        <w:rPr>
          <w:sz w:val="20"/>
          <w:szCs w:val="20"/>
          <w:color w:val="auto"/>
        </w:rPr>
      </w:pPr>
      <w:r>
        <w:rPr>
          <w:rFonts w:ascii="Times New Roman" w:cs="Times New Roman" w:eastAsia="Times New Roman" w:hAnsi="Times New Roman"/>
          <w:sz w:val="20"/>
          <w:szCs w:val="20"/>
          <w:color w:val="auto"/>
        </w:rPr>
        <w:t>In addition, in the event of a Change in Control, the Participant shall fully vest in the Participant’s Restricted Stock to the extent not then vested or previously forfeited or cancelled.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Terms</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121" w:right="239" w:bottom="1440" w:gutter="0" w:footer="0" w:header="0"/>
          <w:type w:val="continuous"/>
        </w:sectPr>
      </w:pPr>
    </w:p>
    <w:p>
      <w:pPr>
        <w:spacing w:after="0" w:line="23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You must notify us immediately if you are making an Internal Revenue Code Section 83(b) Election, and you must send us a copy of the same.</w:t>
      </w:r>
    </w:p>
    <w:p>
      <w:pPr>
        <w:spacing w:after="0" w:line="200" w:lineRule="exact"/>
        <w:rPr>
          <w:sz w:val="20"/>
          <w:szCs w:val="20"/>
          <w:color w:val="auto"/>
        </w:rPr>
      </w:pPr>
    </w:p>
    <w:p>
      <w:pPr>
        <w:sectPr>
          <w:pgSz w:w="11900" w:h="16838" w:orient="portrait"/>
          <w:cols w:equalWidth="0" w:num="2">
            <w:col w:w="3320" w:space="260"/>
            <w:col w:w="784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tabs>
          <w:tab w:leader="none" w:pos="4180" w:val="left"/>
        </w:tabs>
        <w:rPr>
          <w:sz w:val="20"/>
          <w:szCs w:val="20"/>
          <w:color w:val="auto"/>
        </w:rPr>
      </w:pPr>
      <w:r>
        <w:rPr>
          <w:rFonts w:ascii="Times New Roman" w:cs="Times New Roman" w:eastAsia="Times New Roman" w:hAnsi="Times New Roman"/>
          <w:sz w:val="20"/>
          <w:szCs w:val="20"/>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2">
            <w:col w:w="4300" w:space="200"/>
            <w:col w:w="6920"/>
          </w:cols>
          <w:pgMar w:left="240" w:top="121" w:right="2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Non-Employee Director Restricted Stock Award</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805" w:right="1440" w:bottom="1440" w:gutter="0" w:footer="0" w:header="0"/>
        </w:sectPr>
      </w:pPr>
    </w:p>
    <w:bookmarkStart w:id="63" w:name="page64"/>
    <w:bookmarkEnd w:id="63"/>
    <w:p>
      <w:pPr>
        <w:spacing w:after="0" w:line="250"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RESTRICTED STOCK GRANT NOTICE, THE RESTRICTED STOCK AGREEMENT AND THE PLAN, AND, AS AN EXPRESS CONDITION TO THE GRANT OF SHARES OF RESTRICTED STOCK HEREUNDER, AGREES TO BE BOUND BY THE TERMS OF THIS RESTRICTED STOCK GRANT NOTICE, THE RESTRICTED STOCK AGREEMENT AND THE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Non-Employee Director Restricted Stock Award</w:t>
      </w:r>
      <w:r>
        <w:rPr>
          <w:rFonts w:ascii="Times New Roman" w:cs="Times New Roman" w:eastAsia="Times New Roman" w:hAnsi="Times New Roman"/>
          <w:sz w:val="18"/>
          <w:szCs w:val="18"/>
          <w:color w:val="auto"/>
        </w:rPr>
        <w:t>]</w:t>
      </w:r>
    </w:p>
    <w:p>
      <w:pPr>
        <w:sectPr>
          <w:pgSz w:w="11900" w:h="16838" w:orient="portrait"/>
          <w:cols w:equalWidth="0" w:num="1">
            <w:col w:w="11340"/>
          </w:cols>
          <w:pgMar w:left="240" w:top="802"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Pursuant to the Restricted Stock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Restricted Stock Agreement (this “</w:t>
      </w:r>
      <w:r>
        <w:rPr>
          <w:rFonts w:ascii="Times New Roman" w:cs="Times New Roman" w:eastAsia="Times New Roman" w:hAnsi="Times New Roman"/>
          <w:sz w:val="20"/>
          <w:szCs w:val="20"/>
          <w:u w:val="single" w:color="auto"/>
          <w:color w:val="auto"/>
        </w:rPr>
        <w:t>Restricted Stock Agreement</w:t>
      </w:r>
      <w:r>
        <w:rPr>
          <w:rFonts w:ascii="Times New Roman" w:cs="Times New Roman" w:eastAsia="Times New Roman" w:hAnsi="Times New Roman"/>
          <w:sz w:val="20"/>
          <w:szCs w:val="20"/>
          <w:color w:val="auto"/>
        </w:rPr>
        <w:t>”) and the National Vision Holdings, Inc. 2017 Omnibus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National Vision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90" w:lineRule="exact"/>
        <w:rPr>
          <w:sz w:val="20"/>
          <w:szCs w:val="20"/>
          <w:color w:val="auto"/>
        </w:rPr>
      </w:pPr>
    </w:p>
    <w:p>
      <w:pPr>
        <w:jc w:val="both"/>
        <w:ind w:firstLine="656"/>
        <w:spacing w:after="0" w:line="274" w:lineRule="auto"/>
        <w:tabs>
          <w:tab w:leader="none" w:pos="1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Grant of Shares of Restricted Stock</w:t>
      </w:r>
      <w:r>
        <w:rPr>
          <w:rFonts w:ascii="Times New Roman" w:cs="Times New Roman" w:eastAsia="Times New Roman" w:hAnsi="Times New Roman"/>
          <w:sz w:val="20"/>
          <w:szCs w:val="20"/>
          <w:color w:val="auto"/>
        </w:rPr>
        <w:t>. Subject to the terms and conditions set forth herein and in the Plan,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to the Participant the number of shares of Restricted Stock provided in the Grant Notice. The Company may make one or more additional grants of shares of Restricted Stock to the Participant under this Restricted Stock Agreement by providing the Participant with a new Grant Notice, which may also include any terms and conditions differing from this Restricted Stock Agreement to the extent provided therein. The Company reserves all rights with respect to the granting of additional shares of Restricted Stock hereunder and makes no implied promise to grant additional shares of Restricted Stock.</w:t>
      </w:r>
    </w:p>
    <w:p>
      <w:pPr>
        <w:spacing w:after="0" w:line="180" w:lineRule="exact"/>
        <w:rPr>
          <w:rFonts w:ascii="Times New Roman" w:cs="Times New Roman" w:eastAsia="Times New Roman" w:hAnsi="Times New Roman"/>
          <w:sz w:val="18"/>
          <w:szCs w:val="18"/>
          <w:color w:val="auto"/>
        </w:rPr>
      </w:pPr>
    </w:p>
    <w:p>
      <w:pPr>
        <w:jc w:val="both"/>
        <w:ind w:firstLine="656"/>
        <w:spacing w:after="0" w:line="284" w:lineRule="auto"/>
        <w:tabs>
          <w:tab w:leader="none" w:pos="1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shares of Restricted Stock shall vest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on such shares of Restricted Stock shall lapse as provided in the Grant Notice. With respect to any share of Restricted Stock, the period of time that such share of Restricted Stock remains subject to vesting shall be its Restricted Period.</w:t>
      </w:r>
    </w:p>
    <w:p>
      <w:pPr>
        <w:spacing w:after="0" w:line="169" w:lineRule="exact"/>
        <w:rPr>
          <w:rFonts w:ascii="Times New Roman" w:cs="Times New Roman" w:eastAsia="Times New Roman" w:hAnsi="Times New Roman"/>
          <w:sz w:val="18"/>
          <w:szCs w:val="18"/>
          <w:color w:val="auto"/>
        </w:rPr>
      </w:pPr>
    </w:p>
    <w:p>
      <w:pPr>
        <w:ind w:firstLine="656"/>
        <w:spacing w:after="0" w:line="301" w:lineRule="auto"/>
        <w:tabs>
          <w:tab w:leader="none" w:pos="1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Issuance of Shares of Restricted Stock</w:t>
      </w:r>
      <w:r>
        <w:rPr>
          <w:rFonts w:ascii="Times New Roman" w:cs="Times New Roman" w:eastAsia="Times New Roman" w:hAnsi="Times New Roman"/>
          <w:sz w:val="20"/>
          <w:szCs w:val="20"/>
          <w:color w:val="auto"/>
        </w:rPr>
        <w:t>. The provisions of Section 9(d)(i) of the Plan are incorporated herein by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made a part hereof.</w:t>
      </w:r>
    </w:p>
    <w:p>
      <w:pPr>
        <w:spacing w:after="0" w:line="152"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920" w:hanging="264"/>
        <w:spacing w:after="0"/>
        <w:tabs>
          <w:tab w:leader="none" w:pos="9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Restricted Stock Agreement shall include the Company and its Subsidiaries.</w:t>
      </w:r>
    </w:p>
    <w:p>
      <w:pPr>
        <w:spacing w:after="0" w:line="215" w:lineRule="exact"/>
        <w:rPr>
          <w:rFonts w:ascii="Times New Roman" w:cs="Times New Roman" w:eastAsia="Times New Roman" w:hAnsi="Times New Roman"/>
          <w:sz w:val="20"/>
          <w:szCs w:val="20"/>
          <w:color w:val="auto"/>
        </w:rPr>
      </w:pPr>
    </w:p>
    <w:p>
      <w:pPr>
        <w:jc w:val="both"/>
        <w:ind w:firstLine="656"/>
        <w:spacing w:after="0" w:line="249" w:lineRule="auto"/>
        <w:tabs>
          <w:tab w:leader="none" w:pos="96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Restricted Stock Agreement under circumstances where the provision should logically be construed to apply to the executors, the administrators, or the person or persons to whom the shares of Restricted Stock may be transferred by will or by the laws of descent and distribution, the word “Participant” shall be deemed to include such person or persons.</w:t>
      </w:r>
    </w:p>
    <w:p>
      <w:pPr>
        <w:spacing w:after="0" w:line="190" w:lineRule="exact"/>
        <w:rPr>
          <w:sz w:val="20"/>
          <w:szCs w:val="20"/>
          <w:color w:val="auto"/>
        </w:rPr>
      </w:pPr>
    </w:p>
    <w:p>
      <w:pPr>
        <w:jc w:val="both"/>
        <w:ind w:firstLine="656"/>
        <w:spacing w:after="0" w:line="276" w:lineRule="auto"/>
        <w:tabs>
          <w:tab w:leader="none" w:pos="14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shares of Restricted Stock are not transferable by the Participant except to Permitted Transferees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Section 14(b) of the Plan. Except as otherwise provided herein, no assignment or transfer of the shares of Restricted Stock, or of the rights represented thereby, whether voluntary or involuntary, by operation of law or otherwise, shall vest in the assignee or transferee any interest or right herein whatsoever, but immediately upon such assignment or transfer the shares of Restricted Stock shall terminate and become of no further effect.</w:t>
      </w:r>
    </w:p>
    <w:p>
      <w:pPr>
        <w:spacing w:after="0" w:line="176" w:lineRule="exact"/>
        <w:rPr>
          <w:rFonts w:ascii="Times New Roman" w:cs="Times New Roman" w:eastAsia="Times New Roman" w:hAnsi="Times New Roman"/>
          <w:sz w:val="18"/>
          <w:szCs w:val="18"/>
          <w:color w:val="auto"/>
        </w:rPr>
      </w:pPr>
    </w:p>
    <w:p>
      <w:pPr>
        <w:jc w:val="both"/>
        <w:ind w:firstLine="656"/>
        <w:spacing w:after="0" w:line="276" w:lineRule="auto"/>
        <w:tabs>
          <w:tab w:leader="none" w:pos="14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Rights as Stockholder; Legend</w:t>
      </w:r>
      <w:r>
        <w:rPr>
          <w:rFonts w:ascii="Times New Roman" w:cs="Times New Roman" w:eastAsia="Times New Roman" w:hAnsi="Times New Roman"/>
          <w:sz w:val="20"/>
          <w:szCs w:val="20"/>
          <w:color w:val="auto"/>
        </w:rPr>
        <w:t>. The provisions of Sections 9(b) and 9(e) of the Plan are incorporated herein by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made a part hereof. Notwithstanding the foregoing, the Participant shall be entitled to voting rights and dividends with respect to shares of Restricted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w:t>
      </w:r>
    </w:p>
    <w:p>
      <w:pPr>
        <w:spacing w:after="0" w:line="176" w:lineRule="exact"/>
        <w:rPr>
          <w:rFonts w:ascii="Times New Roman" w:cs="Times New Roman" w:eastAsia="Times New Roman" w:hAnsi="Times New Roman"/>
          <w:sz w:val="18"/>
          <w:szCs w:val="18"/>
          <w:color w:val="auto"/>
        </w:rPr>
      </w:pPr>
    </w:p>
    <w:p>
      <w:pPr>
        <w:ind w:firstLine="656"/>
        <w:spacing w:after="0" w:line="301" w:lineRule="auto"/>
        <w:tabs>
          <w:tab w:leader="none" w:pos="14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Agreement between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in writing, and shall be mailed to or delivered to the party for whom it is</w:t>
      </w:r>
    </w:p>
    <w:p>
      <w:pPr>
        <w:sectPr>
          <w:pgSz w:w="11900" w:h="16838" w:orient="portrait"/>
          <w:cols w:equalWidth="0" w:num="1">
            <w:col w:w="11420"/>
          </w:cols>
          <w:pgMar w:left="240" w:top="572" w:right="239" w:bottom="1440" w:gutter="0" w:footer="0" w:header="0"/>
        </w:sectPr>
      </w:pPr>
    </w:p>
    <w:bookmarkStart w:id="65" w:name="page66"/>
    <w:bookmarkEnd w:id="65"/>
    <w:p>
      <w:pPr>
        <w:jc w:val="both"/>
        <w:spacing w:after="0" w:line="272" w:lineRule="auto"/>
        <w:rPr>
          <w:sz w:val="20"/>
          <w:szCs w:val="20"/>
          <w:color w:val="auto"/>
        </w:rPr>
      </w:pPr>
      <w:r>
        <w:rPr>
          <w:rFonts w:ascii="Times New Roman" w:cs="Times New Roman" w:eastAsia="Times New Roman" w:hAnsi="Times New Roman"/>
          <w:sz w:val="20"/>
          <w:szCs w:val="20"/>
          <w:color w:val="auto"/>
        </w:rPr>
        <w:t xml:space="preserve">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Company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4" w:lineRule="exact"/>
        <w:rPr>
          <w:sz w:val="20"/>
          <w:szCs w:val="20"/>
          <w:color w:val="auto"/>
        </w:rPr>
      </w:pPr>
    </w:p>
    <w:p>
      <w:pPr>
        <w:ind w:firstLine="656"/>
        <w:spacing w:after="0" w:line="301" w:lineRule="auto"/>
        <w:tabs>
          <w:tab w:leader="none" w:pos="14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Agreement does not confer upon the Participant any right to continue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Non-Employee Director of the Company.</w:t>
      </w:r>
    </w:p>
    <w:p>
      <w:pPr>
        <w:spacing w:after="0" w:line="152"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u w:val="single" w:color="auto"/>
          <w:color w:val="auto"/>
        </w:rPr>
        <w:t>Binding Effect</w:t>
      </w:r>
      <w:r>
        <w:rPr>
          <w:rFonts w:ascii="Times New Roman" w:cs="Times New Roman" w:eastAsia="Times New Roman" w:hAnsi="Times New Roman"/>
          <w:sz w:val="19"/>
          <w:szCs w:val="19"/>
          <w:color w:val="auto"/>
        </w:rPr>
        <w:t>. This Restricted Stock Agreement shall be binding upon the heirs, executors, administrators and successors of</w:t>
      </w:r>
    </w:p>
    <w:p>
      <w:pPr>
        <w:spacing w:after="0" w:line="4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the parties hereto.</w:t>
      </w:r>
    </w:p>
    <w:p>
      <w:pPr>
        <w:spacing w:after="0" w:line="236" w:lineRule="exact"/>
        <w:rPr>
          <w:rFonts w:ascii="Times New Roman" w:cs="Times New Roman" w:eastAsia="Times New Roman" w:hAnsi="Times New Roman"/>
          <w:sz w:val="17"/>
          <w:szCs w:val="17"/>
          <w:color w:val="auto"/>
        </w:rPr>
      </w:pPr>
    </w:p>
    <w:p>
      <w:pPr>
        <w:jc w:val="both"/>
        <w:ind w:firstLine="656"/>
        <w:spacing w:after="0" w:line="276" w:lineRule="auto"/>
        <w:tabs>
          <w:tab w:leader="none" w:pos="15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13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Agreement shall be valid only if made in writing and signed by the parties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6" w:lineRule="exact"/>
        <w:rPr>
          <w:rFonts w:ascii="Times New Roman" w:cs="Times New Roman" w:eastAsia="Times New Roman" w:hAnsi="Times New Roman"/>
          <w:sz w:val="18"/>
          <w:szCs w:val="18"/>
          <w:color w:val="auto"/>
        </w:rPr>
      </w:pPr>
    </w:p>
    <w:p>
      <w:pPr>
        <w:jc w:val="both"/>
        <w:ind w:firstLine="656"/>
        <w:spacing w:after="0" w:line="276" w:lineRule="auto"/>
        <w:tabs>
          <w:tab w:leader="none" w:pos="15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Restricted Stock Agreement shall be construed and interpreted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without regard to the principles of conflicts of law thereof. Notwithstanding anything contained in this Restricted Stock Agreement, the Grant Notice or the Plan to the contrary, if any suit or claim is instituted by the Participant or the Company relating to this Restricted Stock Agreement, the Grant Notice or the Plan, the Participant hereby submits to the exclusive jurisdiction of and venue in the courts of Delaware.</w:t>
      </w:r>
    </w:p>
    <w:p>
      <w:pPr>
        <w:spacing w:after="0" w:line="176" w:lineRule="exact"/>
        <w:rPr>
          <w:rFonts w:ascii="Times New Roman" w:cs="Times New Roman" w:eastAsia="Times New Roman" w:hAnsi="Times New Roman"/>
          <w:sz w:val="18"/>
          <w:szCs w:val="18"/>
          <w:color w:val="auto"/>
        </w:rPr>
      </w:pPr>
    </w:p>
    <w:p>
      <w:pPr>
        <w:ind w:firstLine="656"/>
        <w:spacing w:after="0" w:line="301" w:lineRule="auto"/>
        <w:tabs>
          <w:tab w:leader="none" w:pos="15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 inconsistency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terms and provisions of the Plan and the provisions of this Restricted Stock Agreement, the Plan shall govern and control.</w:t>
      </w:r>
    </w:p>
    <w:p>
      <w:pPr>
        <w:sectPr>
          <w:pgSz w:w="11900" w:h="16838" w:orient="portrait"/>
          <w:cols w:equalWidth="0" w:num="1">
            <w:col w:w="11420"/>
          </w:cols>
          <w:pgMar w:left="240" w:top="373"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30, 2019 of National Vision Holdings,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-7620</wp:posOffset>
            </wp:positionV>
            <wp:extent cx="1708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70815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30, 2019 of National Vision Holdings,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-7620</wp:posOffset>
            </wp:positionV>
            <wp:extent cx="20986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098675"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March 30, 2019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40"/>
        <w:spacing w:after="0"/>
        <w:tabs>
          <w:tab w:leader="none" w:pos="7000" w:val="left"/>
        </w:tabs>
        <w:rPr>
          <w:sz w:val="20"/>
          <w:szCs w:val="20"/>
          <w:color w:val="auto"/>
        </w:rPr>
      </w:pPr>
      <w:r>
        <w:rPr>
          <w:rFonts w:ascii="Times New Roman" w:cs="Times New Roman" w:eastAsia="Times New Roman" w:hAnsi="Times New Roman"/>
          <w:sz w:val="18"/>
          <w:szCs w:val="18"/>
          <w:color w:val="auto"/>
        </w:rPr>
        <w:t>/s/ L. Reade Fahs</w:t>
      </w:r>
      <w:r>
        <w:rPr>
          <w:sz w:val="20"/>
          <w:szCs w:val="20"/>
          <w:color w:val="auto"/>
        </w:rPr>
        <w:tab/>
      </w:r>
      <w:r>
        <w:rPr>
          <w:rFonts w:ascii="Times New Roman" w:cs="Times New Roman" w:eastAsia="Times New Roman" w:hAnsi="Times New Roman"/>
          <w:sz w:val="16"/>
          <w:szCs w:val="16"/>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-7620</wp:posOffset>
            </wp:positionV>
            <wp:extent cx="1708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70815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March 30, 2019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b w:val="1"/>
          <w:bCs w:val="1"/>
          <w:color w:val="auto"/>
        </w:rPr>
      </w:pPr>
    </w:p>
    <w:p>
      <w:pPr>
        <w:ind w:left="340" w:right="160" w:hanging="332"/>
        <w:spacing w:after="0" w:line="282" w:lineRule="auto"/>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-7620</wp:posOffset>
            </wp:positionV>
            <wp:extent cx="20986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098675"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lvl w:ilvl="1">
      <w:lvlJc w:val="left"/>
      <w:lvlText w:val="(%2)"/>
      <w:numFmt w:val="decimal"/>
      <w:start w:val="1"/>
    </w:lvl>
  </w:abstractNum>
  <w:abstractNum w:abstractNumId="6">
    <w:nsid w:val="2901D82"/>
    <w:multiLevelType w:val="hybridMultilevel"/>
    <w:lvl w:ilvl="0">
      <w:lvlJc w:val="left"/>
      <w:lvlText w:val="%1."/>
      <w:numFmt w:val="decimal"/>
      <w:start w:val="3"/>
    </w:lvl>
    <w:lvl w:ilvl="1">
      <w:lvlJc w:val="left"/>
      <w:lvlText w:val="%2"/>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bullet"/>
      <w:start w:val="1"/>
    </w:lvl>
  </w:abstractNum>
  <w:abstractNum w:abstractNumId="22">
    <w:nsid w:val="77465F01"/>
    <w:multiLevelType w:val="hybridMultilevel"/>
    <w:lvl w:ilvl="0">
      <w:lvlJc w:val="left"/>
      <w:lvlText w:val="2"/>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6"/>
    </w:lvl>
  </w:abstractNum>
  <w:abstractNum w:abstractNumId="25">
    <w:nsid w:val="2463B9EA"/>
    <w:multiLevelType w:val="hybridMultilevel"/>
    <w:lvl w:ilvl="0">
      <w:lvlJc w:val="left"/>
      <w:lvlText w:val="%1"/>
      <w:numFmt w:val="lowerLetter"/>
      <w:start w:val="1"/>
    </w:lvl>
    <w:lvl w:ilvl="1">
      <w:lvlJc w:val="left"/>
      <w:lvlText w:val="(%2)"/>
      <w:numFmt w:val="lowerLetter"/>
      <w:start w:val="1"/>
    </w:lvl>
  </w:abstractNum>
  <w:abstractNum w:abstractNumId="26">
    <w:nsid w:val="5E884ADC"/>
    <w:multiLevelType w:val="hybridMultilevel"/>
    <w:lvl w:ilvl="0">
      <w:lvlJc w:val="left"/>
      <w:lvlText w:val="(%1)"/>
      <w:numFmt w:val="lowerLetter"/>
      <w:start w:val="61"/>
    </w:lvl>
    <w:lvl w:ilvl="1">
      <w:lvlJc w:val="left"/>
      <w:lvlText w:val="(%2)"/>
      <w:numFmt w:val="lowerLetter"/>
      <w:start w:val="3"/>
    </w:lvl>
  </w:abstractNum>
  <w:abstractNum w:abstractNumId="27">
    <w:nsid w:val="51EAD36B"/>
    <w:multiLevelType w:val="hybridMultilevel"/>
    <w:lvl w:ilvl="0">
      <w:lvlJc w:val="left"/>
      <w:lvlText w:val="%1."/>
      <w:numFmt w:val="decimal"/>
      <w:start w:val="7"/>
    </w:lvl>
  </w:abstractNum>
  <w:abstractNum w:abstractNumId="28">
    <w:nsid w:val="2D517796"/>
    <w:multiLevelType w:val="hybridMultilevel"/>
    <w:lvl w:ilvl="0">
      <w:lvlJc w:val="left"/>
      <w:lvlText w:val="%1."/>
      <w:numFmt w:val="decimal"/>
      <w:start w:val="10"/>
    </w:lvl>
  </w:abstractNum>
  <w:abstractNum w:abstractNumId="29">
    <w:nsid w:val="580BD78F"/>
    <w:multiLevelType w:val="hybridMultilevel"/>
    <w:lvl w:ilvl="0">
      <w:lvlJc w:val="left"/>
      <w:lvlText w:val="(%1)"/>
      <w:numFmt w:val="lowerRoman"/>
      <w:start w:val="2"/>
    </w:lvl>
  </w:abstractNum>
  <w:abstractNum w:abstractNumId="30">
    <w:nsid w:val="153EA438"/>
    <w:multiLevelType w:val="hybridMultilevel"/>
    <w:lvl w:ilvl="0">
      <w:lvlJc w:val="left"/>
      <w:lvlText w:val="2"/>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3"/>
    </w:lvl>
  </w:abstractNum>
  <w:abstractNum w:abstractNumId="34">
    <w:nsid w:val="2A487CB0"/>
    <w:multiLevelType w:val="hybridMultilevel"/>
    <w:lvl w:ilvl="0">
      <w:lvlJc w:val="left"/>
      <w:lvlText w:val="%1."/>
      <w:numFmt w:val="decimal"/>
      <w:start w:val="5"/>
    </w:lvl>
  </w:abstractNum>
  <w:abstractNum w:abstractNumId="35">
    <w:nsid w:val="1D4ED43B"/>
    <w:multiLevelType w:val="hybridMultilevel"/>
    <w:lvl w:ilvl="0">
      <w:lvlJc w:val="left"/>
      <w:lvlText w:val="%1."/>
      <w:numFmt w:val="decimal"/>
      <w:start w:val="1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lvl w:ilvl="1">
      <w:lvlJc w:val="left"/>
      <w:lvlText w:val="(%2)"/>
      <w:numFmt w:val="lowerRoman"/>
      <w:start w:val="10"/>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5"/>
    </w:lvl>
  </w:abstractNum>
  <w:abstractNum w:abstractNumId="42">
    <w:nsid w:val="6DE91B18"/>
    <w:multiLevelType w:val="hybridMultilevel"/>
    <w:lvl w:ilvl="0">
      <w:lvlJc w:val="left"/>
      <w:lvlText w:val="%1."/>
      <w:numFmt w:val="decimal"/>
      <w:start w:val="13"/>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5"/>
    </w:lvl>
  </w:abstractNum>
  <w:abstractNum w:abstractNumId="46">
    <w:nsid w:val="684A481A"/>
    <w:multiLevelType w:val="hybridMultilevel"/>
    <w:lvl w:ilvl="0">
      <w:lvlJc w:val="left"/>
      <w:lvlText w:val="%1."/>
      <w:numFmt w:val="decimal"/>
      <w:start w:val="8"/>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26" Type="http://schemas.openxmlformats.org/officeDocument/2006/relationships/hyperlink" Target="http://www.sec.gov/Archives/edgar/data/1710155/000156761917002270/s001582x19_ex3-1.htm" TargetMode="External"/><Relationship Id="rId27" Type="http://schemas.openxmlformats.org/officeDocument/2006/relationships/hyperlink" Target="http://www.sec.gov/Archives/edgar/data/1710155/000156761917002270/s001582x19_ex3-2.htm" TargetMode="External"/><Relationship Id="rId28" Type="http://schemas.openxmlformats.org/officeDocument/2006/relationships/hyperlink" Target="http://www.sec.gov/Archives/edgar/data/1710155/000171015519000003/jmtransitionagmt-exhibitf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2019-12-28T12:30:54Z</dcterms:created>
  <dcterms:modified xsi:type="dcterms:W3CDTF">2019-12-28T12:30:54Z</dcterms:modified>
</cp:coreProperties>
</file>