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41"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9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7"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jc w:val="center"/>
        <w:spacing w:after="0"/>
        <w:rPr>
          <w:sz w:val="20"/>
          <w:szCs w:val="20"/>
          <w:color w:val="auto"/>
        </w:rPr>
      </w:pPr>
      <w:r>
        <w:rPr>
          <w:rFonts w:ascii="Arial" w:cs="Arial" w:eastAsia="Arial" w:hAnsi="Arial"/>
          <w:sz w:val="16"/>
          <w:szCs w:val="16"/>
          <w:b w:val="1"/>
          <w:bCs w:val="1"/>
          <w:color w:val="auto"/>
        </w:rPr>
        <w:t>For the quarterly period ended June 29, 2019</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50"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ind w:left="4200"/>
        <w:spacing w:after="0"/>
        <w:tabs>
          <w:tab w:leader="none" w:pos="67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001-38257</w:t>
      </w:r>
    </w:p>
    <w:p>
      <w:pPr>
        <w:spacing w:after="0" w:line="86"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4"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57" w:lineRule="exact"/>
        <w:rPr>
          <w:sz w:val="24"/>
          <w:szCs w:val="24"/>
          <w:color w:val="auto"/>
        </w:rPr>
      </w:pPr>
    </w:p>
    <w:tbl>
      <w:tblPr>
        <w:tblLayout w:type="fixed"/>
        <w:tblInd w:w="2240" w:type="dxa"/>
        <w:tblCellMar>
          <w:top w:w="0" w:type="dxa"/>
          <w:left w:w="0" w:type="dxa"/>
          <w:bottom w:w="0" w:type="dxa"/>
          <w:right w:w="0" w:type="dxa"/>
        </w:tblCellMar>
      </w:tblPr>
      <w:tr>
        <w:trPr>
          <w:trHeight w:val="210"/>
        </w:trPr>
        <w:tc>
          <w:tcPr>
            <w:tcW w:w="3660" w:type="dxa"/>
            <w:vAlign w:val="bottom"/>
          </w:tcPr>
          <w:p>
            <w:pPr>
              <w:jc w:val="center"/>
              <w:ind w:right="1619"/>
              <w:spacing w:after="0"/>
              <w:rPr>
                <w:sz w:val="20"/>
                <w:szCs w:val="20"/>
                <w:color w:val="auto"/>
              </w:rPr>
            </w:pPr>
            <w:r>
              <w:rPr>
                <w:rFonts w:ascii="Arial" w:cs="Arial" w:eastAsia="Arial" w:hAnsi="Arial"/>
                <w:sz w:val="16"/>
                <w:szCs w:val="16"/>
                <w:b w:val="1"/>
                <w:bCs w:val="1"/>
                <w:color w:val="auto"/>
                <w:w w:val="91"/>
              </w:rPr>
              <w:t>Delaware</w:t>
            </w:r>
          </w:p>
        </w:tc>
        <w:tc>
          <w:tcPr>
            <w:tcW w:w="2900" w:type="dxa"/>
            <w:vAlign w:val="bottom"/>
          </w:tcPr>
          <w:p>
            <w:pPr>
              <w:jc w:val="right"/>
              <w:ind w:right="139"/>
              <w:spacing w:after="0"/>
              <w:rPr>
                <w:sz w:val="20"/>
                <w:szCs w:val="20"/>
                <w:color w:val="auto"/>
              </w:rPr>
            </w:pPr>
            <w:r>
              <w:rPr>
                <w:rFonts w:ascii="Arial" w:cs="Arial" w:eastAsia="Arial" w:hAnsi="Arial"/>
                <w:sz w:val="16"/>
                <w:szCs w:val="16"/>
                <w:b w:val="1"/>
                <w:bCs w:val="1"/>
                <w:color w:val="auto"/>
              </w:rPr>
              <w:t>46-4841717</w:t>
            </w:r>
          </w:p>
        </w:tc>
      </w:tr>
      <w:tr>
        <w:trPr>
          <w:trHeight w:val="253"/>
        </w:trPr>
        <w:tc>
          <w:tcPr>
            <w:tcW w:w="3660" w:type="dxa"/>
            <w:vAlign w:val="bottom"/>
          </w:tcPr>
          <w:p>
            <w:pPr>
              <w:jc w:val="center"/>
              <w:ind w:right="1619"/>
              <w:spacing w:after="0"/>
              <w:rPr>
                <w:sz w:val="20"/>
                <w:szCs w:val="20"/>
                <w:color w:val="auto"/>
              </w:rPr>
            </w:pPr>
            <w:r>
              <w:rPr>
                <w:rFonts w:ascii="Arial" w:cs="Arial" w:eastAsia="Arial" w:hAnsi="Arial"/>
                <w:sz w:val="16"/>
                <w:szCs w:val="16"/>
                <w:color w:val="auto"/>
                <w:w w:val="93"/>
              </w:rPr>
              <w:t>(State or other jurisdiction of</w:t>
            </w:r>
          </w:p>
        </w:tc>
        <w:tc>
          <w:tcPr>
            <w:tcW w:w="2900" w:type="dxa"/>
            <w:vAlign w:val="bottom"/>
          </w:tcPr>
          <w:p>
            <w:pPr>
              <w:jc w:val="center"/>
              <w:ind w:left="1599"/>
              <w:spacing w:after="0"/>
              <w:rPr>
                <w:sz w:val="20"/>
                <w:szCs w:val="20"/>
                <w:color w:val="auto"/>
              </w:rPr>
            </w:pPr>
            <w:r>
              <w:rPr>
                <w:rFonts w:ascii="Arial" w:cs="Arial" w:eastAsia="Arial" w:hAnsi="Arial"/>
                <w:sz w:val="16"/>
                <w:szCs w:val="16"/>
                <w:color w:val="auto"/>
                <w:w w:val="93"/>
              </w:rPr>
              <w:t>(I.R.S. Employer</w:t>
            </w:r>
          </w:p>
        </w:tc>
      </w:tr>
      <w:tr>
        <w:trPr>
          <w:trHeight w:val="206"/>
        </w:trPr>
        <w:tc>
          <w:tcPr>
            <w:tcW w:w="3660" w:type="dxa"/>
            <w:vAlign w:val="bottom"/>
          </w:tcPr>
          <w:p>
            <w:pPr>
              <w:jc w:val="center"/>
              <w:ind w:right="1619"/>
              <w:spacing w:after="0"/>
              <w:rPr>
                <w:sz w:val="20"/>
                <w:szCs w:val="20"/>
                <w:color w:val="auto"/>
              </w:rPr>
            </w:pPr>
            <w:r>
              <w:rPr>
                <w:rFonts w:ascii="Arial" w:cs="Arial" w:eastAsia="Arial" w:hAnsi="Arial"/>
                <w:sz w:val="16"/>
                <w:szCs w:val="16"/>
                <w:color w:val="auto"/>
                <w:w w:val="94"/>
              </w:rPr>
              <w:t>incorporation or organization)</w:t>
            </w:r>
          </w:p>
        </w:tc>
        <w:tc>
          <w:tcPr>
            <w:tcW w:w="2900" w:type="dxa"/>
            <w:vAlign w:val="bottom"/>
          </w:tcPr>
          <w:p>
            <w:pPr>
              <w:jc w:val="center"/>
              <w:ind w:left="1599"/>
              <w:spacing w:after="0"/>
              <w:rPr>
                <w:sz w:val="20"/>
                <w:szCs w:val="20"/>
                <w:color w:val="auto"/>
              </w:rPr>
            </w:pPr>
            <w:r>
              <w:rPr>
                <w:rFonts w:ascii="Arial" w:cs="Arial" w:eastAsia="Arial" w:hAnsi="Arial"/>
                <w:sz w:val="16"/>
                <w:szCs w:val="16"/>
                <w:color w:val="auto"/>
                <w:w w:val="97"/>
              </w:rPr>
              <w:t>Identification No.)</w:t>
            </w:r>
          </w:p>
        </w:tc>
      </w:tr>
      <w:tr>
        <w:trPr>
          <w:trHeight w:val="540"/>
        </w:trPr>
        <w:tc>
          <w:tcPr>
            <w:tcW w:w="3660" w:type="dxa"/>
            <w:vAlign w:val="bottom"/>
          </w:tcPr>
          <w:p>
            <w:pPr>
              <w:jc w:val="center"/>
              <w:ind w:right="1599"/>
              <w:spacing w:after="0"/>
              <w:rPr>
                <w:sz w:val="20"/>
                <w:szCs w:val="20"/>
                <w:color w:val="auto"/>
              </w:rPr>
            </w:pPr>
            <w:r>
              <w:rPr>
                <w:rFonts w:ascii="Arial" w:cs="Arial" w:eastAsia="Arial" w:hAnsi="Arial"/>
                <w:sz w:val="16"/>
                <w:szCs w:val="16"/>
                <w:b w:val="1"/>
                <w:bCs w:val="1"/>
                <w:color w:val="auto"/>
                <w:w w:val="90"/>
              </w:rPr>
              <w:t>2435 Commerce Ave</w:t>
            </w:r>
          </w:p>
        </w:tc>
        <w:tc>
          <w:tcPr>
            <w:tcW w:w="2900" w:type="dxa"/>
            <w:vAlign w:val="bottom"/>
          </w:tcPr>
          <w:p>
            <w:pPr>
              <w:spacing w:after="0"/>
              <w:rPr>
                <w:sz w:val="24"/>
                <w:szCs w:val="24"/>
                <w:color w:val="auto"/>
              </w:rPr>
            </w:pPr>
          </w:p>
        </w:tc>
      </w:tr>
      <w:tr>
        <w:trPr>
          <w:trHeight w:val="270"/>
        </w:trPr>
        <w:tc>
          <w:tcPr>
            <w:tcW w:w="3660" w:type="dxa"/>
            <w:vAlign w:val="bottom"/>
          </w:tcPr>
          <w:p>
            <w:pPr>
              <w:jc w:val="center"/>
              <w:ind w:right="1619"/>
              <w:spacing w:after="0"/>
              <w:rPr>
                <w:sz w:val="20"/>
                <w:szCs w:val="20"/>
                <w:color w:val="auto"/>
              </w:rPr>
            </w:pPr>
            <w:r>
              <w:rPr>
                <w:rFonts w:ascii="Arial" w:cs="Arial" w:eastAsia="Arial" w:hAnsi="Arial"/>
                <w:sz w:val="16"/>
                <w:szCs w:val="16"/>
                <w:b w:val="1"/>
                <w:bCs w:val="1"/>
                <w:color w:val="auto"/>
                <w:w w:val="92"/>
              </w:rPr>
              <w:t>Building 2200</w:t>
            </w:r>
          </w:p>
        </w:tc>
        <w:tc>
          <w:tcPr>
            <w:tcW w:w="290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70"/>
        </w:trPr>
        <w:tc>
          <w:tcPr>
            <w:tcW w:w="3660" w:type="dxa"/>
            <w:vAlign w:val="bottom"/>
          </w:tcPr>
          <w:p>
            <w:pPr>
              <w:ind w:left="340"/>
              <w:spacing w:after="0"/>
              <w:rPr>
                <w:sz w:val="20"/>
                <w:szCs w:val="20"/>
                <w:color w:val="auto"/>
              </w:rPr>
            </w:pPr>
            <w:r>
              <w:rPr>
                <w:rFonts w:ascii="Arial" w:cs="Arial" w:eastAsia="Arial" w:hAnsi="Arial"/>
                <w:sz w:val="16"/>
                <w:szCs w:val="16"/>
                <w:b w:val="1"/>
                <w:bCs w:val="1"/>
                <w:color w:val="auto"/>
              </w:rPr>
              <w:t xml:space="preserve">Duluth </w:t>
            </w:r>
            <w:r>
              <w:rPr>
                <w:rFonts w:ascii="Arial" w:cs="Arial" w:eastAsia="Arial" w:hAnsi="Arial"/>
                <w:sz w:val="16"/>
                <w:szCs w:val="16"/>
                <w:color w:val="auto"/>
              </w:rPr>
              <w:t>,</w:t>
            </w:r>
            <w:r>
              <w:rPr>
                <w:rFonts w:ascii="Arial" w:cs="Arial" w:eastAsia="Arial" w:hAnsi="Arial"/>
                <w:sz w:val="16"/>
                <w:szCs w:val="16"/>
                <w:b w:val="1"/>
                <w:bCs w:val="1"/>
                <w:color w:val="auto"/>
              </w:rPr>
              <w:t xml:space="preserve"> Georgia</w:t>
            </w:r>
          </w:p>
        </w:tc>
        <w:tc>
          <w:tcPr>
            <w:tcW w:w="2900" w:type="dxa"/>
            <w:vAlign w:val="bottom"/>
          </w:tcPr>
          <w:p>
            <w:pPr>
              <w:jc w:val="center"/>
              <w:ind w:left="1619"/>
              <w:spacing w:after="0"/>
              <w:rPr>
                <w:sz w:val="20"/>
                <w:szCs w:val="20"/>
                <w:color w:val="auto"/>
              </w:rPr>
            </w:pPr>
            <w:r>
              <w:rPr>
                <w:rFonts w:ascii="Arial" w:cs="Arial" w:eastAsia="Arial" w:hAnsi="Arial"/>
                <w:sz w:val="16"/>
                <w:szCs w:val="16"/>
                <w:color w:val="auto"/>
                <w:w w:val="95"/>
              </w:rPr>
              <w:t>(Zip Code)</w:t>
            </w:r>
          </w:p>
        </w:tc>
      </w:tr>
    </w:tbl>
    <w:p>
      <w:pPr>
        <w:spacing w:after="0" w:line="6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(Address of principal executive offices)</w:t>
      </w:r>
    </w:p>
    <w:p>
      <w:pPr>
        <w:spacing w:after="0" w:line="42"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41"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94" w:lineRule="exact"/>
        <w:rPr>
          <w:sz w:val="24"/>
          <w:szCs w:val="24"/>
          <w:color w:val="auto"/>
        </w:rPr>
      </w:pPr>
    </w:p>
    <w:tbl>
      <w:tblPr>
        <w:tblLayout w:type="fixed"/>
        <w:tblInd w:w="920" w:type="dxa"/>
        <w:tblCellMar>
          <w:top w:w="0" w:type="dxa"/>
          <w:left w:w="0" w:type="dxa"/>
          <w:bottom w:w="0" w:type="dxa"/>
          <w:right w:w="0" w:type="dxa"/>
        </w:tblCellMar>
      </w:tblPr>
      <w:tr>
        <w:trPr>
          <w:trHeight w:val="210"/>
        </w:trPr>
        <w:tc>
          <w:tcPr>
            <w:tcW w:w="3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Title of each class</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Trading Symbol(s)</w:t>
            </w:r>
          </w:p>
        </w:tc>
        <w:tc>
          <w:tcPr>
            <w:tcW w:w="382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33"/>
        </w:trPr>
        <w:tc>
          <w:tcPr>
            <w:tcW w:w="3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17"/>
        </w:trPr>
        <w:tc>
          <w:tcPr>
            <w:tcW w:w="394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Common stock, par value $0.01 per share</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EYE</w:t>
            </w:r>
          </w:p>
        </w:tc>
        <w:tc>
          <w:tcPr>
            <w:tcW w:w="3820" w:type="dxa"/>
            <w:vAlign w:val="bottom"/>
          </w:tcPr>
          <w:p>
            <w:pPr>
              <w:jc w:val="center"/>
              <w:spacing w:after="0"/>
              <w:rPr>
                <w:sz w:val="20"/>
                <w:szCs w:val="20"/>
                <w:color w:val="auto"/>
              </w:rPr>
            </w:pPr>
            <w:r>
              <w:rPr>
                <w:rFonts w:ascii="Arial" w:cs="Arial" w:eastAsia="Arial" w:hAnsi="Arial"/>
                <w:sz w:val="16"/>
                <w:szCs w:val="16"/>
                <w:color w:val="auto"/>
                <w:w w:val="90"/>
              </w:rPr>
              <w:t>Nasdaq</w:t>
            </w:r>
          </w:p>
        </w:tc>
      </w:tr>
    </w:tbl>
    <w:p>
      <w:pPr>
        <w:spacing w:after="0" w:line="118" w:lineRule="exact"/>
        <w:rPr>
          <w:sz w:val="24"/>
          <w:szCs w:val="24"/>
          <w:color w:val="auto"/>
        </w:rPr>
      </w:pPr>
    </w:p>
    <w:p>
      <w:pPr>
        <w:ind w:right="140"/>
        <w:spacing w:after="0" w:line="249"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ind w:right="120"/>
        <w:spacing w:after="0" w:line="20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30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tbl>
      <w:tblPr>
        <w:tblLayout w:type="fixed"/>
        <w:tblInd w:w="760" w:type="dxa"/>
        <w:tblCellMar>
          <w:top w:w="0" w:type="dxa"/>
          <w:left w:w="0" w:type="dxa"/>
          <w:bottom w:w="0" w:type="dxa"/>
          <w:right w:w="0" w:type="dxa"/>
        </w:tblCellMar>
      </w:tblPr>
      <w:tr>
        <w:trPr>
          <w:trHeight w:val="277"/>
        </w:trPr>
        <w:tc>
          <w:tcPr>
            <w:tcW w:w="18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154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8"/>
        </w:trPr>
        <w:tc>
          <w:tcPr>
            <w:tcW w:w="1820" w:type="dxa"/>
            <w:vAlign w:val="bottom"/>
          </w:tcPr>
          <w:p>
            <w:pPr>
              <w:spacing w:after="0"/>
              <w:rPr>
                <w:sz w:val="20"/>
                <w:szCs w:val="20"/>
                <w:color w:val="auto"/>
              </w:rPr>
            </w:pPr>
            <w:r>
              <w:rPr>
                <w:rFonts w:ascii="Arial" w:cs="Arial" w:eastAsia="Arial" w:hAnsi="Arial"/>
                <w:sz w:val="16"/>
                <w:szCs w:val="16"/>
                <w:color w:val="auto"/>
              </w:rPr>
              <w:t>Non-accelerated filer</w:t>
            </w:r>
          </w:p>
        </w:tc>
        <w:tc>
          <w:tcPr>
            <w:tcW w:w="208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3560" w:type="dxa"/>
            <w:vAlign w:val="bottom"/>
          </w:tcPr>
          <w:p>
            <w:pPr>
              <w:ind w:left="154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8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560" w:type="dxa"/>
            <w:vAlign w:val="bottom"/>
          </w:tcPr>
          <w:p>
            <w:pPr>
              <w:ind w:left="154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ind w:right="160"/>
        <w:spacing w:after="0" w:line="19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3040"/>
        <w:spacing w:after="0" w:line="23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the number of shares outstanding of each of the issuer’s classes of common stock, as of the latest practicable date.</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400" w:type="dxa"/>
            <w:vAlign w:val="bottom"/>
            <w:gridSpan w:val="2"/>
          </w:tcPr>
          <w:p>
            <w:pPr>
              <w:ind w:left="40"/>
              <w:spacing w:after="0"/>
              <w:rPr>
                <w:sz w:val="20"/>
                <w:szCs w:val="20"/>
                <w:color w:val="auto"/>
              </w:rPr>
            </w:pPr>
            <w:r>
              <w:rPr>
                <w:rFonts w:ascii="Arial" w:cs="Arial" w:eastAsia="Arial" w:hAnsi="Arial"/>
                <w:sz w:val="16"/>
                <w:szCs w:val="16"/>
                <w:b w:val="1"/>
                <w:bCs w:val="1"/>
                <w:color w:val="auto"/>
              </w:rPr>
              <w:t>Class</w:t>
            </w:r>
          </w:p>
        </w:tc>
        <w:tc>
          <w:tcPr>
            <w:tcW w:w="5020" w:type="dxa"/>
            <w:vAlign w:val="bottom"/>
          </w:tcPr>
          <w:p>
            <w:pPr>
              <w:ind w:left="40"/>
              <w:spacing w:after="0"/>
              <w:rPr>
                <w:sz w:val="20"/>
                <w:szCs w:val="20"/>
                <w:color w:val="auto"/>
              </w:rPr>
            </w:pPr>
            <w:r>
              <w:rPr>
                <w:rFonts w:ascii="Arial" w:cs="Arial" w:eastAsia="Arial" w:hAnsi="Arial"/>
                <w:sz w:val="16"/>
                <w:szCs w:val="16"/>
                <w:b w:val="1"/>
                <w:bCs w:val="1"/>
                <w:color w:val="auto"/>
              </w:rPr>
              <w:t>Outstanding at July 31, 2019</w:t>
            </w:r>
          </w:p>
        </w:tc>
      </w:tr>
      <w:tr>
        <w:trPr>
          <w:trHeight w:val="33"/>
        </w:trPr>
        <w:tc>
          <w:tcPr>
            <w:tcW w:w="492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1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Common stock, $0.01 par value</w:t>
            </w:r>
          </w:p>
        </w:tc>
        <w:tc>
          <w:tcPr>
            <w:tcW w:w="5020" w:type="dxa"/>
            <w:vAlign w:val="bottom"/>
          </w:tcPr>
          <w:p>
            <w:pPr>
              <w:ind w:left="40"/>
              <w:spacing w:after="0"/>
              <w:rPr>
                <w:sz w:val="20"/>
                <w:szCs w:val="20"/>
                <w:color w:val="auto"/>
              </w:rPr>
            </w:pPr>
            <w:r>
              <w:rPr>
                <w:rFonts w:ascii="Arial" w:cs="Arial" w:eastAsia="Arial" w:hAnsi="Arial"/>
                <w:sz w:val="16"/>
                <w:szCs w:val="16"/>
                <w:color w:val="auto"/>
              </w:rPr>
              <w:t>78,524,731</w:t>
            </w:r>
          </w:p>
        </w:tc>
      </w:tr>
      <w:tr>
        <w:trPr>
          <w:trHeight w:val="168"/>
        </w:trPr>
        <w:tc>
          <w:tcPr>
            <w:tcW w:w="49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5020" w:type="dxa"/>
            <w:vAlign w:val="bottom"/>
            <w:tcBorders>
              <w:bottom w:val="single" w:sz="8" w:color="auto"/>
            </w:tcBorders>
          </w:tcPr>
          <w:p>
            <w:pPr>
              <w:spacing w:after="0"/>
              <w:rPr>
                <w:sz w:val="14"/>
                <w:szCs w:val="14"/>
                <w:color w:val="auto"/>
              </w:rPr>
            </w:pPr>
          </w:p>
        </w:tc>
      </w:tr>
      <w:tr>
        <w:trPr>
          <w:trHeight w:val="122"/>
        </w:trPr>
        <w:tc>
          <w:tcPr>
            <w:tcW w:w="49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50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616"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20"/>
          <w:szCs w:val="20"/>
          <w:b w:val="1"/>
          <w:bCs w:val="1"/>
          <w:color w:val="auto"/>
        </w:rPr>
        <w:t>NATIONAL VISION HOLDINGS, INC. AND SUBSIDIARIES</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8"/>
                <w:szCs w:val="18"/>
                <w:color w:val="auto"/>
              </w:rPr>
              <w:t>Page</w:t>
            </w:r>
          </w:p>
        </w:tc>
      </w:tr>
      <w:tr>
        <w:trPr>
          <w:trHeight w:val="230"/>
        </w:trPr>
        <w:tc>
          <w:tcPr>
            <w:tcW w:w="920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SPECIAL NOTE REGARDING FORWARD-LOOKING STATEMENTS</w:t>
              </w:r>
            </w:hyperlink>
          </w:p>
        </w:tc>
        <w:tc>
          <w:tcPr>
            <w:tcW w:w="180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22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Part I – Financial Information</w:t>
              </w:r>
            </w:hyperlink>
          </w:p>
        </w:tc>
        <w:tc>
          <w:tcPr>
            <w:tcW w:w="3120" w:type="dxa"/>
            <w:vAlign w:val="bottom"/>
            <w:tcBorders>
              <w:top w:val="single" w:sz="8" w:color="0000EE"/>
            </w:tcBorders>
            <w:gridSpan w:val="8"/>
          </w:tcPr>
          <w:p>
            <w:pPr>
              <w:spacing w:after="0"/>
              <w:rPr>
                <w:sz w:val="21"/>
                <w:szCs w:val="21"/>
                <w:color w:val="auto"/>
              </w:rPr>
            </w:pPr>
          </w:p>
        </w:tc>
        <w:tc>
          <w:tcPr>
            <w:tcW w:w="3880" w:type="dxa"/>
            <w:vAlign w:val="bottom"/>
            <w:gridSpan w:val="6"/>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77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180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2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Balance Sheets</w:t>
              </w:r>
            </w:hyperlink>
          </w:p>
        </w:tc>
        <w:tc>
          <w:tcPr>
            <w:tcW w:w="4840" w:type="dxa"/>
            <w:vAlign w:val="bottom"/>
            <w:gridSpan w:val="8"/>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72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Operations and Comprehensive Income</w:t>
              </w:r>
            </w:hyperlink>
          </w:p>
        </w:tc>
        <w:tc>
          <w:tcPr>
            <w:tcW w:w="2040" w:type="dxa"/>
            <w:vAlign w:val="bottom"/>
            <w:gridSpan w:val="2"/>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76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Stockholders’ Equity</w:t>
              </w:r>
            </w:hyperlink>
          </w:p>
        </w:tc>
        <w:tc>
          <w:tcPr>
            <w:tcW w:w="180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7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Cash Flows</w:t>
              </w:r>
            </w:hyperlink>
          </w:p>
        </w:tc>
        <w:tc>
          <w:tcPr>
            <w:tcW w:w="660" w:type="dxa"/>
            <w:vAlign w:val="bottom"/>
            <w:tcBorders>
              <w:top w:val="single" w:sz="8" w:color="0000EE"/>
            </w:tcBorders>
            <w:gridSpan w:val="4"/>
          </w:tcPr>
          <w:p>
            <w:pPr>
              <w:spacing w:after="0"/>
              <w:rPr>
                <w:sz w:val="21"/>
                <w:szCs w:val="21"/>
                <w:color w:val="auto"/>
              </w:rPr>
            </w:pPr>
          </w:p>
        </w:tc>
        <w:tc>
          <w:tcPr>
            <w:tcW w:w="3380" w:type="dxa"/>
            <w:vAlign w:val="bottom"/>
            <w:gridSpan w:val="3"/>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3760" w:type="dxa"/>
            <w:vAlign w:val="bottom"/>
            <w:gridSpan w:val="5"/>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776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180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120" w:type="dxa"/>
            <w:vAlign w:val="bottom"/>
            <w:tcBorders>
              <w:left w:val="single" w:sz="8" w:color="0000EE"/>
            </w:tcBorders>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3.</w:t>
              </w:r>
            </w:hyperlink>
          </w:p>
        </w:tc>
        <w:tc>
          <w:tcPr>
            <w:tcW w:w="7760" w:type="dxa"/>
            <w:vAlign w:val="bottom"/>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c>
          <w:tcPr>
            <w:tcW w:w="180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420" w:type="dxa"/>
            <w:vAlign w:val="bottom"/>
            <w:tcBorders>
              <w:left w:val="single" w:sz="8" w:color="0000EE"/>
            </w:tcBorders>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4.</w:t>
              </w:r>
            </w:hyperlink>
          </w:p>
        </w:tc>
        <w:tc>
          <w:tcPr>
            <w:tcW w:w="7760" w:type="dxa"/>
            <w:vAlign w:val="bottom"/>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180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940" w:type="dxa"/>
            <w:vAlign w:val="bottom"/>
            <w:gridSpan w:val="5"/>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Part II – Other Information</w:t>
              </w:r>
            </w:hyperlink>
          </w:p>
        </w:tc>
        <w:tc>
          <w:tcPr>
            <w:tcW w:w="7260" w:type="dxa"/>
            <w:vAlign w:val="bottom"/>
            <w:gridSpan w:val="16"/>
          </w:tcPr>
          <w:p>
            <w:pPr>
              <w:spacing w:after="0"/>
              <w:rPr>
                <w:sz w:val="21"/>
                <w:szCs w:val="21"/>
                <w:color w:val="auto"/>
              </w:rPr>
            </w:pPr>
          </w:p>
        </w:tc>
        <w:tc>
          <w:tcPr>
            <w:tcW w:w="180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4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1.</w:t>
              </w:r>
            </w:hyperlink>
          </w:p>
        </w:tc>
        <w:tc>
          <w:tcPr>
            <w:tcW w:w="7760" w:type="dxa"/>
            <w:vAlign w:val="bottom"/>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180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40" w:type="dxa"/>
            <w:vAlign w:val="bottom"/>
            <w:gridSpan w:val="2"/>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Item 1A.</w:t>
              </w:r>
            </w:hyperlink>
          </w:p>
        </w:tc>
        <w:tc>
          <w:tcPr>
            <w:tcW w:w="360" w:type="dxa"/>
            <w:vAlign w:val="bottom"/>
          </w:tcPr>
          <w:p>
            <w:pPr>
              <w:spacing w:after="0"/>
              <w:rPr>
                <w:sz w:val="21"/>
                <w:szCs w:val="21"/>
                <w:color w:val="auto"/>
              </w:rPr>
            </w:pPr>
          </w:p>
        </w:tc>
        <w:tc>
          <w:tcPr>
            <w:tcW w:w="7760" w:type="dxa"/>
            <w:vAlign w:val="bottom"/>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Risk Factors</w:t>
              </w:r>
            </w:hyperlink>
          </w:p>
        </w:tc>
        <w:tc>
          <w:tcPr>
            <w:tcW w:w="1800" w:type="dxa"/>
            <w:vAlign w:val="bottom"/>
            <w:gridSpan w:val="3"/>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20"/>
        </w:trPr>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40" w:type="dxa"/>
            <w:vAlign w:val="bottom"/>
            <w:gridSpan w:val="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2.</w:t>
              </w:r>
            </w:hyperlink>
          </w:p>
        </w:tc>
        <w:tc>
          <w:tcPr>
            <w:tcW w:w="360" w:type="dxa"/>
            <w:vAlign w:val="bottom"/>
          </w:tcPr>
          <w:p>
            <w:pPr>
              <w:spacing w:after="0"/>
              <w:rPr>
                <w:sz w:val="21"/>
                <w:szCs w:val="21"/>
                <w:color w:val="auto"/>
              </w:rPr>
            </w:pPr>
          </w:p>
        </w:tc>
        <w:tc>
          <w:tcPr>
            <w:tcW w:w="7760" w:type="dxa"/>
            <w:vAlign w:val="bottom"/>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Unregistered Sales of Equity Securities and Use of Proceeds</w:t>
              </w:r>
            </w:hyperlink>
          </w:p>
        </w:tc>
        <w:tc>
          <w:tcPr>
            <w:tcW w:w="1800" w:type="dxa"/>
            <w:vAlign w:val="bottom"/>
            <w:gridSpan w:val="3"/>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3.</w:t>
              </w:r>
            </w:hyperlink>
          </w:p>
        </w:tc>
        <w:tc>
          <w:tcPr>
            <w:tcW w:w="776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Defaults Upon Senior Securities</w:t>
              </w:r>
            </w:hyperlink>
          </w:p>
        </w:tc>
        <w:tc>
          <w:tcPr>
            <w:tcW w:w="1800" w:type="dxa"/>
            <w:vAlign w:val="bottom"/>
            <w:gridSpan w:val="3"/>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5440" w:type="dxa"/>
            <w:vAlign w:val="bottom"/>
            <w:gridSpan w:val="1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4.</w:t>
              </w:r>
            </w:hyperlink>
          </w:p>
        </w:tc>
        <w:tc>
          <w:tcPr>
            <w:tcW w:w="776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Mine Safety Disclosures</w:t>
              </w:r>
            </w:hyperlink>
          </w:p>
        </w:tc>
        <w:tc>
          <w:tcPr>
            <w:tcW w:w="1800" w:type="dxa"/>
            <w:vAlign w:val="bottom"/>
            <w:gridSpan w:val="3"/>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000" w:type="dxa"/>
            <w:vAlign w:val="bottom"/>
            <w:gridSpan w:val="11"/>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5.</w:t>
              </w:r>
            </w:hyperlink>
          </w:p>
        </w:tc>
        <w:tc>
          <w:tcPr>
            <w:tcW w:w="776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1800" w:type="dxa"/>
            <w:vAlign w:val="bottom"/>
            <w:gridSpan w:val="3"/>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40" w:type="dxa"/>
            <w:vAlign w:val="bottom"/>
            <w:gridSpan w:val="1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6.</w:t>
              </w:r>
            </w:hyperlink>
          </w:p>
        </w:tc>
        <w:tc>
          <w:tcPr>
            <w:tcW w:w="7760" w:type="dxa"/>
            <w:vAlign w:val="bottom"/>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1800" w:type="dxa"/>
            <w:vAlign w:val="bottom"/>
            <w:gridSpan w:val="3"/>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47</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0" w:type="dxa"/>
            <w:vAlign w:val="bottom"/>
            <w:gridSpan w:val="1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EE"/>
                <w:w w:val="83"/>
              </w:rPr>
            </w:pPr>
            <w:hyperlink w:anchor="page49">
              <w:r>
                <w:rPr>
                  <w:rFonts w:ascii="Arial" w:cs="Arial" w:eastAsia="Arial" w:hAnsi="Arial"/>
                  <w:sz w:val="18"/>
                  <w:szCs w:val="18"/>
                  <w:color w:val="0000EE"/>
                  <w:w w:val="83"/>
                </w:rPr>
                <w:t>Signatures</w:t>
              </w:r>
            </w:hyperlink>
          </w:p>
        </w:tc>
        <w:tc>
          <w:tcPr>
            <w:tcW w:w="7000" w:type="dxa"/>
            <w:vAlign w:val="bottom"/>
            <w:gridSpan w:val="14"/>
          </w:tcPr>
          <w:p>
            <w:pPr>
              <w:spacing w:after="0"/>
              <w:rPr>
                <w:sz w:val="21"/>
                <w:szCs w:val="21"/>
                <w:color w:val="auto"/>
              </w:rPr>
            </w:pPr>
          </w:p>
        </w:tc>
        <w:tc>
          <w:tcPr>
            <w:tcW w:w="1800" w:type="dxa"/>
            <w:vAlign w:val="bottom"/>
            <w:gridSpan w:val="3"/>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48</w:t>
              </w:r>
            </w:hyperlink>
          </w:p>
        </w:tc>
      </w:tr>
      <w:tr>
        <w:trPr>
          <w:trHeight w:val="20"/>
        </w:trPr>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000"/>
          </w:cols>
          <w:pgMar w:left="460" w:top="387"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Quarterly Report on Form 10-Q (this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are a number of risks, uncertainties and other important factors, many of which are beyond our control, that could cause our actual results to differ materially from the forward-looking statements contained in this Form 10-Q. Such risks, uncertainties and other important factors that could cause actual results to differ include, among others, the risks, uncertainties and factors set forth in Part I, Item 1A - “Risk Factors” in the Company’s Annual Report on Form 10-K for the year ended December 29, 2018 (the “Annual Report”), as filed with the Securities and Exchange Commission (the “SEC”), as such risk factors may be updated from time to time in our periodic filings with the SEC, which are accessible on the SEC’s website at www.sec.gov, and also include the following:</w:t>
      </w:r>
    </w:p>
    <w:p>
      <w:pPr>
        <w:spacing w:after="0" w:line="85"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open and operate new stores in a timely and cost-effective manner, and to successfully enter new markets;</w:t>
      </w:r>
    </w:p>
    <w:p>
      <w:pPr>
        <w:spacing w:after="0" w:line="23"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maintain relationships with managed vision care companies, vision insurance providers and other third-party payors;</w:t>
      </w:r>
    </w:p>
    <w:p>
      <w:pPr>
        <w:spacing w:after="0" w:line="20" w:lineRule="exact"/>
        <w:rPr>
          <w:rFonts w:ascii="Arial" w:cs="Arial" w:eastAsia="Arial" w:hAnsi="Arial"/>
          <w:sz w:val="17"/>
          <w:szCs w:val="17"/>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current operating relationships with our host and legacy partners;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grow;</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or disruption in the operations of, one or more of our distribution centers and/or optical laboratories;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spending affecting consumer purchases;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limited number of suppliers;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vendors’ ability to safeguard personal information and payment card data;</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failure, inadequacy, interruption, security failure or breach of our information technology systems;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strategy straining our existing resources and causing the performance of our existing stores to suffer;</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our existing senior management team and attract qualified new personnel;</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wage rate increases, inflation, cost increases and increases in raw material prices and energy prices;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marketing, advertising and promotional efforts;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leasing substantial amounts of space;</w:t>
      </w:r>
    </w:p>
    <w:p>
      <w:pPr>
        <w:spacing w:after="0" w:line="9" w:lineRule="exact"/>
        <w:rPr>
          <w:rFonts w:ascii="Arial" w:cs="Arial" w:eastAsia="Arial" w:hAnsi="Arial"/>
          <w:sz w:val="18"/>
          <w:szCs w:val="18"/>
          <w:color w:val="auto"/>
        </w:rPr>
      </w:pPr>
    </w:p>
    <w:p>
      <w:pPr>
        <w:ind w:left="180" w:hanging="172"/>
        <w:spacing w:after="0" w:line="250"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liability, product recall or personal injury issues;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managed vision care laws and regulations;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reimbursement for a portion of our revenues;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inventory balances and inventory shrinkage;</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seasonal fluctuations in our operating results and inventory levels;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losses arising from our investments in technological innovators in the optical retail industry;</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comply with, or changes in, laws, regulations, enforcement activities and other requirements;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any adverse litigation judgments or settlements resulting from legal proceedings relating to our business operations;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leverage;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53" w:right="239" w:bottom="1440" w:gutter="0" w:footer="0" w:header="0"/>
        </w:sectPr>
      </w:pPr>
    </w:p>
    <w:bookmarkStart w:id="3" w:name="page4"/>
    <w:bookmarkEnd w:id="3"/>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in our credit agreement that limits our flexibility in operating our business;</w:t>
      </w:r>
    </w:p>
    <w:p>
      <w:pPr>
        <w:spacing w:after="0" w:line="23"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generate sufficient cash flow to satisfy our significant debt service obligations;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subsidiaries to fund all of our operations and expenses;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maintaining the requirements of being a public company;</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requirements to maintain effective internal controls; and</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owning our common stock.</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10-Q apply only as of the date of this Form 10-Q or as of the date they were made and, except as required by applicable law, we undertake no obligation to publicly update or revise any forward-looking statement, whether as a result of new information, future developments or otherwise.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references to “we,” “us,” “our,” or the “Company” in this Form 10-Q mean National Vision Holdings, Inc. and its subsidiaries, unless the context otherwise requires. References to “eye care practitioners” in this Form 10-Q mean optometrists and ophthalmologists and references to “vision care professionals” mean optometrists (including optometrists employed by us or by professional corporations owned by eye care practitioners with which we have arrangements) and opticians.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use our website www.nationalvision.com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In addition, you may automatically receive e-mail alerts and other information about Nation Vision Holdings, Inc. when you enroll your e-mail address by visiting the “Email Alerts” page of the Investor Resources section of our website at www.nationalvision.com/investors. The contents of our website are not, however, a part of this Form 10-Q.</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PART I – FINANCIAL INFORMATION</w:t>
            </w: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280" w:type="dxa"/>
            <w:vAlign w:val="bottom"/>
          </w:tcPr>
          <w:p>
            <w:pPr>
              <w:spacing w:after="0"/>
              <w:rPr>
                <w:sz w:val="24"/>
                <w:szCs w:val="24"/>
                <w:color w:val="auto"/>
              </w:rPr>
            </w:pPr>
          </w:p>
        </w:tc>
        <w:tc>
          <w:tcPr>
            <w:tcW w:w="6260" w:type="dxa"/>
            <w:vAlign w:val="bottom"/>
            <w:gridSpan w:val="2"/>
          </w:tcPr>
          <w:p>
            <w:pPr>
              <w:jc w:val="center"/>
              <w:ind w:left="251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260" w:type="dxa"/>
            <w:vAlign w:val="bottom"/>
            <w:gridSpan w:val="2"/>
          </w:tcPr>
          <w:p>
            <w:pPr>
              <w:jc w:val="center"/>
              <w:ind w:left="25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6260" w:type="dxa"/>
            <w:vAlign w:val="bottom"/>
            <w:gridSpan w:val="2"/>
          </w:tcPr>
          <w:p>
            <w:pPr>
              <w:jc w:val="center"/>
              <w:ind w:left="2530"/>
              <w:spacing w:after="0"/>
              <w:rPr>
                <w:sz w:val="20"/>
                <w:szCs w:val="20"/>
                <w:color w:val="auto"/>
              </w:rPr>
            </w:pPr>
            <w:r>
              <w:rPr>
                <w:rFonts w:ascii="Arial" w:cs="Arial" w:eastAsia="Arial" w:hAnsi="Arial"/>
                <w:sz w:val="18"/>
                <w:szCs w:val="18"/>
                <w:b w:val="1"/>
                <w:bCs w:val="1"/>
                <w:color w:val="auto"/>
                <w:w w:val="89"/>
              </w:rPr>
              <w:t>As of June 29, 2019 and December 29, 2018</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5700" w:type="dxa"/>
            <w:vAlign w:val="bottom"/>
          </w:tcPr>
          <w:p>
            <w:pPr>
              <w:jc w:val="center"/>
              <w:ind w:left="3090"/>
              <w:spacing w:after="0"/>
              <w:rPr>
                <w:sz w:val="20"/>
                <w:szCs w:val="20"/>
                <w:color w:val="auto"/>
              </w:rPr>
            </w:pPr>
            <w:r>
              <w:rPr>
                <w:rFonts w:ascii="Arial" w:cs="Arial" w:eastAsia="Arial" w:hAnsi="Arial"/>
                <w:sz w:val="18"/>
                <w:szCs w:val="18"/>
                <w:i w:val="1"/>
                <w:iCs w:val="1"/>
                <w:color w:val="auto"/>
                <w:w w:val="89"/>
              </w:rPr>
              <w:t>In Thousands, Except Par Value</w:t>
            </w:r>
          </w:p>
        </w:tc>
        <w:tc>
          <w:tcPr>
            <w:tcW w:w="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5700" w:type="dxa"/>
            <w:vAlign w:val="bottom"/>
          </w:tcPr>
          <w:p>
            <w:pPr>
              <w:jc w:val="center"/>
              <w:ind w:left="3070"/>
              <w:spacing w:after="0"/>
              <w:rPr>
                <w:sz w:val="20"/>
                <w:szCs w:val="20"/>
                <w:color w:val="auto"/>
              </w:rPr>
            </w:pPr>
            <w:r>
              <w:rPr>
                <w:rFonts w:ascii="Arial" w:cs="Arial" w:eastAsia="Arial" w:hAnsi="Arial"/>
                <w:sz w:val="18"/>
                <w:szCs w:val="18"/>
                <w:b w:val="1"/>
                <w:bCs w:val="1"/>
                <w:color w:val="auto"/>
                <w:w w:val="93"/>
              </w:rPr>
              <w:t>(Unaudited)</w:t>
            </w:r>
          </w:p>
        </w:tc>
        <w:tc>
          <w:tcPr>
            <w:tcW w:w="5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9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560" w:type="dxa"/>
            <w:vAlign w:val="bottom"/>
          </w:tcPr>
          <w:p>
            <w:pPr>
              <w:spacing w:after="0"/>
              <w:rPr>
                <w:sz w:val="24"/>
                <w:szCs w:val="24"/>
                <w:color w:val="auto"/>
              </w:rPr>
            </w:pPr>
          </w:p>
        </w:tc>
        <w:tc>
          <w:tcPr>
            <w:tcW w:w="1720" w:type="dxa"/>
            <w:vAlign w:val="bottom"/>
            <w:gridSpan w:val="2"/>
          </w:tcPr>
          <w:p>
            <w:pPr>
              <w:jc w:val="center"/>
              <w:ind w:right="680"/>
              <w:spacing w:after="0"/>
              <w:rPr>
                <w:sz w:val="20"/>
                <w:szCs w:val="20"/>
                <w:color w:val="auto"/>
              </w:rPr>
            </w:pPr>
            <w:r>
              <w:rPr>
                <w:rFonts w:ascii="Arial" w:cs="Arial" w:eastAsia="Arial" w:hAnsi="Arial"/>
                <w:sz w:val="18"/>
                <w:szCs w:val="18"/>
                <w:color w:val="auto"/>
                <w:w w:val="97"/>
              </w:rPr>
              <w:t>As of</w:t>
            </w:r>
          </w:p>
        </w:tc>
        <w:tc>
          <w:tcPr>
            <w:tcW w:w="24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698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1720" w:type="dxa"/>
            <w:vAlign w:val="bottom"/>
            <w:gridSpan w:val="2"/>
          </w:tcPr>
          <w:p>
            <w:pPr>
              <w:jc w:val="center"/>
              <w:ind w:right="680"/>
              <w:spacing w:after="0"/>
              <w:rPr>
                <w:sz w:val="20"/>
                <w:szCs w:val="20"/>
                <w:color w:val="auto"/>
              </w:rPr>
            </w:pPr>
            <w:r>
              <w:rPr>
                <w:rFonts w:ascii="Arial" w:cs="Arial" w:eastAsia="Arial" w:hAnsi="Arial"/>
                <w:sz w:val="18"/>
                <w:szCs w:val="18"/>
                <w:color w:val="auto"/>
                <w:w w:val="87"/>
              </w:rPr>
              <w:t>June 29, 2019</w:t>
            </w:r>
          </w:p>
        </w:tc>
        <w:tc>
          <w:tcPr>
            <w:tcW w:w="2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w w:val="96"/>
              </w:rPr>
              <w:t>December 29, 2018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5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82,779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17,132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5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50,735</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Inventories</w:t>
            </w:r>
          </w:p>
        </w:tc>
        <w:tc>
          <w:tcPr>
            <w:tcW w:w="5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105,660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116,022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30,815</w:t>
            </w:r>
          </w:p>
        </w:tc>
        <w:tc>
          <w:tcPr>
            <w:tcW w:w="0" w:type="dxa"/>
            <w:vAlign w:val="bottom"/>
          </w:tcPr>
          <w:p>
            <w:pPr>
              <w:spacing w:after="0"/>
              <w:rPr>
                <w:sz w:val="1"/>
                <w:szCs w:val="1"/>
                <w:color w:val="auto"/>
              </w:rPr>
            </w:pPr>
          </w:p>
        </w:tc>
      </w:tr>
      <w:tr>
        <w:trPr>
          <w:trHeight w:val="237"/>
        </w:trPr>
        <w:tc>
          <w:tcPr>
            <w:tcW w:w="6980" w:type="dxa"/>
            <w:vAlign w:val="bottom"/>
            <w:gridSpan w:val="2"/>
          </w:tcPr>
          <w:p>
            <w:pPr>
              <w:ind w:left="500"/>
              <w:spacing w:after="0"/>
              <w:rPr>
                <w:sz w:val="20"/>
                <w:szCs w:val="20"/>
                <w:color w:val="auto"/>
              </w:rPr>
            </w:pPr>
            <w:r>
              <w:rPr>
                <w:rFonts w:ascii="Arial" w:cs="Arial" w:eastAsia="Arial" w:hAnsi="Arial"/>
                <w:sz w:val="18"/>
                <w:szCs w:val="18"/>
                <w:color w:val="auto"/>
              </w:rPr>
              <w:t>Total current assets</w:t>
            </w:r>
          </w:p>
        </w:tc>
        <w:tc>
          <w:tcPr>
            <w:tcW w:w="5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270,894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214,704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80" w:type="dxa"/>
            <w:vAlign w:val="bottom"/>
            <w:shd w:val="clear" w:color="auto" w:fill="CCEEFF"/>
          </w:tcPr>
          <w:p>
            <w:pPr>
              <w:spacing w:after="0"/>
              <w:rPr>
                <w:sz w:val="23"/>
                <w:szCs w:val="23"/>
                <w:color w:val="auto"/>
              </w:rPr>
            </w:pPr>
          </w:p>
        </w:tc>
        <w:tc>
          <w:tcPr>
            <w:tcW w:w="57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5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380,002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355,117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5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777,613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777,613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5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240,547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Other intangible assets, net</w:t>
            </w:r>
          </w:p>
        </w:tc>
        <w:tc>
          <w:tcPr>
            <w:tcW w:w="5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60,641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64,532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Right of use assets</w:t>
            </w:r>
          </w:p>
        </w:tc>
        <w:tc>
          <w:tcPr>
            <w:tcW w:w="5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335,874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Other assets</w:t>
            </w:r>
          </w:p>
        </w:tc>
        <w:tc>
          <w:tcPr>
            <w:tcW w:w="5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6,265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8,876</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5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1,800,942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1,446,685</w:t>
            </w: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2,071,836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1,661,389</w:t>
            </w:r>
          </w:p>
        </w:tc>
        <w:tc>
          <w:tcPr>
            <w:tcW w:w="0" w:type="dxa"/>
            <w:vAlign w:val="bottom"/>
          </w:tcPr>
          <w:p>
            <w:pPr>
              <w:spacing w:after="0"/>
              <w:rPr>
                <w:sz w:val="1"/>
                <w:szCs w:val="1"/>
                <w:color w:val="auto"/>
              </w:rPr>
            </w:pPr>
          </w:p>
        </w:tc>
      </w:tr>
      <w:tr>
        <w:trPr>
          <w:trHeight w:val="67"/>
        </w:trPr>
        <w:tc>
          <w:tcPr>
            <w:tcW w:w="1280" w:type="dxa"/>
            <w:vAlign w:val="bottom"/>
            <w:tcBorders>
              <w:bottom w:val="single" w:sz="8" w:color="CCEEFF"/>
            </w:tcBorders>
          </w:tcPr>
          <w:p>
            <w:pPr>
              <w:spacing w:after="0"/>
              <w:rPr>
                <w:sz w:val="5"/>
                <w:szCs w:val="5"/>
                <w:color w:val="auto"/>
              </w:rPr>
            </w:pPr>
          </w:p>
        </w:tc>
        <w:tc>
          <w:tcPr>
            <w:tcW w:w="57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5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5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43,642</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Other payables and accrued expenses</w:t>
            </w:r>
          </w:p>
        </w:tc>
        <w:tc>
          <w:tcPr>
            <w:tcW w:w="5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92,473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81,004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Unearned revenue</w:t>
            </w:r>
          </w:p>
        </w:tc>
        <w:tc>
          <w:tcPr>
            <w:tcW w:w="5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27,295</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Deferred revenue</w:t>
            </w:r>
          </w:p>
        </w:tc>
        <w:tc>
          <w:tcPr>
            <w:tcW w:w="5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56,371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52,144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5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7,567</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Current operating lease obligations</w:t>
            </w:r>
          </w:p>
        </w:tc>
        <w:tc>
          <w:tcPr>
            <w:tcW w:w="5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57,323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5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288,279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211,652</w:t>
            </w: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5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5"/>
              </w:rPr>
              <w:t>Long-term debt and finance lease obligations, less current portion and debt discount</w:t>
            </w:r>
          </w:p>
        </w:tc>
        <w:tc>
          <w:tcPr>
            <w:tcW w:w="5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579,087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570,545</w:t>
            </w: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b w:val="1"/>
                <w:bCs w:val="1"/>
                <w:color w:val="auto"/>
              </w:rPr>
              <w:t>Non-current operating lease obligations</w:t>
            </w:r>
          </w:p>
        </w:tc>
        <w:tc>
          <w:tcPr>
            <w:tcW w:w="5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320,754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5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Deferred revenue</w:t>
            </w:r>
          </w:p>
        </w:tc>
        <w:tc>
          <w:tcPr>
            <w:tcW w:w="5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21,711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20,134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5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53,964</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Deferred income taxes, net</w:t>
            </w:r>
          </w:p>
        </w:tc>
        <w:tc>
          <w:tcPr>
            <w:tcW w:w="5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69,089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61,940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other non-current liabilities</w:t>
            </w:r>
          </w:p>
        </w:tc>
        <w:tc>
          <w:tcPr>
            <w:tcW w:w="5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109,282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136,038</w:t>
            </w: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Commitments and contingencies (See Note 8)</w:t>
            </w:r>
          </w:p>
        </w:tc>
        <w:tc>
          <w:tcPr>
            <w:tcW w:w="5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5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ind w:left="280"/>
              <w:spacing w:after="0"/>
              <w:rPr>
                <w:sz w:val="20"/>
                <w:szCs w:val="20"/>
                <w:color w:val="auto"/>
              </w:rPr>
            </w:pPr>
            <w:r>
              <w:rPr>
                <w:rFonts w:ascii="Arial" w:cs="Arial" w:eastAsia="Arial" w:hAnsi="Arial"/>
                <w:sz w:val="18"/>
                <w:szCs w:val="18"/>
                <w:color w:val="auto"/>
                <w:w w:val="95"/>
              </w:rPr>
              <w:t>Common stock, $0.01 par value; 200,000 shares authorized; 78,563 and 78,246 shares</w:t>
            </w:r>
          </w:p>
        </w:tc>
        <w:tc>
          <w:tcPr>
            <w:tcW w:w="5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280"/>
              <w:spacing w:after="0"/>
              <w:rPr>
                <w:sz w:val="20"/>
                <w:szCs w:val="20"/>
                <w:color w:val="auto"/>
              </w:rPr>
            </w:pPr>
            <w:r>
              <w:rPr>
                <w:rFonts w:ascii="Arial" w:cs="Arial" w:eastAsia="Arial" w:hAnsi="Arial"/>
                <w:sz w:val="18"/>
                <w:szCs w:val="18"/>
                <w:color w:val="auto"/>
                <w:w w:val="90"/>
              </w:rPr>
              <w:t>issued as of June 29, 2019 and December 29, 2018, respectively; 78,484 and 78,167 shares</w:t>
            </w:r>
          </w:p>
        </w:tc>
        <w:tc>
          <w:tcPr>
            <w:tcW w:w="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outstanding as of June 29, 2019 and December 29, 2018, respectively</w:t>
            </w:r>
          </w:p>
        </w:tc>
        <w:tc>
          <w:tcPr>
            <w:tcW w:w="56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5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679,216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672,503</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loss</w:t>
            </w:r>
          </w:p>
        </w:tc>
        <w:tc>
          <w:tcPr>
            <w:tcW w:w="5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(5,427)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5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102,020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74,840</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Arial" w:cs="Arial" w:eastAsia="Arial" w:hAnsi="Arial"/>
                <w:sz w:val="18"/>
                <w:szCs w:val="18"/>
                <w:color w:val="auto"/>
              </w:rPr>
              <w:t>Treasury stock, at cost; 79 shares as of June 29, 2019 and December 29, 2018</w:t>
            </w:r>
          </w:p>
        </w:tc>
        <w:tc>
          <w:tcPr>
            <w:tcW w:w="5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5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774,434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743,154</w:t>
            </w: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2,071,836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1,661,389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7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08" w:right="239" w:bottom="179"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7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785"/>
        </w:trPr>
        <w:tc>
          <w:tcPr>
            <w:tcW w:w="128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442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540" w:type="dxa"/>
            <w:vAlign w:val="bottom"/>
            <w:gridSpan w:val="11"/>
          </w:tcPr>
          <w:p>
            <w:pPr>
              <w:jc w:val="center"/>
              <w:ind w:left="230"/>
              <w:spacing w:after="0"/>
              <w:rPr>
                <w:sz w:val="20"/>
                <w:szCs w:val="20"/>
                <w:color w:val="auto"/>
              </w:rPr>
            </w:pPr>
            <w:r>
              <w:rPr>
                <w:rFonts w:ascii="Arial" w:cs="Arial" w:eastAsia="Arial" w:hAnsi="Arial"/>
                <w:sz w:val="18"/>
                <w:szCs w:val="18"/>
                <w:b w:val="1"/>
                <w:bCs w:val="1"/>
                <w:color w:val="auto"/>
                <w:w w:val="88"/>
              </w:rPr>
              <w:t>Condensed Consolidated Statements of Operations and Comprehensive Income</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7140" w:type="dxa"/>
            <w:vAlign w:val="bottom"/>
            <w:gridSpan w:val="9"/>
          </w:tcPr>
          <w:p>
            <w:pPr>
              <w:jc w:val="center"/>
              <w:ind w:left="1630"/>
              <w:spacing w:after="0"/>
              <w:rPr>
                <w:sz w:val="20"/>
                <w:szCs w:val="20"/>
                <w:color w:val="auto"/>
              </w:rPr>
            </w:pPr>
            <w:r>
              <w:rPr>
                <w:rFonts w:ascii="Arial" w:cs="Arial" w:eastAsia="Arial" w:hAnsi="Arial"/>
                <w:sz w:val="18"/>
                <w:szCs w:val="18"/>
                <w:b w:val="1"/>
                <w:bCs w:val="1"/>
                <w:color w:val="auto"/>
                <w:w w:val="90"/>
              </w:rPr>
              <w:t>For the Three and Six Months Ended June 29, 2019 and June 30, 2018</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2"/>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20" w:type="dxa"/>
            <w:vAlign w:val="bottom"/>
            <w:gridSpan w:val="7"/>
          </w:tcPr>
          <w:p>
            <w:pPr>
              <w:jc w:val="center"/>
              <w:ind w:right="400"/>
              <w:spacing w:after="0"/>
              <w:rPr>
                <w:sz w:val="20"/>
                <w:szCs w:val="20"/>
                <w:color w:val="auto"/>
              </w:rPr>
            </w:pPr>
            <w:r>
              <w:rPr>
                <w:rFonts w:ascii="Arial" w:cs="Arial" w:eastAsia="Arial" w:hAnsi="Arial"/>
                <w:sz w:val="18"/>
                <w:szCs w:val="18"/>
                <w:i w:val="1"/>
                <w:iCs w:val="1"/>
                <w:color w:val="auto"/>
                <w:w w:val="89"/>
              </w:rPr>
              <w:t>In Thousands, Except Earnings Per Share</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20" w:type="dxa"/>
            <w:vAlign w:val="bottom"/>
            <w:gridSpan w:val="5"/>
          </w:tcPr>
          <w:p>
            <w:pPr>
              <w:ind w:left="70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24"/>
                <w:szCs w:val="24"/>
                <w:color w:val="auto"/>
              </w:rPr>
            </w:pPr>
          </w:p>
        </w:tc>
        <w:tc>
          <w:tcPr>
            <w:tcW w:w="3000" w:type="dxa"/>
            <w:vAlign w:val="bottom"/>
            <w:gridSpan w:val="4"/>
          </w:tcPr>
          <w:p>
            <w:pPr>
              <w:jc w:val="right"/>
              <w:ind w:right="870"/>
              <w:spacing w:after="0"/>
              <w:rPr>
                <w:sz w:val="20"/>
                <w:szCs w:val="20"/>
                <w:color w:val="auto"/>
              </w:rPr>
            </w:pPr>
            <w:r>
              <w:rPr>
                <w:rFonts w:ascii="Arial" w:cs="Arial" w:eastAsia="Arial" w:hAnsi="Arial"/>
                <w:sz w:val="18"/>
                <w:szCs w:val="18"/>
                <w:color w:val="auto"/>
              </w:rPr>
              <w:t>Six Months Ended</w:t>
            </w:r>
          </w:p>
        </w:tc>
      </w:tr>
      <w:tr>
        <w:trPr>
          <w:trHeight w:val="27"/>
        </w:trPr>
        <w:tc>
          <w:tcPr>
            <w:tcW w:w="1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June 29, 2019</w:t>
            </w:r>
          </w:p>
        </w:tc>
        <w:tc>
          <w:tcPr>
            <w:tcW w:w="20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June 30, 2018</w:t>
            </w:r>
          </w:p>
        </w:tc>
        <w:tc>
          <w:tcPr>
            <w:tcW w:w="3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June 29, 2019</w:t>
            </w:r>
          </w:p>
        </w:tc>
        <w:tc>
          <w:tcPr>
            <w:tcW w:w="2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w w:val="92"/>
              </w:rPr>
              <w:t>June 30, 2018</w:t>
            </w:r>
          </w:p>
        </w:tc>
      </w:tr>
      <w:tr>
        <w:trPr>
          <w:trHeight w:val="27"/>
        </w:trPr>
        <w:tc>
          <w:tcPr>
            <w:tcW w:w="128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gridSpan w:val="2"/>
          </w:tcPr>
          <w:p>
            <w:pPr>
              <w:ind w:left="280"/>
              <w:spacing w:after="0"/>
              <w:rPr>
                <w:sz w:val="20"/>
                <w:szCs w:val="20"/>
                <w:color w:val="auto"/>
              </w:rPr>
            </w:pPr>
            <w:r>
              <w:rPr>
                <w:rFonts w:ascii="Arial" w:cs="Arial" w:eastAsia="Arial" w:hAnsi="Arial"/>
                <w:sz w:val="18"/>
                <w:szCs w:val="18"/>
                <w:color w:val="auto"/>
              </w:rPr>
              <w:t>Net product sales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357,533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319,408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740,693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658,185</w:t>
            </w:r>
          </w:p>
        </w:tc>
      </w:tr>
      <w:tr>
        <w:trPr>
          <w:trHeight w:val="27"/>
        </w:trPr>
        <w:tc>
          <w:tcPr>
            <w:tcW w:w="1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sales of services and plans</w:t>
            </w:r>
          </w:p>
        </w:tc>
        <w:tc>
          <w:tcPr>
            <w:tcW w:w="10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149,973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135,322</w:t>
            </w:r>
          </w:p>
        </w:tc>
      </w:tr>
      <w:tr>
        <w:trPr>
          <w:trHeight w:val="237"/>
        </w:trPr>
        <w:tc>
          <w:tcPr>
            <w:tcW w:w="3700" w:type="dxa"/>
            <w:vAlign w:val="bottom"/>
            <w:gridSpan w:val="2"/>
          </w:tcPr>
          <w:p>
            <w:pPr>
              <w:ind w:left="380"/>
              <w:spacing w:after="0"/>
              <w:rPr>
                <w:sz w:val="20"/>
                <w:szCs w:val="20"/>
                <w:color w:val="auto"/>
              </w:rPr>
            </w:pPr>
            <w:r>
              <w:rPr>
                <w:rFonts w:ascii="Arial" w:cs="Arial" w:eastAsia="Arial" w:hAnsi="Arial"/>
                <w:sz w:val="18"/>
                <w:szCs w:val="18"/>
                <w:color w:val="auto"/>
              </w:rPr>
              <w:t>Total net revenue</w:t>
            </w:r>
          </w:p>
        </w:tc>
        <w:tc>
          <w:tcPr>
            <w:tcW w:w="10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429,451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385,532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890,666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793,507</w:t>
            </w:r>
          </w:p>
        </w:tc>
      </w:tr>
      <w:tr>
        <w:trPr>
          <w:trHeight w:val="27"/>
        </w:trPr>
        <w:tc>
          <w:tcPr>
            <w:tcW w:w="128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5"/>
        </w:trPr>
        <w:tc>
          <w:tcPr>
            <w:tcW w:w="490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w w:val="96"/>
              </w:rPr>
              <w:t>Costs applicable to revenue (exclusive of depreciation and</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1"/>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w:t>
            </w:r>
          </w:p>
        </w:tc>
        <w:tc>
          <w:tcPr>
            <w:tcW w:w="10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3700" w:type="dxa"/>
            <w:vAlign w:val="bottom"/>
            <w:gridSpan w:val="2"/>
          </w:tcPr>
          <w:p>
            <w:pPr>
              <w:ind w:left="280"/>
              <w:spacing w:after="0"/>
              <w:rPr>
                <w:sz w:val="20"/>
                <w:szCs w:val="20"/>
                <w:color w:val="auto"/>
              </w:rPr>
            </w:pPr>
            <w:r>
              <w:rPr>
                <w:rFonts w:ascii="Arial" w:cs="Arial" w:eastAsia="Arial" w:hAnsi="Arial"/>
                <w:sz w:val="18"/>
                <w:szCs w:val="18"/>
                <w:color w:val="auto"/>
              </w:rPr>
              <w:t>Products</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145,654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127,731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299,658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258,609</w:t>
            </w:r>
          </w:p>
        </w:tc>
      </w:tr>
      <w:tr>
        <w:trPr>
          <w:trHeight w:val="27"/>
        </w:trPr>
        <w:tc>
          <w:tcPr>
            <w:tcW w:w="1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Services and plans</w:t>
            </w:r>
          </w:p>
        </w:tc>
        <w:tc>
          <w:tcPr>
            <w:tcW w:w="10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56,852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98,904</w:t>
            </w:r>
          </w:p>
        </w:tc>
      </w:tr>
      <w:tr>
        <w:trPr>
          <w:trHeight w:val="237"/>
        </w:trPr>
        <w:tc>
          <w:tcPr>
            <w:tcW w:w="3700" w:type="dxa"/>
            <w:vAlign w:val="bottom"/>
            <w:gridSpan w:val="2"/>
          </w:tcPr>
          <w:p>
            <w:pPr>
              <w:ind w:left="380"/>
              <w:spacing w:after="0"/>
              <w:rPr>
                <w:sz w:val="20"/>
                <w:szCs w:val="20"/>
                <w:color w:val="auto"/>
              </w:rPr>
            </w:pPr>
            <w:r>
              <w:rPr>
                <w:rFonts w:ascii="Arial" w:cs="Arial" w:eastAsia="Arial" w:hAnsi="Arial"/>
                <w:sz w:val="18"/>
                <w:szCs w:val="18"/>
                <w:color w:val="auto"/>
              </w:rPr>
              <w:t>Total costs applicable to revenue</w:t>
            </w:r>
          </w:p>
        </w:tc>
        <w:tc>
          <w:tcPr>
            <w:tcW w:w="10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202,506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177,059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414,475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357,513</w:t>
            </w:r>
          </w:p>
        </w:tc>
      </w:tr>
      <w:tr>
        <w:trPr>
          <w:trHeight w:val="27"/>
        </w:trPr>
        <w:tc>
          <w:tcPr>
            <w:tcW w:w="1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gridSpan w:val="2"/>
          </w:tcPr>
          <w:p>
            <w:pPr>
              <w:ind w:left="280"/>
              <w:spacing w:after="0"/>
              <w:rPr>
                <w:sz w:val="20"/>
                <w:szCs w:val="20"/>
                <w:color w:val="auto"/>
              </w:rPr>
            </w:pPr>
            <w:r>
              <w:rPr>
                <w:rFonts w:ascii="Arial" w:cs="Arial" w:eastAsia="Arial" w:hAnsi="Arial"/>
                <w:sz w:val="18"/>
                <w:szCs w:val="18"/>
                <w:color w:val="auto"/>
                <w:w w:val="95"/>
              </w:rPr>
              <w:t>Selling, general and administrative expenses</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182,278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165,627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376,154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336,316</w:t>
            </w:r>
          </w:p>
        </w:tc>
      </w:tr>
      <w:tr>
        <w:trPr>
          <w:trHeight w:val="27"/>
        </w:trPr>
        <w:tc>
          <w:tcPr>
            <w:tcW w:w="1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35,439</w:t>
            </w:r>
          </w:p>
        </w:tc>
      </w:tr>
      <w:tr>
        <w:trPr>
          <w:trHeight w:val="243"/>
        </w:trPr>
        <w:tc>
          <w:tcPr>
            <w:tcW w:w="3700" w:type="dxa"/>
            <w:vAlign w:val="bottom"/>
            <w:gridSpan w:val="2"/>
          </w:tcPr>
          <w:p>
            <w:pPr>
              <w:ind w:left="280"/>
              <w:spacing w:after="0"/>
              <w:rPr>
                <w:sz w:val="20"/>
                <w:szCs w:val="20"/>
                <w:color w:val="auto"/>
              </w:rPr>
            </w:pPr>
            <w:r>
              <w:rPr>
                <w:rFonts w:ascii="Arial" w:cs="Arial" w:eastAsia="Arial" w:hAnsi="Arial"/>
                <w:sz w:val="18"/>
                <w:szCs w:val="18"/>
                <w:color w:val="auto"/>
              </w:rPr>
              <w:t>Asset impairment</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expense, net</w:t>
            </w:r>
          </w:p>
        </w:tc>
        <w:tc>
          <w:tcPr>
            <w:tcW w:w="10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r>
      <w:tr>
        <w:trPr>
          <w:trHeight w:val="237"/>
        </w:trPr>
        <w:tc>
          <w:tcPr>
            <w:tcW w:w="370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10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205,243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183,500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422,089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372,173</w:t>
            </w:r>
          </w:p>
        </w:tc>
      </w:tr>
      <w:tr>
        <w:trPr>
          <w:trHeight w:val="27"/>
        </w:trPr>
        <w:tc>
          <w:tcPr>
            <w:tcW w:w="128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63,821</w:t>
            </w:r>
          </w:p>
        </w:tc>
      </w:tr>
      <w:tr>
        <w:trPr>
          <w:trHeight w:val="243"/>
        </w:trPr>
        <w:tc>
          <w:tcPr>
            <w:tcW w:w="3700" w:type="dxa"/>
            <w:vAlign w:val="bottom"/>
            <w:gridSpan w:val="2"/>
          </w:tcPr>
          <w:p>
            <w:pPr>
              <w:ind w:left="280"/>
              <w:spacing w:after="0"/>
              <w:rPr>
                <w:sz w:val="20"/>
                <w:szCs w:val="20"/>
                <w:color w:val="auto"/>
              </w:rPr>
            </w:pPr>
            <w:r>
              <w:rPr>
                <w:rFonts w:ascii="Arial" w:cs="Arial" w:eastAsia="Arial" w:hAnsi="Arial"/>
                <w:sz w:val="18"/>
                <w:szCs w:val="18"/>
                <w:color w:val="auto"/>
              </w:rPr>
              <w:t>Interest expense, net</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8,968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9,424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18,029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18,737</w:t>
            </w:r>
          </w:p>
        </w:tc>
      </w:tr>
      <w:tr>
        <w:trPr>
          <w:trHeight w:val="27"/>
        </w:trPr>
        <w:tc>
          <w:tcPr>
            <w:tcW w:w="128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45,084</w:t>
            </w:r>
          </w:p>
        </w:tc>
      </w:tr>
      <w:tr>
        <w:trPr>
          <w:trHeight w:val="243"/>
        </w:trPr>
        <w:tc>
          <w:tcPr>
            <w:tcW w:w="3700" w:type="dxa"/>
            <w:vAlign w:val="bottom"/>
            <w:gridSpan w:val="2"/>
          </w:tcPr>
          <w:p>
            <w:pPr>
              <w:ind w:left="40"/>
              <w:spacing w:after="0"/>
              <w:rPr>
                <w:sz w:val="20"/>
                <w:szCs w:val="20"/>
                <w:color w:val="auto"/>
              </w:rPr>
            </w:pPr>
            <w:r>
              <w:rPr>
                <w:rFonts w:ascii="Arial" w:cs="Arial" w:eastAsia="Arial" w:hAnsi="Arial"/>
                <w:sz w:val="18"/>
                <w:szCs w:val="18"/>
                <w:color w:val="auto"/>
              </w:rPr>
              <w:t>Income tax provision</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3,082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8,162</w:t>
            </w:r>
          </w:p>
        </w:tc>
      </w:tr>
      <w:tr>
        <w:trPr>
          <w:trHeight w:val="27"/>
        </w:trPr>
        <w:tc>
          <w:tcPr>
            <w:tcW w:w="128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3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10,257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12,467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27,686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36,922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12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50"/>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0.49</w:t>
            </w:r>
          </w:p>
        </w:tc>
      </w:tr>
      <w:tr>
        <w:trPr>
          <w:trHeight w:val="27"/>
        </w:trPr>
        <w:tc>
          <w:tcPr>
            <w:tcW w:w="1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0.47</w:t>
            </w:r>
          </w:p>
        </w:tc>
      </w:tr>
      <w:tr>
        <w:trPr>
          <w:trHeight w:val="243"/>
        </w:trPr>
        <w:tc>
          <w:tcPr>
            <w:tcW w:w="370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78,318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74,983</w:t>
            </w:r>
          </w:p>
        </w:tc>
      </w:tr>
      <w:tr>
        <w:trPr>
          <w:trHeight w:val="243"/>
        </w:trPr>
        <w:tc>
          <w:tcPr>
            <w:tcW w:w="370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81,424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77,858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81,437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77,879</w:t>
            </w:r>
          </w:p>
        </w:tc>
      </w:tr>
      <w:tr>
        <w:trPr>
          <w:trHeight w:val="27"/>
        </w:trPr>
        <w:tc>
          <w:tcPr>
            <w:tcW w:w="1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370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36,922</w:t>
            </w:r>
          </w:p>
        </w:tc>
      </w:tr>
      <w:tr>
        <w:trPr>
          <w:trHeight w:val="243"/>
        </w:trPr>
        <w:tc>
          <w:tcPr>
            <w:tcW w:w="3700" w:type="dxa"/>
            <w:vAlign w:val="bottom"/>
            <w:gridSpan w:val="2"/>
          </w:tcPr>
          <w:p>
            <w:pPr>
              <w:ind w:left="280"/>
              <w:spacing w:after="0"/>
              <w:rPr>
                <w:sz w:val="20"/>
                <w:szCs w:val="20"/>
                <w:color w:val="auto"/>
              </w:rPr>
            </w:pPr>
            <w:r>
              <w:rPr>
                <w:rFonts w:ascii="Arial" w:cs="Arial" w:eastAsia="Arial" w:hAnsi="Arial"/>
                <w:sz w:val="18"/>
                <w:szCs w:val="18"/>
                <w:color w:val="auto"/>
                <w:w w:val="96"/>
              </w:rPr>
              <w:t>Unrealized gain (loss) on hedge instruments</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9,575</w:t>
            </w:r>
          </w:p>
        </w:tc>
      </w:tr>
      <w:tr>
        <w:trPr>
          <w:trHeight w:val="27"/>
        </w:trPr>
        <w:tc>
          <w:tcPr>
            <w:tcW w:w="128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49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Tax provision (benefit) of unrealized gain (loss) on hedge</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57"/>
        </w:trPr>
        <w:tc>
          <w:tcPr>
            <w:tcW w:w="3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instruments</w:t>
            </w:r>
          </w:p>
        </w:tc>
        <w:tc>
          <w:tcPr>
            <w:tcW w:w="10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2,453</w:t>
            </w:r>
          </w:p>
        </w:tc>
      </w:tr>
      <w:tr>
        <w:trPr>
          <w:trHeight w:val="257"/>
        </w:trPr>
        <w:tc>
          <w:tcPr>
            <w:tcW w:w="370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10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8,587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14,965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25,069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44,044</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8" w:right="239" w:bottom="1440" w:gutter="0" w:footer="0" w:header="0"/>
        </w:sectPr>
      </w:pPr>
    </w:p>
    <w:bookmarkStart w:id="6" w:name="page7"/>
    <w:bookmarkEnd w:id="6"/>
    <w:p>
      <w:pPr>
        <w:spacing w:after="0" w:line="196" w:lineRule="auto"/>
        <w:framePr w:w="180" w:h="160" w:wrap="auto" w:vAnchor="page" w:hAnchor="page" w:x="5860" w:y="14295"/>
        <w:rPr>
          <w:rFonts w:ascii="Arial" w:cs="Arial" w:eastAsia="Arial" w:hAnsi="Arial"/>
          <w:sz w:val="17"/>
          <w:szCs w:val="17"/>
          <w:color w:val="auto"/>
        </w:rPr>
      </w:pPr>
      <w:r>
        <w:rPr>
          <w:rFonts w:ascii="Arial" w:cs="Arial" w:eastAsia="Arial" w:hAnsi="Arial"/>
          <w:sz w:val="17"/>
          <w:szCs w:val="17"/>
          <w:color w:val="auto"/>
        </w:rPr>
        <w:t>7</w:t>
      </w:r>
    </w:p>
    <w:tbl>
      <w:tblPr>
        <w:tblLayout w:type="fixed"/>
        <w:tblInd w:w="0" w:type="dxa"/>
        <w:tblCellMar>
          <w:top w:w="0" w:type="dxa"/>
          <w:left w:w="0" w:type="dxa"/>
          <w:bottom w:w="0" w:type="dxa"/>
          <w:right w:w="0" w:type="dxa"/>
        </w:tblCellMar>
      </w:tblPr>
      <w:tr>
        <w:trPr>
          <w:trHeight w:val="207"/>
        </w:trPr>
        <w:tc>
          <w:tcPr>
            <w:tcW w:w="34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5"/>
        </w:trPr>
        <w:tc>
          <w:tcPr>
            <w:tcW w:w="1280" w:type="dxa"/>
            <w:vAlign w:val="bottom"/>
            <w:tcBorders>
              <w:top w:val="single" w:sz="8" w:color="0000EE"/>
            </w:tcBorders>
          </w:tcPr>
          <w:p>
            <w:pPr>
              <w:spacing w:after="0"/>
              <w:rPr>
                <w:sz w:val="24"/>
                <w:szCs w:val="24"/>
                <w:color w:val="auto"/>
              </w:rPr>
            </w:pPr>
          </w:p>
        </w:tc>
        <w:tc>
          <w:tcPr>
            <w:tcW w:w="2160" w:type="dxa"/>
            <w:vAlign w:val="bottom"/>
          </w:tcPr>
          <w:p>
            <w:pPr>
              <w:spacing w:after="0"/>
              <w:rPr>
                <w:sz w:val="24"/>
                <w:szCs w:val="24"/>
                <w:color w:val="auto"/>
              </w:rPr>
            </w:pPr>
          </w:p>
        </w:tc>
        <w:tc>
          <w:tcPr>
            <w:tcW w:w="4560" w:type="dxa"/>
            <w:vAlign w:val="bottom"/>
            <w:gridSpan w:val="7"/>
          </w:tcPr>
          <w:p>
            <w:pPr>
              <w:jc w:val="center"/>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880" w:type="dxa"/>
            <w:vAlign w:val="bottom"/>
            <w:gridSpan w:val="9"/>
          </w:tcPr>
          <w:p>
            <w:pPr>
              <w:jc w:val="center"/>
              <w:ind w:left="1890"/>
              <w:spacing w:after="0"/>
              <w:rPr>
                <w:sz w:val="20"/>
                <w:szCs w:val="20"/>
                <w:color w:val="auto"/>
              </w:rPr>
            </w:pPr>
            <w:r>
              <w:rPr>
                <w:rFonts w:ascii="Arial" w:cs="Arial" w:eastAsia="Arial" w:hAnsi="Arial"/>
                <w:sz w:val="18"/>
                <w:szCs w:val="18"/>
                <w:b w:val="1"/>
                <w:bCs w:val="1"/>
                <w:color w:val="auto"/>
                <w:w w:val="88"/>
              </w:rPr>
              <w:t>Condensed Consolidated Statements of Stockholders' Equity</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7760" w:type="dxa"/>
            <w:vAlign w:val="bottom"/>
            <w:gridSpan w:val="10"/>
          </w:tcPr>
          <w:p>
            <w:pPr>
              <w:jc w:val="center"/>
              <w:ind w:left="1010"/>
              <w:spacing w:after="0"/>
              <w:rPr>
                <w:sz w:val="20"/>
                <w:szCs w:val="20"/>
                <w:color w:val="auto"/>
              </w:rPr>
            </w:pPr>
            <w:r>
              <w:rPr>
                <w:rFonts w:ascii="Arial" w:cs="Arial" w:eastAsia="Arial" w:hAnsi="Arial"/>
                <w:sz w:val="18"/>
                <w:szCs w:val="18"/>
                <w:b w:val="1"/>
                <w:bCs w:val="1"/>
                <w:color w:val="auto"/>
                <w:w w:val="90"/>
              </w:rPr>
              <w:t>For the Three and Six Months Ended June 29, 2019 and June 30, 2018</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3"/>
          </w:tcPr>
          <w:p>
            <w:pPr>
              <w:jc w:val="center"/>
              <w:ind w:left="350"/>
              <w:spacing w:after="0"/>
              <w:rPr>
                <w:sz w:val="20"/>
                <w:szCs w:val="20"/>
                <w:color w:val="auto"/>
              </w:rPr>
            </w:pPr>
            <w:r>
              <w:rPr>
                <w:rFonts w:ascii="Arial" w:cs="Arial" w:eastAsia="Arial" w:hAnsi="Arial"/>
                <w:sz w:val="18"/>
                <w:szCs w:val="18"/>
                <w:i w:val="1"/>
                <w:iCs w:val="1"/>
                <w:color w:val="auto"/>
                <w:w w:val="89"/>
              </w:rPr>
              <w:t>In Thousands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gridSpan w:val="5"/>
          </w:tcPr>
          <w:p>
            <w:pPr>
              <w:jc w:val="right"/>
              <w:spacing w:after="0"/>
              <w:rPr>
                <w:sz w:val="20"/>
                <w:szCs w:val="20"/>
                <w:color w:val="auto"/>
              </w:rPr>
            </w:pPr>
            <w:r>
              <w:rPr>
                <w:rFonts w:ascii="Arial" w:cs="Arial" w:eastAsia="Arial" w:hAnsi="Arial"/>
                <w:sz w:val="18"/>
                <w:szCs w:val="18"/>
                <w:color w:val="auto"/>
                <w:w w:val="97"/>
              </w:rPr>
              <w:t>Three and Six Months Ended June 29, 2019</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940" w:type="dxa"/>
            <w:vAlign w:val="bottom"/>
            <w:gridSpan w:val="3"/>
            <w:vMerge w:val="restart"/>
          </w:tcPr>
          <w:p>
            <w:pPr>
              <w:jc w:val="right"/>
              <w:ind w:right="31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940" w:type="dxa"/>
            <w:vAlign w:val="bottom"/>
            <w:tcBorders>
              <w:bottom w:val="single" w:sz="8" w:color="auto"/>
            </w:tcBorders>
            <w:gridSpan w:val="3"/>
            <w:vMerge w:val="continue"/>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8"/>
              </w:rPr>
              <w:t>Additional</w:t>
            </w:r>
          </w:p>
        </w:tc>
        <w:tc>
          <w:tcPr>
            <w:tcW w:w="22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color w:val="auto"/>
                <w:w w:val="93"/>
              </w:rPr>
              <w:t>Other</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94"/>
              </w:rPr>
              <w:t>Paid-In</w:t>
            </w:r>
          </w:p>
        </w:tc>
        <w:tc>
          <w:tcPr>
            <w:tcW w:w="220" w:type="dxa"/>
            <w:vAlign w:val="bottom"/>
          </w:tcPr>
          <w:p>
            <w:pPr>
              <w:spacing w:after="0"/>
              <w:rPr>
                <w:sz w:val="16"/>
                <w:szCs w:val="16"/>
                <w:color w:val="auto"/>
              </w:rPr>
            </w:pPr>
          </w:p>
        </w:tc>
        <w:tc>
          <w:tcPr>
            <w:tcW w:w="142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0"/>
              </w:rPr>
              <w:t>Comprehensive</w:t>
            </w:r>
          </w:p>
        </w:tc>
        <w:tc>
          <w:tcPr>
            <w:tcW w:w="160" w:type="dxa"/>
            <w:vAlign w:val="bottom"/>
          </w:tcPr>
          <w:p>
            <w:pPr>
              <w:spacing w:after="0"/>
              <w:rPr>
                <w:sz w:val="16"/>
                <w:szCs w:val="16"/>
                <w:color w:val="auto"/>
              </w:rPr>
            </w:pPr>
          </w:p>
        </w:tc>
        <w:tc>
          <w:tcPr>
            <w:tcW w:w="88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91"/>
              </w:rPr>
              <w:t>Retained</w:t>
            </w:r>
          </w:p>
        </w:tc>
        <w:tc>
          <w:tcPr>
            <w:tcW w:w="140" w:type="dxa"/>
            <w:vAlign w:val="bottom"/>
          </w:tcPr>
          <w:p>
            <w:pPr>
              <w:spacing w:after="0"/>
              <w:rPr>
                <w:sz w:val="16"/>
                <w:szCs w:val="16"/>
                <w:color w:val="auto"/>
              </w:rPr>
            </w:pPr>
          </w:p>
        </w:tc>
        <w:tc>
          <w:tcPr>
            <w:tcW w:w="86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0"/>
              </w:rPr>
              <w:t>Treasury</w:t>
            </w:r>
          </w:p>
        </w:tc>
        <w:tc>
          <w:tcPr>
            <w:tcW w:w="160" w:type="dxa"/>
            <w:vAlign w:val="bottom"/>
          </w:tcPr>
          <w:p>
            <w:pPr>
              <w:spacing w:after="0"/>
              <w:rPr>
                <w:sz w:val="16"/>
                <w:szCs w:val="16"/>
                <w:color w:val="auto"/>
              </w:rPr>
            </w:pPr>
          </w:p>
        </w:tc>
        <w:tc>
          <w:tcPr>
            <w:tcW w:w="122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91"/>
              </w:rPr>
              <w:t>Stockholders'</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w w:val="93"/>
              </w:rPr>
              <w:t>Amount</w:t>
            </w:r>
          </w:p>
        </w:tc>
        <w:tc>
          <w:tcPr>
            <w:tcW w:w="180" w:type="dxa"/>
            <w:vAlign w:val="bottom"/>
          </w:tcPr>
          <w:p>
            <w:pPr>
              <w:spacing w:after="0"/>
              <w:rPr>
                <w:sz w:val="20"/>
                <w:szCs w:val="20"/>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92"/>
              </w:rPr>
              <w:t>Capital</w:t>
            </w:r>
          </w:p>
        </w:tc>
        <w:tc>
          <w:tcPr>
            <w:tcW w:w="22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color w:val="auto"/>
                <w:w w:val="89"/>
              </w:rPr>
              <w:t>Loss</w:t>
            </w:r>
          </w:p>
        </w:tc>
        <w:tc>
          <w:tcPr>
            <w:tcW w:w="16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w w:val="92"/>
              </w:rPr>
              <w:t>Earnings</w:t>
            </w:r>
          </w:p>
        </w:tc>
        <w:tc>
          <w:tcPr>
            <w:tcW w:w="14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Arial" w:cs="Arial" w:eastAsia="Arial" w:hAnsi="Arial"/>
                <w:sz w:val="18"/>
                <w:szCs w:val="18"/>
                <w:color w:val="auto"/>
                <w:w w:val="88"/>
              </w:rPr>
              <w:t>Stock</w:t>
            </w:r>
          </w:p>
        </w:tc>
        <w:tc>
          <w:tcPr>
            <w:tcW w:w="16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Balances at December 29, 2018</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78,167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672,503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74,840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743,154</w:t>
            </w:r>
          </w:p>
        </w:tc>
        <w:tc>
          <w:tcPr>
            <w:tcW w:w="0" w:type="dxa"/>
            <w:vAlign w:val="bottom"/>
          </w:tcPr>
          <w:p>
            <w:pPr>
              <w:spacing w:after="0"/>
              <w:rPr>
                <w:sz w:val="1"/>
                <w:szCs w:val="1"/>
                <w:color w:val="auto"/>
              </w:rPr>
            </w:pPr>
          </w:p>
        </w:tc>
      </w:tr>
      <w:tr>
        <w:trPr>
          <w:trHeight w:val="229"/>
        </w:trPr>
        <w:tc>
          <w:tcPr>
            <w:tcW w:w="3440" w:type="dxa"/>
            <w:vAlign w:val="bottom"/>
            <w:gridSpan w:val="2"/>
          </w:tcPr>
          <w:p>
            <w:pPr>
              <w:ind w:left="180"/>
              <w:spacing w:after="0"/>
              <w:rPr>
                <w:sz w:val="20"/>
                <w:szCs w:val="20"/>
                <w:color w:val="auto"/>
              </w:rPr>
            </w:pPr>
            <w:r>
              <w:rPr>
                <w:rFonts w:ascii="Arial" w:cs="Arial" w:eastAsia="Arial" w:hAnsi="Arial"/>
                <w:sz w:val="18"/>
                <w:szCs w:val="18"/>
                <w:color w:val="auto"/>
                <w:w w:val="96"/>
              </w:rPr>
              <w:t>Cumulative effect of change in accounting</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principle</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2"/>
              </w:rPr>
              <w:t>Balances at December 30, 2018 - as adjusted</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78,167</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672,503</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74,334</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742,648</w:t>
            </w:r>
          </w:p>
        </w:tc>
        <w:tc>
          <w:tcPr>
            <w:tcW w:w="0" w:type="dxa"/>
            <w:vAlign w:val="bottom"/>
          </w:tcPr>
          <w:p>
            <w:pPr>
              <w:spacing w:after="0"/>
              <w:rPr>
                <w:sz w:val="1"/>
                <w:szCs w:val="1"/>
                <w:color w:val="auto"/>
              </w:rPr>
            </w:pPr>
          </w:p>
        </w:tc>
      </w:tr>
      <w:tr>
        <w:trPr>
          <w:trHeight w:val="243"/>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Issuance of common stock</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29"/>
        </w:trPr>
        <w:tc>
          <w:tcPr>
            <w:tcW w:w="3440" w:type="dxa"/>
            <w:vAlign w:val="bottom"/>
            <w:gridSpan w:val="2"/>
          </w:tcPr>
          <w:p>
            <w:pPr>
              <w:ind w:left="180"/>
              <w:spacing w:after="0"/>
              <w:rPr>
                <w:sz w:val="20"/>
                <w:szCs w:val="20"/>
                <w:color w:val="auto"/>
              </w:rPr>
            </w:pPr>
            <w:r>
              <w:rPr>
                <w:rFonts w:ascii="Arial" w:cs="Arial" w:eastAsia="Arial" w:hAnsi="Arial"/>
                <w:sz w:val="18"/>
                <w:szCs w:val="18"/>
                <w:color w:val="auto"/>
                <w:w w:val="90"/>
              </w:rPr>
              <w:t>Unrealized gain (loss) on hedge instruments,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net of tax</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(947)</w:t>
            </w:r>
          </w:p>
        </w:tc>
        <w:tc>
          <w:tcPr>
            <w:tcW w:w="1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17,429</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17,429</w:t>
            </w:r>
          </w:p>
        </w:tc>
        <w:tc>
          <w:tcPr>
            <w:tcW w:w="0" w:type="dxa"/>
            <w:vAlign w:val="bottom"/>
          </w:tcPr>
          <w:p>
            <w:pPr>
              <w:spacing w:after="0"/>
              <w:rPr>
                <w:sz w:val="1"/>
                <w:szCs w:val="1"/>
                <w:color w:val="auto"/>
              </w:rPr>
            </w:pPr>
          </w:p>
        </w:tc>
      </w:tr>
      <w:tr>
        <w:trPr>
          <w:trHeight w:val="237"/>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Balances at March 30, 2019</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78,218</w:t>
            </w: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783</w:t>
            </w: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675,952</w:t>
            </w: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(3,757)</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91,763</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(2,161)</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762,580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Issuance of common stock</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43"/>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Stock based compensation</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1,714</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rPr>
              <w:t>Unrealized gain (loss) on hedge instruments,</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of tax</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43"/>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10,257</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10,257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Balances at June 29, 2019</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78,484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679,216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774,434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gridSpan w:val="5"/>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1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gridSpan w:val="5"/>
          </w:tcPr>
          <w:p>
            <w:pPr>
              <w:jc w:val="right"/>
              <w:spacing w:after="0"/>
              <w:rPr>
                <w:sz w:val="20"/>
                <w:szCs w:val="20"/>
                <w:color w:val="auto"/>
              </w:rPr>
            </w:pPr>
            <w:r>
              <w:rPr>
                <w:rFonts w:ascii="Arial" w:cs="Arial" w:eastAsia="Arial" w:hAnsi="Arial"/>
                <w:sz w:val="18"/>
                <w:szCs w:val="18"/>
                <w:color w:val="auto"/>
                <w:w w:val="97"/>
              </w:rPr>
              <w:t>Three and Six Months Ended June 30, 2018</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940" w:type="dxa"/>
            <w:vAlign w:val="bottom"/>
            <w:gridSpan w:val="3"/>
            <w:vMerge w:val="restart"/>
          </w:tcPr>
          <w:p>
            <w:pPr>
              <w:jc w:val="right"/>
              <w:ind w:right="31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940" w:type="dxa"/>
            <w:vAlign w:val="bottom"/>
            <w:tcBorders>
              <w:bottom w:val="single" w:sz="8" w:color="auto"/>
            </w:tcBorders>
            <w:gridSpan w:val="3"/>
            <w:vMerge w:val="continue"/>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8"/>
              </w:rPr>
              <w:t>Additional</w:t>
            </w:r>
          </w:p>
        </w:tc>
        <w:tc>
          <w:tcPr>
            <w:tcW w:w="22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color w:val="auto"/>
                <w:w w:val="93"/>
              </w:rPr>
              <w:t>Other</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94"/>
              </w:rPr>
              <w:t>Paid-In</w:t>
            </w:r>
          </w:p>
        </w:tc>
        <w:tc>
          <w:tcPr>
            <w:tcW w:w="220" w:type="dxa"/>
            <w:vAlign w:val="bottom"/>
          </w:tcPr>
          <w:p>
            <w:pPr>
              <w:spacing w:after="0"/>
              <w:rPr>
                <w:sz w:val="16"/>
                <w:szCs w:val="16"/>
                <w:color w:val="auto"/>
              </w:rPr>
            </w:pPr>
          </w:p>
        </w:tc>
        <w:tc>
          <w:tcPr>
            <w:tcW w:w="142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0"/>
              </w:rPr>
              <w:t>Comprehensive</w:t>
            </w:r>
          </w:p>
        </w:tc>
        <w:tc>
          <w:tcPr>
            <w:tcW w:w="160" w:type="dxa"/>
            <w:vAlign w:val="bottom"/>
          </w:tcPr>
          <w:p>
            <w:pPr>
              <w:spacing w:after="0"/>
              <w:rPr>
                <w:sz w:val="16"/>
                <w:szCs w:val="16"/>
                <w:color w:val="auto"/>
              </w:rPr>
            </w:pPr>
          </w:p>
        </w:tc>
        <w:tc>
          <w:tcPr>
            <w:tcW w:w="88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91"/>
              </w:rPr>
              <w:t>Retained</w:t>
            </w:r>
          </w:p>
        </w:tc>
        <w:tc>
          <w:tcPr>
            <w:tcW w:w="140" w:type="dxa"/>
            <w:vAlign w:val="bottom"/>
          </w:tcPr>
          <w:p>
            <w:pPr>
              <w:spacing w:after="0"/>
              <w:rPr>
                <w:sz w:val="16"/>
                <w:szCs w:val="16"/>
                <w:color w:val="auto"/>
              </w:rPr>
            </w:pPr>
          </w:p>
        </w:tc>
        <w:tc>
          <w:tcPr>
            <w:tcW w:w="86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0"/>
              </w:rPr>
              <w:t>Treasury</w:t>
            </w:r>
          </w:p>
        </w:tc>
        <w:tc>
          <w:tcPr>
            <w:tcW w:w="160" w:type="dxa"/>
            <w:vAlign w:val="bottom"/>
          </w:tcPr>
          <w:p>
            <w:pPr>
              <w:spacing w:after="0"/>
              <w:rPr>
                <w:sz w:val="16"/>
                <w:szCs w:val="16"/>
                <w:color w:val="auto"/>
              </w:rPr>
            </w:pPr>
          </w:p>
        </w:tc>
        <w:tc>
          <w:tcPr>
            <w:tcW w:w="122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91"/>
              </w:rPr>
              <w:t>Stockholders'</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w w:val="93"/>
              </w:rPr>
              <w:t>Amount</w:t>
            </w:r>
          </w:p>
        </w:tc>
        <w:tc>
          <w:tcPr>
            <w:tcW w:w="180" w:type="dxa"/>
            <w:vAlign w:val="bottom"/>
          </w:tcPr>
          <w:p>
            <w:pPr>
              <w:spacing w:after="0"/>
              <w:rPr>
                <w:sz w:val="20"/>
                <w:szCs w:val="20"/>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92"/>
              </w:rPr>
              <w:t>Capital</w:t>
            </w:r>
          </w:p>
        </w:tc>
        <w:tc>
          <w:tcPr>
            <w:tcW w:w="22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color w:val="auto"/>
                <w:w w:val="89"/>
              </w:rPr>
              <w:t>Loss</w:t>
            </w:r>
          </w:p>
        </w:tc>
        <w:tc>
          <w:tcPr>
            <w:tcW w:w="16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w w:val="92"/>
              </w:rPr>
              <w:t>Earnings</w:t>
            </w:r>
          </w:p>
        </w:tc>
        <w:tc>
          <w:tcPr>
            <w:tcW w:w="14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Arial" w:cs="Arial" w:eastAsia="Arial" w:hAnsi="Arial"/>
                <w:sz w:val="18"/>
                <w:szCs w:val="18"/>
                <w:color w:val="auto"/>
                <w:w w:val="88"/>
              </w:rPr>
              <w:t>Stock</w:t>
            </w:r>
          </w:p>
        </w:tc>
        <w:tc>
          <w:tcPr>
            <w:tcW w:w="16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Balances at December 30, 2017</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74,654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631,798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32,157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654,600</w:t>
            </w:r>
          </w:p>
        </w:tc>
        <w:tc>
          <w:tcPr>
            <w:tcW w:w="0" w:type="dxa"/>
            <w:vAlign w:val="bottom"/>
          </w:tcPr>
          <w:p>
            <w:pPr>
              <w:spacing w:after="0"/>
              <w:rPr>
                <w:sz w:val="1"/>
                <w:szCs w:val="1"/>
                <w:color w:val="auto"/>
              </w:rPr>
            </w:pPr>
          </w:p>
        </w:tc>
      </w:tr>
      <w:tr>
        <w:trPr>
          <w:trHeight w:val="229"/>
        </w:trPr>
        <w:tc>
          <w:tcPr>
            <w:tcW w:w="3440" w:type="dxa"/>
            <w:vAlign w:val="bottom"/>
            <w:gridSpan w:val="2"/>
          </w:tcPr>
          <w:p>
            <w:pPr>
              <w:ind w:left="180"/>
              <w:spacing w:after="0"/>
              <w:rPr>
                <w:sz w:val="20"/>
                <w:szCs w:val="20"/>
                <w:color w:val="auto"/>
              </w:rPr>
            </w:pPr>
            <w:r>
              <w:rPr>
                <w:rFonts w:ascii="Arial" w:cs="Arial" w:eastAsia="Arial" w:hAnsi="Arial"/>
                <w:sz w:val="18"/>
                <w:szCs w:val="18"/>
                <w:color w:val="auto"/>
                <w:w w:val="96"/>
              </w:rPr>
              <w:t>Cumulative effect of change in accounting</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principle</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19,030</w:t>
            </w:r>
          </w:p>
        </w:tc>
        <w:tc>
          <w:tcPr>
            <w:tcW w:w="1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19,030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2"/>
              </w:rPr>
              <w:t>Balances at December 31, 2017 - as adjusted</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74,654</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631,798</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51,187</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673,630</w:t>
            </w:r>
          </w:p>
        </w:tc>
        <w:tc>
          <w:tcPr>
            <w:tcW w:w="0" w:type="dxa"/>
            <w:vAlign w:val="bottom"/>
          </w:tcPr>
          <w:p>
            <w:pPr>
              <w:spacing w:after="0"/>
              <w:rPr>
                <w:sz w:val="1"/>
                <w:szCs w:val="1"/>
                <w:color w:val="auto"/>
              </w:rPr>
            </w:pPr>
          </w:p>
        </w:tc>
      </w:tr>
      <w:tr>
        <w:trPr>
          <w:trHeight w:val="243"/>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Issuance of common stock</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449</w:t>
            </w: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2,243</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43"/>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Purchase of treasury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(855)</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rPr>
              <w:t>Unrealized gain (loss) on hedge instruments,</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of tax</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4,624</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43"/>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24,455</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24,455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Balances at March 31, 2018</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75,078</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635,637</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75,642</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705,698</w:t>
            </w:r>
          </w:p>
        </w:tc>
        <w:tc>
          <w:tcPr>
            <w:tcW w:w="0" w:type="dxa"/>
            <w:vAlign w:val="bottom"/>
          </w:tcPr>
          <w:p>
            <w:pPr>
              <w:spacing w:after="0"/>
              <w:rPr>
                <w:sz w:val="1"/>
                <w:szCs w:val="1"/>
                <w:color w:val="auto"/>
              </w:rPr>
            </w:pPr>
          </w:p>
        </w:tc>
      </w:tr>
      <w:tr>
        <w:trPr>
          <w:trHeight w:val="243"/>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Issuance of common stock</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1,216</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43"/>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Purchase of treasury stock</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rPr>
              <w:t>Unrealized gain (loss) on hedge instruments,</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of tax</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2,498</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43"/>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12,467</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12,467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Balances at June 30, 2018</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75,334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638,377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88,109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723,400</w:t>
            </w: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20" w:lineRule="exact"/>
              <w:rPr>
                <w:sz w:val="1"/>
                <w:szCs w:val="1"/>
                <w:color w:val="auto"/>
              </w:rPr>
            </w:pPr>
          </w:p>
        </w:tc>
        <w:tc>
          <w:tcPr>
            <w:tcW w:w="2160" w:type="dxa"/>
            <w:vAlign w:val="bottom"/>
            <w:vMerge w:val="restart"/>
          </w:tcPr>
          <w:p>
            <w:pPr>
              <w:ind w:left="860"/>
              <w:spacing w:after="0"/>
              <w:rPr>
                <w:sz w:val="20"/>
                <w:szCs w:val="20"/>
                <w:color w:val="auto"/>
              </w:rPr>
            </w:pPr>
            <w:r>
              <w:rPr>
                <w:rFonts w:ascii="Arial" w:cs="Arial" w:eastAsia="Arial" w:hAnsi="Arial"/>
                <w:sz w:val="18"/>
                <w:szCs w:val="18"/>
                <w:i w:val="1"/>
                <w:iCs w:val="1"/>
                <w:color w:val="auto"/>
                <w:w w:val="84"/>
              </w:rPr>
              <w:t>The accompanying</w:t>
            </w:r>
          </w:p>
        </w:tc>
        <w:tc>
          <w:tcPr>
            <w:tcW w:w="6600" w:type="dxa"/>
            <w:vAlign w:val="bottom"/>
            <w:tcBorders>
              <w:bottom w:val="single" w:sz="8" w:color="auto"/>
            </w:tcBorders>
            <w:gridSpan w:val="11"/>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80" w:type="dxa"/>
            <w:vAlign w:val="bottom"/>
            <w:vMerge w:val="continue"/>
          </w:tcPr>
          <w:p>
            <w:pPr>
              <w:spacing w:after="0"/>
              <w:rPr>
                <w:sz w:val="18"/>
                <w:szCs w:val="18"/>
                <w:color w:val="auto"/>
              </w:rPr>
            </w:pPr>
          </w:p>
        </w:tc>
        <w:tc>
          <w:tcPr>
            <w:tcW w:w="2160" w:type="dxa"/>
            <w:vAlign w:val="bottom"/>
            <w:vMerge w:val="continue"/>
          </w:tcPr>
          <w:p>
            <w:pPr>
              <w:spacing w:after="0"/>
              <w:rPr>
                <w:sz w:val="18"/>
                <w:szCs w:val="18"/>
                <w:color w:val="auto"/>
              </w:rPr>
            </w:pPr>
          </w:p>
        </w:tc>
        <w:tc>
          <w:tcPr>
            <w:tcW w:w="6600" w:type="dxa"/>
            <w:vAlign w:val="bottom"/>
            <w:gridSpan w:val="11"/>
          </w:tcPr>
          <w:p>
            <w:pPr>
              <w:jc w:val="right"/>
              <w:ind w:right="650"/>
              <w:spacing w:after="0"/>
              <w:rPr>
                <w:sz w:val="20"/>
                <w:szCs w:val="20"/>
                <w:color w:val="auto"/>
              </w:rPr>
            </w:pPr>
            <w:r>
              <w:rPr>
                <w:rFonts w:ascii="Arial" w:cs="Arial" w:eastAsia="Arial" w:hAnsi="Arial"/>
                <w:sz w:val="18"/>
                <w:szCs w:val="18"/>
                <w:i w:val="1"/>
                <w:iCs w:val="1"/>
                <w:color w:val="auto"/>
                <w:w w:val="91"/>
              </w:rPr>
              <w:t>notes are an integral part of these condensed consolidated financial statements.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29, 2019 and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60" w:type="dxa"/>
            <w:vAlign w:val="bottom"/>
            <w:gridSpan w:val="4"/>
          </w:tcPr>
          <w:p>
            <w:pPr>
              <w:jc w:val="right"/>
              <w:ind w:right="1059"/>
              <w:spacing w:after="0"/>
              <w:rPr>
                <w:sz w:val="20"/>
                <w:szCs w:val="20"/>
                <w:color w:val="auto"/>
              </w:rPr>
            </w:pPr>
            <w:r>
              <w:rPr>
                <w:rFonts w:ascii="Arial" w:cs="Arial" w:eastAsia="Arial" w:hAnsi="Arial"/>
                <w:sz w:val="16"/>
                <w:szCs w:val="16"/>
                <w:color w:val="auto"/>
              </w:rPr>
              <w:t>Six Months Ended</w:t>
            </w:r>
          </w:p>
        </w:tc>
      </w:tr>
      <w:tr>
        <w:trPr>
          <w:trHeight w:val="33"/>
        </w:trPr>
        <w:tc>
          <w:tcPr>
            <w:tcW w:w="7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color w:val="auto"/>
              </w:rPr>
              <w:t>June 29, 2019</w:t>
            </w:r>
          </w:p>
        </w:tc>
        <w:tc>
          <w:tcPr>
            <w:tcW w:w="240" w:type="dxa"/>
            <w:vAlign w:val="bottom"/>
          </w:tcPr>
          <w:p>
            <w:pPr>
              <w:spacing w:after="0"/>
              <w:rPr>
                <w:sz w:val="20"/>
                <w:szCs w:val="20"/>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color w:val="auto"/>
              </w:rPr>
              <w:t>June 30, 2018</w:t>
            </w:r>
          </w:p>
        </w:tc>
      </w:tr>
      <w:tr>
        <w:trPr>
          <w:trHeight w:val="33"/>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27,686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36,922</w:t>
            </w: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41,234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35,439</w:t>
            </w: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loan costs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858</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Asset impairment</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3,872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7,964</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Stock based compensation expense</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4,717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3,120</w:t>
            </w: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Inventory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1,322</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Bad debt expense</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3,865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3,349</w:t>
            </w: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(5,231)</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8,319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(5,080)</w:t>
            </w: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(599)</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3,458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(2,924)</w:t>
            </w: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5,278</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6,734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(1,020)</w:t>
            </w:r>
          </w:p>
        </w:tc>
      </w:tr>
      <w:tr>
        <w:trPr>
          <w:trHeight w:val="33"/>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119,279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80,135</w:t>
            </w:r>
          </w:p>
        </w:tc>
      </w:tr>
      <w:tr>
        <w:trPr>
          <w:trHeight w:val="231"/>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(48,684)</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116</w:t>
            </w:r>
          </w:p>
        </w:tc>
      </w:tr>
      <w:tr>
        <w:trPr>
          <w:trHeight w:val="33"/>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for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(48,568)</w:t>
            </w:r>
          </w:p>
        </w:tc>
      </w:tr>
      <w:tr>
        <w:trPr>
          <w:trHeight w:val="231"/>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3,530</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Principal payments on long-term debt</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(2,850)</w:t>
            </w: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treasury stock</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(860)</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Payments on finance lease obligations</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(759)</w:t>
            </w:r>
          </w:p>
        </w:tc>
      </w:tr>
      <w:tr>
        <w:trPr>
          <w:trHeight w:val="33"/>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for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(939)</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Net change in cash, cash equivalents and restricted cash</w:t>
            </w: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65,867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30,628</w:t>
            </w: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17,998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5,193</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83,865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35,821</w:t>
            </w:r>
          </w:p>
        </w:tc>
      </w:tr>
      <w:tr>
        <w:trPr>
          <w:trHeight w:val="257"/>
        </w:trPr>
        <w:tc>
          <w:tcPr>
            <w:tcW w:w="79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Supplemental cash flow disclosure information:</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for interest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19,128</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Property and equipment accrued at the end of the period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22,033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9,264</w:t>
            </w:r>
          </w:p>
        </w:tc>
      </w:tr>
      <w:tr>
        <w:trPr>
          <w:trHeight w:val="33"/>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Right of use assets acquired under finance leases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7,772</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Right of use assets acquired under operating leases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58,528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condensed consolidated balance sheets to the total of cash, cash equivalents and restricted cash shown above: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60" w:type="dxa"/>
            <w:vAlign w:val="bottom"/>
            <w:gridSpan w:val="4"/>
          </w:tcPr>
          <w:p>
            <w:pPr>
              <w:jc w:val="right"/>
              <w:ind w:right="1059"/>
              <w:spacing w:after="0"/>
              <w:rPr>
                <w:sz w:val="20"/>
                <w:szCs w:val="20"/>
                <w:color w:val="auto"/>
              </w:rPr>
            </w:pPr>
            <w:r>
              <w:rPr>
                <w:rFonts w:ascii="Arial" w:cs="Arial" w:eastAsia="Arial" w:hAnsi="Arial"/>
                <w:sz w:val="16"/>
                <w:szCs w:val="16"/>
                <w:color w:val="auto"/>
              </w:rPr>
              <w:t>Six Months Ended</w:t>
            </w:r>
          </w:p>
        </w:tc>
      </w:tr>
      <w:tr>
        <w:trPr>
          <w:trHeight w:val="33"/>
        </w:trPr>
        <w:tc>
          <w:tcPr>
            <w:tcW w:w="7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color w:val="auto"/>
              </w:rPr>
              <w:t>June 29, 2019</w:t>
            </w:r>
          </w:p>
        </w:tc>
        <w:tc>
          <w:tcPr>
            <w:tcW w:w="240" w:type="dxa"/>
            <w:vAlign w:val="bottom"/>
          </w:tcPr>
          <w:p>
            <w:pPr>
              <w:spacing w:after="0"/>
              <w:rPr>
                <w:sz w:val="20"/>
                <w:szCs w:val="20"/>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color w:val="auto"/>
              </w:rPr>
              <w:t>June 30, 2018</w:t>
            </w:r>
          </w:p>
        </w:tc>
      </w:tr>
      <w:tr>
        <w:trPr>
          <w:trHeight w:val="33"/>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82,779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34,642</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Restricted cash included in other assets</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1,179</w:t>
            </w:r>
          </w:p>
        </w:tc>
      </w:tr>
      <w:tr>
        <w:trPr>
          <w:trHeight w:val="33"/>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cash, cash equivalents and restricted cash</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83,865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35,821</w:t>
            </w: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246"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246"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National Vision Holdings, Inc. (“NVHI,” the “Company,” “we,” “our,” or “us”) is a holding company whose operating subsidiaries include its indirect wholly owned subsidiary, National Vision, Inc. (“NVI”) and NVI’s direct wholly owned subsidiaries. We are a leading value retailer of eyeglasses and contact lenses in the United States and its territories. We operated 1,128 and 1,082 retail optical locations as of June 29, 2019 and December 29, 2018, respectively, through our five store brands, including America’s Best Contacts and Eyeglasses (“America’s Best”), Eyeglass World, Vista Optical locations on U.S. Army/Air Force military bases (“Military”) and within Fred Meyer stores, and our management and services arrangement with Walmart (“legacy”).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prepared the accompanying condensed consolidated financial statements in accordance with accounting principles generally accepted in the United States of America (“U.S. GAAP”) for interim financial information and, therefore, do not include all information and disclosures required by U.S. GAAP for complete consolidated financial statements. The condensed consolidated balance sheet as of December 29, 2018 has been derived from the audited consolidated balance sheet for the fiscal year then ended. These unaudited interim condensed consolidated financial statements reflect all normal and recurring adjustments which are, in the opinion of management, necessary to present fairly the Company’s consolidated financial position as of June 29, 2019, the consolidated results of operations and comprehensive income, the statements of changes in stockholders’ equity for the three and six months ended June 29, 2019 and June 30, 2018, and its statements of cash flows for the six months ended June 29, 2019 and June 30, 2018.</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Certain information and disclosures normally included in our annual consolidated financial statements have been condensed or omitted; however, we believe that the disclosures included herein are sufficient for a fair presentation of the information presented. These unaudited interim condensed consolidated financial statements should be read in conjunction with our audited consolidated financial statements and the notes thereto for the fiscal year ended December 29, 2018 included in the Company’s Annual Report on Form 10-K with the SEC for fiscal year 2018 filed on February 27, 2019. The Company’s significant accounting policies are set forth in Note 1 within those consolidated financial statements. We use the same accounting policies in preparing interim condensed consolidated financial information and annual consolidated financial statements. There were no changes to our significant accounting policies during the six months ended June 29, 2019, except for the adoption of Accounting Standards Update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See “Adoption of New Accounting Pronouncements” below for further discussion.</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our accounts and those of our subsidiaries, all of which are wholly-owned. All intercompany balances and transactions have been eliminated in consolidation.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fiscal year consists of 52 or 53 weeks ending on the Saturday closest to December 31. Fiscal year 2019 contains 52 weeks and will end on December 28, 2019. All three and six month periods presented herein contain 13 and 26 weeks, respectively. All references to years and quarters relate to fiscal periods rather than calendar periods.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results of operations for the three and six months ended June 29, 2019 and June 30, 2018 are not necessarily indicative of the results to be expected for the full fiscal year due to seasonality and uncertainty of general economic conditions that may impact our key end markets. Historically, our business has realized a higher portion of net revenue, income from operations, and cash flows from operations in the first fiscal quarter, and a lower portion of net revenue, income from operations, and cash flows from operations in the fourth fiscal quarter. The seasonally larger first quarter is attributable primarily to the timing of our customers’ personal income tax refunds and annual health insurance program start or reset periods. Seasonality related to fourth quarter holiday spending by retail customers generally does not impact our business. Our quarterly consolidated results can also be affected by the timing of new store openings, store closings, and certain holidays.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evaluate impairment of long-lived tangible and right of use (“ROU”) store assets at the store level, which is the lowest level at which independent cash flows can be identified, when events or conditions indicate the carrying value of such assets may not be recoverable. If the store's projected undiscounted net cash flows expected to be generated by the related assets over the shorter of the remaining useful life or the remaining term of the lease are less than the carrying value of the subject assets, we then measure impairment based on a discounted cash flow model and fair market value of the lease asset and record an impairment charge as the excess of carrying value over estimated fair value.</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identified indicators of impairment in our long-lived tangible and ROU store assets and recorded $1.8 million and $3.9 million of impairment charges during the three and six months ended June 29, 2019, respectively. The remaining estimated fair value of the impaired assets was $4.0 million as of June 29, 2019.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income tax rate for the three months ended June 29, 2019 reflected our statutory federal and state rate of 25.6%, offset by a discrete benefit of $1.1 million associated primarily with stock option exercises. Our income tax benefit for the six months ended June 29, 2019 reflected income tax expense at our statutory federal and state rate of 25.6%, offset by a discrete benefit of $1.4 million associated primarily with stock option exercises. In comparison, the income tax rate associated with the three and six months ended June 30, 2018 was reduced by a $1.4 million and $4.1 million income tax benefit resulting from stock option exercises.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Accounting Pronouncements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FASB issued ASU No. 2016-02,</w:t>
      </w:r>
      <w:r>
        <w:rPr>
          <w:rFonts w:ascii="Arial" w:cs="Arial" w:eastAsia="Arial" w:hAnsi="Arial"/>
          <w:sz w:val="18"/>
          <w:szCs w:val="18"/>
          <w:i w:val="1"/>
          <w:iCs w:val="1"/>
          <w:color w:val="auto"/>
        </w:rPr>
        <w:t xml:space="preserve"> Leases</w:t>
      </w:r>
      <w:r>
        <w:rPr>
          <w:rFonts w:ascii="Arial" w:cs="Arial" w:eastAsia="Arial" w:hAnsi="Arial"/>
          <w:sz w:val="18"/>
          <w:szCs w:val="18"/>
          <w:color w:val="auto"/>
        </w:rPr>
        <w:t>. This new guidance establishes a ROU model that requires a lessee to record a ROU</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asset and a lease liability on the balance sheet for all leases with terms longer than 12 months. Leases are classified as either financing or operating, with such classification affecting the pattern of expense recognition in the statement of operations. </w:t>
      </w:r>
      <w:r>
        <w:rPr>
          <w:rFonts w:ascii="Arial" w:cs="Arial" w:eastAsia="Arial" w:hAnsi="Arial"/>
          <w:sz w:val="18"/>
          <w:szCs w:val="18"/>
          <w:color w:val="252525"/>
        </w:rPr>
        <w:t>Disclosure of key information about leasing arrangements is also</w:t>
      </w:r>
      <w:r>
        <w:rPr>
          <w:rFonts w:ascii="Arial" w:cs="Arial" w:eastAsia="Arial" w:hAnsi="Arial"/>
          <w:sz w:val="18"/>
          <w:szCs w:val="18"/>
          <w:color w:val="auto"/>
        </w:rPr>
        <w:t xml:space="preserve"> </w:t>
      </w:r>
      <w:r>
        <w:rPr>
          <w:rFonts w:ascii="Arial" w:cs="Arial" w:eastAsia="Arial" w:hAnsi="Arial"/>
          <w:sz w:val="18"/>
          <w:szCs w:val="18"/>
          <w:color w:val="252525"/>
        </w:rPr>
        <w:t>required.</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adopted ASU No. 2016-02, as amended, as of December 30, 2018 (the first day of fiscal year 2019), using the modified retrospective transition approach without adjusting the comparative periods presented. We elected the package of practical expedients permitted under the transition guidance within the new standard, which allowed us to carry forward historical lease classification for leases in existence as of the adoption date, to not assess whether any expired or existing contracts are leases or contain leases and to not assess whether unamortized initial direct costs for existing leases meet the definition of initial direct costs. In addition, we elected the practical expedients to not separate lease components from non-lease components and to not apply this new guidance to leases with terms of less than 12 months.</w:t>
      </w:r>
    </w:p>
    <w:p>
      <w:pPr>
        <w:spacing w:after="0" w:line="8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Upon adoption, we recorded operating lease liabilities of approximately $349.7 million as of December 30, 2018. The Company treated tenant improvement allowances (“TIAs”) and deferred rent of $28.6 million and $11.9 million, respectively, as of December 30, 2018 as reductions of lease payments used to measure ROU assets and recorded $308.5 million of lease ROU assets upon adoption. The difference between the additional lease assets and lease liabilities net of the deferred tax impact was $0.5 million and recorded as an adjustment to fiscal year 2019 opening retained earnings. Adoption of this new guidance did not result in significant changes to our results of operations and cash flows. See Note 7. “Leases” for additional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Pronouncements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252525"/>
        </w:rPr>
        <w:t xml:space="preserve">Cloud Computing. </w:t>
      </w:r>
      <w:r>
        <w:rPr>
          <w:rFonts w:ascii="Arial" w:cs="Arial" w:eastAsia="Arial" w:hAnsi="Arial"/>
          <w:sz w:val="16"/>
          <w:szCs w:val="16"/>
          <w:color w:val="000000"/>
        </w:rPr>
        <w:t>In August 2018, the FASB issued ASU No. 2018-15,</w:t>
      </w:r>
      <w:r>
        <w:rPr>
          <w:rFonts w:ascii="Arial" w:cs="Arial" w:eastAsia="Arial" w:hAnsi="Arial"/>
          <w:sz w:val="16"/>
          <w:szCs w:val="16"/>
          <w:i w:val="1"/>
          <w:iCs w:val="1"/>
          <w:color w:val="252525"/>
        </w:rPr>
        <w:t xml:space="preserve"> </w:t>
      </w:r>
      <w:r>
        <w:rPr>
          <w:rFonts w:ascii="Arial" w:cs="Arial" w:eastAsia="Arial" w:hAnsi="Arial"/>
          <w:sz w:val="16"/>
          <w:szCs w:val="16"/>
          <w:i w:val="1"/>
          <w:iCs w:val="1"/>
          <w:color w:val="000000"/>
        </w:rPr>
        <w:t>Customer’s Accounting for Implementation Costs Incurred in a Cloud Computing</w:t>
      </w:r>
      <w:r>
        <w:rPr>
          <w:rFonts w:ascii="Arial" w:cs="Arial" w:eastAsia="Arial" w:hAnsi="Arial"/>
          <w:sz w:val="16"/>
          <w:szCs w:val="16"/>
          <w:i w:val="1"/>
          <w:iCs w:val="1"/>
          <w:color w:val="252525"/>
        </w:rPr>
        <w:t xml:space="preserve"> </w:t>
      </w:r>
      <w:r>
        <w:rPr>
          <w:rFonts w:ascii="Arial" w:cs="Arial" w:eastAsia="Arial" w:hAnsi="Arial"/>
          <w:sz w:val="16"/>
          <w:szCs w:val="16"/>
          <w:i w:val="1"/>
          <w:iCs w:val="1"/>
          <w:color w:val="000000"/>
        </w:rPr>
        <w:t xml:space="preserve">Arrangement That Is a Service Contract. </w:t>
      </w:r>
      <w:r>
        <w:rPr>
          <w:rFonts w:ascii="Arial" w:cs="Arial" w:eastAsia="Arial" w:hAnsi="Arial"/>
          <w:sz w:val="16"/>
          <w:szCs w:val="16"/>
          <w:color w:val="000000"/>
        </w:rPr>
        <w:t>This new guidance aligns the requirements for capitalizing implementation costs incurred in a hosting arrangement</w:t>
      </w:r>
      <w:r>
        <w:rPr>
          <w:rFonts w:ascii="Arial" w:cs="Arial" w:eastAsia="Arial" w:hAnsi="Arial"/>
          <w:sz w:val="16"/>
          <w:szCs w:val="16"/>
          <w:i w:val="1"/>
          <w:iCs w:val="1"/>
          <w:color w:val="000000"/>
        </w:rPr>
        <w:t xml:space="preserve"> </w:t>
      </w:r>
      <w:r>
        <w:rPr>
          <w:rFonts w:ascii="Arial" w:cs="Arial" w:eastAsia="Arial" w:hAnsi="Arial"/>
          <w:sz w:val="16"/>
          <w:szCs w:val="16"/>
          <w:color w:val="000000"/>
        </w:rPr>
        <w:t>that is a service contract with the requirements for capitalizing implementation costs incurred to develop or obtain internal-use software (and hosting arrangements that include an internal-use software license). This new guidance is effective for fiscal years beginning after December 15, 2019, and for interim periods within those fiscal years and may be adopted on a prospective or retrospective basis. The Company is in the process of assessing the new guidance.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14"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 (continued)</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Credit Losses</w:t>
      </w:r>
      <w:r>
        <w:rPr>
          <w:rFonts w:ascii="Arial" w:cs="Arial" w:eastAsia="Arial" w:hAnsi="Arial"/>
          <w:sz w:val="17"/>
          <w:szCs w:val="17"/>
          <w:color w:val="auto"/>
        </w:rPr>
        <w:t>. In June 2016, the FASB issued ASU No. 2016-13,</w:t>
      </w:r>
      <w:r>
        <w:rPr>
          <w:rFonts w:ascii="Arial" w:cs="Arial" w:eastAsia="Arial" w:hAnsi="Arial"/>
          <w:sz w:val="17"/>
          <w:szCs w:val="17"/>
          <w:i w:val="1"/>
          <w:iCs w:val="1"/>
          <w:color w:val="auto"/>
        </w:rPr>
        <w:t xml:space="preserve"> Measurement of Credit Losses on Financial Instruments. </w:t>
      </w:r>
      <w:r>
        <w:rPr>
          <w:rFonts w:ascii="Arial" w:cs="Arial" w:eastAsia="Arial" w:hAnsi="Arial"/>
          <w:sz w:val="17"/>
          <w:szCs w:val="17"/>
          <w:color w:val="auto"/>
        </w:rPr>
        <w:t>This new guidance requires an</w:t>
      </w:r>
      <w:r>
        <w:rPr>
          <w:rFonts w:ascii="Arial" w:cs="Arial" w:eastAsia="Arial" w:hAnsi="Arial"/>
          <w:sz w:val="17"/>
          <w:szCs w:val="17"/>
          <w:i w:val="1"/>
          <w:iCs w:val="1"/>
          <w:color w:val="auto"/>
        </w:rPr>
        <w:t xml:space="preserve"> </w:t>
      </w:r>
      <w:r>
        <w:rPr>
          <w:rFonts w:ascii="Arial" w:cs="Arial" w:eastAsia="Arial" w:hAnsi="Arial"/>
          <w:sz w:val="17"/>
          <w:szCs w:val="17"/>
          <w:color w:val="auto"/>
        </w:rPr>
        <w:t>entity to assess impairment of its financial instruments based on its estimate of expected credit losses. Initial adoption of ASU 2016-13 is required to be reported on a modified retrospective basis, with a cumulative-effect adjustment to retained earnings as of the beginning of the year of adoption, except for certain provisions that are required to be applied prospectively. This guidance is effective for fiscal years beginning after December 15, 2019, and for interim reporting periods within those fiscal years. The Company is in the process of assessing the new guidance.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Details of Certain Balance Sheet Accounts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700" w:type="dxa"/>
            <w:vAlign w:val="bottom"/>
          </w:tcPr>
          <w:p>
            <w:pPr>
              <w:jc w:val="center"/>
              <w:ind w:left="610"/>
              <w:spacing w:after="0"/>
              <w:rPr>
                <w:sz w:val="20"/>
                <w:szCs w:val="20"/>
                <w:color w:val="auto"/>
              </w:rPr>
            </w:pPr>
            <w:r>
              <w:rPr>
                <w:rFonts w:ascii="Arial" w:cs="Arial" w:eastAsia="Arial" w:hAnsi="Arial"/>
                <w:sz w:val="18"/>
                <w:szCs w:val="18"/>
                <w:color w:val="auto"/>
                <w:w w:val="97"/>
              </w:rPr>
              <w:t>As of</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jc w:val="center"/>
              <w:ind w:right="230"/>
              <w:spacing w:after="0"/>
              <w:rPr>
                <w:sz w:val="20"/>
                <w:szCs w:val="20"/>
                <w:color w:val="auto"/>
              </w:rPr>
            </w:pPr>
            <w:r>
              <w:rPr>
                <w:rFonts w:ascii="Arial" w:cs="Arial" w:eastAsia="Arial" w:hAnsi="Arial"/>
                <w:sz w:val="18"/>
                <w:szCs w:val="18"/>
                <w:color w:val="auto"/>
                <w:w w:val="97"/>
              </w:rPr>
              <w:t>As of</w:t>
            </w: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700" w:type="dxa"/>
            <w:vAlign w:val="bottom"/>
          </w:tcPr>
          <w:p>
            <w:pPr>
              <w:jc w:val="center"/>
              <w:ind w:left="610"/>
              <w:spacing w:after="0"/>
              <w:rPr>
                <w:sz w:val="20"/>
                <w:szCs w:val="20"/>
                <w:color w:val="auto"/>
              </w:rPr>
            </w:pPr>
            <w:r>
              <w:rPr>
                <w:rFonts w:ascii="Arial" w:cs="Arial" w:eastAsia="Arial" w:hAnsi="Arial"/>
                <w:sz w:val="18"/>
                <w:szCs w:val="18"/>
                <w:color w:val="auto"/>
                <w:w w:val="87"/>
              </w:rPr>
              <w:t>June 29, 2019</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tcPr>
          <w:p>
            <w:pPr>
              <w:jc w:val="center"/>
              <w:ind w:right="210"/>
              <w:spacing w:after="0"/>
              <w:rPr>
                <w:sz w:val="20"/>
                <w:szCs w:val="20"/>
                <w:color w:val="auto"/>
              </w:rPr>
            </w:pPr>
            <w:r>
              <w:rPr>
                <w:rFonts w:ascii="Arial" w:cs="Arial" w:eastAsia="Arial" w:hAnsi="Arial"/>
                <w:sz w:val="18"/>
                <w:szCs w:val="18"/>
                <w:color w:val="auto"/>
                <w:w w:val="89"/>
              </w:rPr>
              <w:t>December 29, 2018</w:t>
            </w:r>
          </w:p>
        </w:tc>
      </w:tr>
      <w:tr>
        <w:trPr>
          <w:trHeight w:val="27"/>
        </w:trPr>
        <w:tc>
          <w:tcPr>
            <w:tcW w:w="65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Accounts receivable, net:</w:t>
            </w:r>
          </w:p>
        </w:tc>
        <w:tc>
          <w:tcPr>
            <w:tcW w:w="17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Trade receivables</w:t>
            </w:r>
          </w:p>
        </w:tc>
        <w:tc>
          <w:tcPr>
            <w:tcW w:w="1700" w:type="dxa"/>
            <w:vAlign w:val="bottom"/>
          </w:tcPr>
          <w:p>
            <w:pPr>
              <w:jc w:val="right"/>
              <w:ind w:right="14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34,665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27,356</w:t>
            </w:r>
          </w:p>
        </w:tc>
      </w:tr>
      <w:tr>
        <w:trPr>
          <w:trHeight w:val="27"/>
        </w:trPr>
        <w:tc>
          <w:tcPr>
            <w:tcW w:w="6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Credit card receivables</w:t>
            </w:r>
          </w:p>
        </w:tc>
        <w:tc>
          <w:tcPr>
            <w:tcW w:w="17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16,636</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Tenant improvement allowances receivable</w:t>
            </w:r>
          </w:p>
        </w:tc>
        <w:tc>
          <w:tcPr>
            <w:tcW w:w="17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7,054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5,149</w:t>
            </w:r>
          </w:p>
        </w:tc>
      </w:tr>
      <w:tr>
        <w:trPr>
          <w:trHeight w:val="27"/>
        </w:trPr>
        <w:tc>
          <w:tcPr>
            <w:tcW w:w="6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receivables</w:t>
            </w:r>
          </w:p>
        </w:tc>
        <w:tc>
          <w:tcPr>
            <w:tcW w:w="17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4,206</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Allowance for uncollectible accounts</w:t>
            </w:r>
          </w:p>
        </w:tc>
        <w:tc>
          <w:tcPr>
            <w:tcW w:w="17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(2,612)</w:t>
            </w:r>
          </w:p>
        </w:tc>
      </w:tr>
      <w:tr>
        <w:trPr>
          <w:trHeight w:val="27"/>
        </w:trPr>
        <w:tc>
          <w:tcPr>
            <w:tcW w:w="65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4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50,735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r>
        <w:trPr>
          <w:trHeight w:val="614"/>
        </w:trPr>
        <w:tc>
          <w:tcPr>
            <w:tcW w:w="6520" w:type="dxa"/>
            <w:vAlign w:val="bottom"/>
          </w:tcPr>
          <w:p>
            <w:pPr>
              <w:spacing w:after="0"/>
              <w:rPr>
                <w:sz w:val="24"/>
                <w:szCs w:val="24"/>
                <w:color w:val="auto"/>
              </w:rPr>
            </w:pPr>
          </w:p>
        </w:tc>
        <w:tc>
          <w:tcPr>
            <w:tcW w:w="1700" w:type="dxa"/>
            <w:vAlign w:val="bottom"/>
          </w:tcPr>
          <w:p>
            <w:pPr>
              <w:jc w:val="center"/>
              <w:ind w:left="610"/>
              <w:spacing w:after="0"/>
              <w:rPr>
                <w:sz w:val="20"/>
                <w:szCs w:val="20"/>
                <w:color w:val="auto"/>
              </w:rPr>
            </w:pPr>
            <w:r>
              <w:rPr>
                <w:rFonts w:ascii="Arial" w:cs="Arial" w:eastAsia="Arial" w:hAnsi="Arial"/>
                <w:sz w:val="18"/>
                <w:szCs w:val="18"/>
                <w:color w:val="auto"/>
                <w:w w:val="97"/>
              </w:rPr>
              <w:t>As of</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jc w:val="center"/>
              <w:ind w:right="230"/>
              <w:spacing w:after="0"/>
              <w:rPr>
                <w:sz w:val="20"/>
                <w:szCs w:val="20"/>
                <w:color w:val="auto"/>
              </w:rPr>
            </w:pPr>
            <w:r>
              <w:rPr>
                <w:rFonts w:ascii="Arial" w:cs="Arial" w:eastAsia="Arial" w:hAnsi="Arial"/>
                <w:sz w:val="18"/>
                <w:szCs w:val="18"/>
                <w:color w:val="auto"/>
                <w:w w:val="97"/>
              </w:rPr>
              <w:t>As of</w:t>
            </w: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700" w:type="dxa"/>
            <w:vAlign w:val="bottom"/>
          </w:tcPr>
          <w:p>
            <w:pPr>
              <w:jc w:val="center"/>
              <w:ind w:left="610"/>
              <w:spacing w:after="0"/>
              <w:rPr>
                <w:sz w:val="20"/>
                <w:szCs w:val="20"/>
                <w:color w:val="auto"/>
              </w:rPr>
            </w:pPr>
            <w:r>
              <w:rPr>
                <w:rFonts w:ascii="Arial" w:cs="Arial" w:eastAsia="Arial" w:hAnsi="Arial"/>
                <w:sz w:val="18"/>
                <w:szCs w:val="18"/>
                <w:color w:val="auto"/>
                <w:w w:val="87"/>
              </w:rPr>
              <w:t>June 29, 2019</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tcPr>
          <w:p>
            <w:pPr>
              <w:jc w:val="center"/>
              <w:ind w:right="210"/>
              <w:spacing w:after="0"/>
              <w:rPr>
                <w:sz w:val="20"/>
                <w:szCs w:val="20"/>
                <w:color w:val="auto"/>
              </w:rPr>
            </w:pPr>
            <w:r>
              <w:rPr>
                <w:rFonts w:ascii="Arial" w:cs="Arial" w:eastAsia="Arial" w:hAnsi="Arial"/>
                <w:sz w:val="18"/>
                <w:szCs w:val="18"/>
                <w:color w:val="auto"/>
                <w:w w:val="89"/>
              </w:rPr>
              <w:t>December 29, 2018</w:t>
            </w:r>
          </w:p>
        </w:tc>
      </w:tr>
      <w:tr>
        <w:trPr>
          <w:trHeight w:val="27"/>
        </w:trPr>
        <w:tc>
          <w:tcPr>
            <w:tcW w:w="65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Inventories:</w:t>
            </w:r>
          </w:p>
        </w:tc>
        <w:tc>
          <w:tcPr>
            <w:tcW w:w="17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70"/>
        </w:trPr>
        <w:tc>
          <w:tcPr>
            <w:tcW w:w="65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Raw materials and work in process </w:t>
            </w:r>
            <w:r>
              <w:rPr>
                <w:rFonts w:ascii="Arial" w:cs="Arial" w:eastAsia="Arial" w:hAnsi="Arial"/>
                <w:sz w:val="25"/>
                <w:szCs w:val="25"/>
                <w:color w:val="auto"/>
                <w:vertAlign w:val="superscript"/>
              </w:rPr>
              <w:t>(1)</w:t>
            </w:r>
          </w:p>
        </w:tc>
        <w:tc>
          <w:tcPr>
            <w:tcW w:w="1700" w:type="dxa"/>
            <w:vAlign w:val="bottom"/>
          </w:tcPr>
          <w:p>
            <w:pPr>
              <w:jc w:val="right"/>
              <w:ind w:right="14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54,071</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59,946</w:t>
            </w: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17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51,589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56,076</w:t>
            </w:r>
          </w:p>
        </w:tc>
      </w:tr>
      <w:tr>
        <w:trPr>
          <w:trHeight w:val="237"/>
        </w:trPr>
        <w:tc>
          <w:tcPr>
            <w:tcW w:w="6520" w:type="dxa"/>
            <w:vAlign w:val="bottom"/>
          </w:tcPr>
          <w:p>
            <w:pPr>
              <w:spacing w:after="0"/>
              <w:rPr>
                <w:sz w:val="20"/>
                <w:szCs w:val="20"/>
                <w:color w:val="auto"/>
              </w:rPr>
            </w:pPr>
          </w:p>
        </w:tc>
        <w:tc>
          <w:tcPr>
            <w:tcW w:w="1700" w:type="dxa"/>
            <w:vAlign w:val="bottom"/>
            <w:tcBorders>
              <w:top w:val="single" w:sz="8" w:color="auto"/>
            </w:tcBorders>
          </w:tcPr>
          <w:p>
            <w:pPr>
              <w:jc w:val="right"/>
              <w:ind w:right="14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105,660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17145</wp:posOffset>
            </wp:positionV>
            <wp:extent cx="31127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9" w:lineRule="exact"/>
        <w:rPr>
          <w:sz w:val="20"/>
          <w:szCs w:val="20"/>
          <w:color w:val="auto"/>
        </w:rPr>
      </w:pPr>
    </w:p>
    <w:p>
      <w:pPr>
        <w:ind w:left="40" w:right="560" w:hanging="5"/>
        <w:spacing w:after="0" w:line="253" w:lineRule="auto"/>
        <w:tabs>
          <w:tab w:leader="none" w:pos="283" w:val="left"/>
        </w:tabs>
        <w:numPr>
          <w:ilvl w:val="0"/>
          <w:numId w:val="5"/>
        </w:numPr>
        <w:rPr>
          <w:rFonts w:ascii="Arial" w:cs="Arial" w:eastAsia="Arial" w:hAnsi="Arial"/>
          <w:sz w:val="14"/>
          <w:szCs w:val="14"/>
          <w:color w:val="auto"/>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-211455</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gridSpan w:val="2"/>
          </w:tcPr>
          <w:p>
            <w:pPr>
              <w:jc w:val="center"/>
              <w:ind w:right="500"/>
              <w:spacing w:after="0"/>
              <w:rPr>
                <w:sz w:val="20"/>
                <w:szCs w:val="20"/>
                <w:color w:val="auto"/>
              </w:rPr>
            </w:pPr>
            <w:r>
              <w:rPr>
                <w:rFonts w:ascii="Arial" w:cs="Arial" w:eastAsia="Arial" w:hAnsi="Arial"/>
                <w:sz w:val="18"/>
                <w:szCs w:val="18"/>
                <w:color w:val="auto"/>
                <w:w w:val="97"/>
              </w:rPr>
              <w:t>As of</w:t>
            </w:r>
          </w:p>
        </w:tc>
        <w:tc>
          <w:tcPr>
            <w:tcW w:w="320" w:type="dxa"/>
            <w:vAlign w:val="bottom"/>
          </w:tcPr>
          <w:p>
            <w:pPr>
              <w:spacing w:after="0"/>
              <w:rPr>
                <w:sz w:val="18"/>
                <w:szCs w:val="18"/>
                <w:color w:val="auto"/>
              </w:rPr>
            </w:pPr>
          </w:p>
        </w:tc>
        <w:tc>
          <w:tcPr>
            <w:tcW w:w="2080" w:type="dxa"/>
            <w:vAlign w:val="bottom"/>
          </w:tcPr>
          <w:p>
            <w:pPr>
              <w:jc w:val="right"/>
              <w:ind w:right="91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44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June 29, 2019</w:t>
            </w:r>
          </w:p>
        </w:tc>
        <w:tc>
          <w:tcPr>
            <w:tcW w:w="320" w:type="dxa"/>
            <w:vAlign w:val="bottom"/>
          </w:tcPr>
          <w:p>
            <w:pPr>
              <w:spacing w:after="0"/>
              <w:rPr>
                <w:sz w:val="20"/>
                <w:szCs w:val="20"/>
                <w:color w:val="auto"/>
              </w:rPr>
            </w:pPr>
          </w:p>
        </w:tc>
        <w:tc>
          <w:tcPr>
            <w:tcW w:w="2080" w:type="dxa"/>
            <w:vAlign w:val="bottom"/>
          </w:tcPr>
          <w:p>
            <w:pPr>
              <w:jc w:val="right"/>
              <w:ind w:right="390"/>
              <w:spacing w:after="0"/>
              <w:rPr>
                <w:sz w:val="20"/>
                <w:szCs w:val="20"/>
                <w:color w:val="auto"/>
              </w:rPr>
            </w:pPr>
            <w:r>
              <w:rPr>
                <w:rFonts w:ascii="Arial" w:cs="Arial" w:eastAsia="Arial" w:hAnsi="Arial"/>
                <w:sz w:val="18"/>
                <w:szCs w:val="18"/>
                <w:color w:val="auto"/>
                <w:w w:val="99"/>
              </w:rPr>
              <w:t>December 29, 2018</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2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Land and building</w:t>
            </w:r>
          </w:p>
        </w:tc>
        <w:tc>
          <w:tcPr>
            <w:tcW w:w="2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3,632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2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178,836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160,958</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Information systems hardware and software</w:t>
            </w:r>
          </w:p>
        </w:tc>
        <w:tc>
          <w:tcPr>
            <w:tcW w:w="2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114,168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101,809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Furniture and fixtures</w:t>
            </w:r>
          </w:p>
        </w:tc>
        <w:tc>
          <w:tcPr>
            <w:tcW w:w="2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48,992</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2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203,551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186,499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in progress</w:t>
            </w:r>
          </w:p>
        </w:tc>
        <w:tc>
          <w:tcPr>
            <w:tcW w:w="2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40,697</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Right of use assets under finance leases</w:t>
            </w:r>
          </w:p>
        </w:tc>
        <w:tc>
          <w:tcPr>
            <w:tcW w:w="2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34,708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25,446</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620,255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568,033</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2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240,253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212,916</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380,002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355,117</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Arial" w:cs="Arial" w:eastAsia="Arial" w:hAnsi="Arial"/>
                <w:sz w:val="18"/>
                <w:szCs w:val="18"/>
                <w:color w:val="auto"/>
              </w:rPr>
              <w:t>11</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448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14"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Details of Certain Balance Sheet Accounts (continued)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760" w:type="dxa"/>
            <w:vAlign w:val="bottom"/>
          </w:tcPr>
          <w:p>
            <w:pPr>
              <w:jc w:val="center"/>
              <w:ind w:left="550"/>
              <w:spacing w:after="0"/>
              <w:rPr>
                <w:sz w:val="20"/>
                <w:szCs w:val="20"/>
                <w:color w:val="auto"/>
              </w:rPr>
            </w:pPr>
            <w:r>
              <w:rPr>
                <w:rFonts w:ascii="Arial" w:cs="Arial" w:eastAsia="Arial" w:hAnsi="Arial"/>
                <w:sz w:val="18"/>
                <w:szCs w:val="18"/>
                <w:color w:val="auto"/>
                <w:w w:val="97"/>
              </w:rPr>
              <w:t>As of</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jc w:val="center"/>
              <w:ind w:right="230"/>
              <w:spacing w:after="0"/>
              <w:rPr>
                <w:sz w:val="20"/>
                <w:szCs w:val="20"/>
                <w:color w:val="auto"/>
              </w:rPr>
            </w:pPr>
            <w:r>
              <w:rPr>
                <w:rFonts w:ascii="Arial" w:cs="Arial" w:eastAsia="Arial" w:hAnsi="Arial"/>
                <w:sz w:val="18"/>
                <w:szCs w:val="18"/>
                <w:color w:val="auto"/>
                <w:w w:val="97"/>
              </w:rPr>
              <w:t>As of</w:t>
            </w: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760" w:type="dxa"/>
            <w:vAlign w:val="bottom"/>
          </w:tcPr>
          <w:p>
            <w:pPr>
              <w:jc w:val="center"/>
              <w:ind w:left="550"/>
              <w:spacing w:after="0"/>
              <w:rPr>
                <w:sz w:val="20"/>
                <w:szCs w:val="20"/>
                <w:color w:val="auto"/>
              </w:rPr>
            </w:pPr>
            <w:r>
              <w:rPr>
                <w:rFonts w:ascii="Arial" w:cs="Arial" w:eastAsia="Arial" w:hAnsi="Arial"/>
                <w:sz w:val="18"/>
                <w:szCs w:val="18"/>
                <w:color w:val="auto"/>
                <w:w w:val="87"/>
              </w:rPr>
              <w:t>June 29, 2019</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tcPr>
          <w:p>
            <w:pPr>
              <w:jc w:val="center"/>
              <w:ind w:right="210"/>
              <w:spacing w:after="0"/>
              <w:rPr>
                <w:sz w:val="20"/>
                <w:szCs w:val="20"/>
                <w:color w:val="auto"/>
              </w:rPr>
            </w:pPr>
            <w:r>
              <w:rPr>
                <w:rFonts w:ascii="Arial" w:cs="Arial" w:eastAsia="Arial" w:hAnsi="Arial"/>
                <w:sz w:val="18"/>
                <w:szCs w:val="18"/>
                <w:color w:val="auto"/>
                <w:w w:val="89"/>
              </w:rPr>
              <w:t>December 29, 2018</w:t>
            </w:r>
          </w:p>
        </w:tc>
      </w:tr>
      <w:tr>
        <w:trPr>
          <w:trHeight w:val="27"/>
        </w:trPr>
        <w:tc>
          <w:tcPr>
            <w:tcW w:w="65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payables and accrued expenses:</w:t>
            </w:r>
          </w:p>
        </w:tc>
        <w:tc>
          <w:tcPr>
            <w:tcW w:w="1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Employee compensation and benefits</w:t>
            </w:r>
          </w:p>
        </w:tc>
        <w:tc>
          <w:tcPr>
            <w:tcW w:w="1760" w:type="dxa"/>
            <w:vAlign w:val="bottom"/>
          </w:tcPr>
          <w:p>
            <w:pPr>
              <w:jc w:val="right"/>
              <w:ind w:right="15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26,801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20,529</w:t>
            </w:r>
          </w:p>
        </w:tc>
      </w:tr>
      <w:tr>
        <w:trPr>
          <w:trHeight w:val="27"/>
        </w:trPr>
        <w:tc>
          <w:tcPr>
            <w:tcW w:w="6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1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Self-insurance reserves</w:t>
            </w:r>
          </w:p>
        </w:tc>
        <w:tc>
          <w:tcPr>
            <w:tcW w:w="17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8,665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8,117</w:t>
            </w:r>
          </w:p>
        </w:tc>
      </w:tr>
      <w:tr>
        <w:trPr>
          <w:trHeight w:val="27"/>
        </w:trPr>
        <w:tc>
          <w:tcPr>
            <w:tcW w:w="6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Reserves for customer returns and remakes</w:t>
            </w:r>
          </w:p>
        </w:tc>
        <w:tc>
          <w:tcPr>
            <w:tcW w:w="1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4,645</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7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16,156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14,078</w:t>
            </w:r>
          </w:p>
        </w:tc>
      </w:tr>
      <w:tr>
        <w:trPr>
          <w:trHeight w:val="27"/>
        </w:trPr>
        <w:tc>
          <w:tcPr>
            <w:tcW w:w="6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Legacy management and services agreement</w:t>
            </w:r>
          </w:p>
        </w:tc>
        <w:tc>
          <w:tcPr>
            <w:tcW w:w="1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5,383</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Fair value of derivative liabilities</w:t>
            </w:r>
          </w:p>
        </w:tc>
        <w:tc>
          <w:tcPr>
            <w:tcW w:w="17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5,677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3,130</w:t>
            </w:r>
          </w:p>
        </w:tc>
      </w:tr>
      <w:tr>
        <w:trPr>
          <w:trHeight w:val="27"/>
        </w:trPr>
        <w:tc>
          <w:tcPr>
            <w:tcW w:w="6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Supplies and other store support expenses</w:t>
            </w:r>
          </w:p>
        </w:tc>
        <w:tc>
          <w:tcPr>
            <w:tcW w:w="1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4,929</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Litigation settlements</w:t>
            </w:r>
          </w:p>
        </w:tc>
        <w:tc>
          <w:tcPr>
            <w:tcW w:w="17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3,910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3,938</w:t>
            </w:r>
          </w:p>
        </w:tc>
      </w:tr>
      <w:tr>
        <w:trPr>
          <w:trHeight w:val="27"/>
        </w:trPr>
        <w:tc>
          <w:tcPr>
            <w:tcW w:w="6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7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13,857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14,179</w:t>
            </w:r>
          </w:p>
        </w:tc>
      </w:tr>
      <w:tr>
        <w:trPr>
          <w:trHeight w:val="237"/>
        </w:trPr>
        <w:tc>
          <w:tcPr>
            <w:tcW w:w="6520" w:type="dxa"/>
            <w:vAlign w:val="bottom"/>
          </w:tcPr>
          <w:p>
            <w:pPr>
              <w:spacing w:after="0"/>
              <w:rPr>
                <w:sz w:val="20"/>
                <w:szCs w:val="20"/>
                <w:color w:val="auto"/>
              </w:rPr>
            </w:pPr>
          </w:p>
        </w:tc>
        <w:tc>
          <w:tcPr>
            <w:tcW w:w="1760" w:type="dxa"/>
            <w:vAlign w:val="bottom"/>
            <w:tcBorders>
              <w:top w:val="single" w:sz="8" w:color="auto"/>
            </w:tcBorders>
          </w:tcPr>
          <w:p>
            <w:pPr>
              <w:jc w:val="right"/>
              <w:ind w:right="15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92,473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81,004</w:t>
            </w:r>
          </w:p>
        </w:tc>
      </w:tr>
      <w:tr>
        <w:trPr>
          <w:trHeight w:val="27"/>
        </w:trPr>
        <w:tc>
          <w:tcPr>
            <w:tcW w:w="65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614"/>
        </w:trPr>
        <w:tc>
          <w:tcPr>
            <w:tcW w:w="6520" w:type="dxa"/>
            <w:vAlign w:val="bottom"/>
          </w:tcPr>
          <w:p>
            <w:pPr>
              <w:spacing w:after="0"/>
              <w:rPr>
                <w:sz w:val="24"/>
                <w:szCs w:val="24"/>
                <w:color w:val="auto"/>
              </w:rPr>
            </w:pPr>
          </w:p>
        </w:tc>
        <w:tc>
          <w:tcPr>
            <w:tcW w:w="1760" w:type="dxa"/>
            <w:vAlign w:val="bottom"/>
          </w:tcPr>
          <w:p>
            <w:pPr>
              <w:jc w:val="center"/>
              <w:ind w:left="550"/>
              <w:spacing w:after="0"/>
              <w:rPr>
                <w:sz w:val="20"/>
                <w:szCs w:val="20"/>
                <w:color w:val="auto"/>
              </w:rPr>
            </w:pPr>
            <w:r>
              <w:rPr>
                <w:rFonts w:ascii="Arial" w:cs="Arial" w:eastAsia="Arial" w:hAnsi="Arial"/>
                <w:sz w:val="18"/>
                <w:szCs w:val="18"/>
                <w:color w:val="auto"/>
                <w:w w:val="97"/>
              </w:rPr>
              <w:t>As of</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jc w:val="center"/>
              <w:ind w:right="230"/>
              <w:spacing w:after="0"/>
              <w:rPr>
                <w:sz w:val="20"/>
                <w:szCs w:val="20"/>
                <w:color w:val="auto"/>
              </w:rPr>
            </w:pPr>
            <w:r>
              <w:rPr>
                <w:rFonts w:ascii="Arial" w:cs="Arial" w:eastAsia="Arial" w:hAnsi="Arial"/>
                <w:sz w:val="18"/>
                <w:szCs w:val="18"/>
                <w:color w:val="auto"/>
                <w:w w:val="97"/>
              </w:rPr>
              <w:t>As of</w:t>
            </w: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760" w:type="dxa"/>
            <w:vAlign w:val="bottom"/>
          </w:tcPr>
          <w:p>
            <w:pPr>
              <w:jc w:val="center"/>
              <w:ind w:left="550"/>
              <w:spacing w:after="0"/>
              <w:rPr>
                <w:sz w:val="20"/>
                <w:szCs w:val="20"/>
                <w:color w:val="auto"/>
              </w:rPr>
            </w:pPr>
            <w:r>
              <w:rPr>
                <w:rFonts w:ascii="Arial" w:cs="Arial" w:eastAsia="Arial" w:hAnsi="Arial"/>
                <w:sz w:val="18"/>
                <w:szCs w:val="18"/>
                <w:color w:val="auto"/>
                <w:w w:val="87"/>
              </w:rPr>
              <w:t>June 29, 2019</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tcPr>
          <w:p>
            <w:pPr>
              <w:jc w:val="center"/>
              <w:ind w:right="210"/>
              <w:spacing w:after="0"/>
              <w:rPr>
                <w:sz w:val="20"/>
                <w:szCs w:val="20"/>
                <w:color w:val="auto"/>
              </w:rPr>
            </w:pPr>
            <w:r>
              <w:rPr>
                <w:rFonts w:ascii="Arial" w:cs="Arial" w:eastAsia="Arial" w:hAnsi="Arial"/>
                <w:sz w:val="18"/>
                <w:szCs w:val="18"/>
                <w:color w:val="auto"/>
                <w:w w:val="89"/>
              </w:rPr>
              <w:t>December 29, 2018</w:t>
            </w:r>
          </w:p>
        </w:tc>
      </w:tr>
      <w:tr>
        <w:trPr>
          <w:trHeight w:val="27"/>
        </w:trPr>
        <w:tc>
          <w:tcPr>
            <w:tcW w:w="65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1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Fair value of derivative liabilities</w:t>
            </w:r>
          </w:p>
        </w:tc>
        <w:tc>
          <w:tcPr>
            <w:tcW w:w="1760" w:type="dxa"/>
            <w:vAlign w:val="bottom"/>
          </w:tcPr>
          <w:p>
            <w:pPr>
              <w:jc w:val="right"/>
              <w:ind w:right="15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4,477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3,505</w:t>
            </w:r>
          </w:p>
        </w:tc>
      </w:tr>
      <w:tr>
        <w:trPr>
          <w:trHeight w:val="27"/>
        </w:trPr>
        <w:tc>
          <w:tcPr>
            <w:tcW w:w="6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65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Tenant improvements </w:t>
            </w:r>
            <w:r>
              <w:rPr>
                <w:rFonts w:ascii="Arial" w:cs="Arial" w:eastAsia="Arial" w:hAnsi="Arial"/>
                <w:sz w:val="25"/>
                <w:szCs w:val="25"/>
                <w:color w:val="auto"/>
                <w:vertAlign w:val="superscript"/>
              </w:rPr>
              <w:t>(1)</w:t>
            </w:r>
          </w:p>
        </w:tc>
        <w:tc>
          <w:tcPr>
            <w:tcW w:w="17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2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30,851</w:t>
            </w:r>
          </w:p>
        </w:tc>
      </w:tr>
      <w:tr>
        <w:trPr>
          <w:trHeight w:val="270"/>
        </w:trPr>
        <w:tc>
          <w:tcPr>
            <w:tcW w:w="65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Deferred rental expenses </w:t>
            </w:r>
            <w:r>
              <w:rPr>
                <w:rFonts w:ascii="Arial" w:cs="Arial" w:eastAsia="Arial" w:hAnsi="Arial"/>
                <w:sz w:val="25"/>
                <w:szCs w:val="25"/>
                <w:color w:val="auto"/>
                <w:vertAlign w:val="superscript"/>
              </w:rPr>
              <w:t>(1)</w:t>
            </w:r>
          </w:p>
        </w:tc>
        <w:tc>
          <w:tcPr>
            <w:tcW w:w="176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11,926</w:t>
            </w: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Self-insurance reserves</w:t>
            </w:r>
          </w:p>
        </w:tc>
        <w:tc>
          <w:tcPr>
            <w:tcW w:w="1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5,114</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8,379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2,568</w:t>
            </w:r>
          </w:p>
        </w:tc>
      </w:tr>
      <w:tr>
        <w:trPr>
          <w:trHeight w:val="27"/>
        </w:trPr>
        <w:tc>
          <w:tcPr>
            <w:tcW w:w="65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18,482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53,964</w:t>
            </w:r>
          </w:p>
        </w:tc>
      </w:tr>
      <w:tr>
        <w:trPr>
          <w:trHeight w:val="20"/>
        </w:trPr>
        <w:tc>
          <w:tcPr>
            <w:tcW w:w="6520" w:type="dxa"/>
            <w:vAlign w:val="bottom"/>
            <w:shd w:val="clear" w:color="auto" w:fill="CCEEFF"/>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ind w:left="280" w:hanging="245"/>
        <w:spacing w:after="0"/>
        <w:tabs>
          <w:tab w:leader="none" w:pos="280" w:val="left"/>
        </w:tabs>
        <w:numPr>
          <w:ilvl w:val="1"/>
          <w:numId w:val="6"/>
        </w:numPr>
        <w:rPr>
          <w:rFonts w:ascii="Arial" w:cs="Arial" w:eastAsia="Arial" w:hAnsi="Arial"/>
          <w:sz w:val="13"/>
          <w:szCs w:val="13"/>
          <w:color w:val="auto"/>
        </w:rPr>
      </w:pPr>
      <w:r>
        <w:rPr>
          <w:rFonts w:ascii="Arial" w:cs="Arial" w:eastAsia="Arial" w:hAnsi="Arial"/>
          <w:sz w:val="13"/>
          <w:szCs w:val="13"/>
          <w:color w:val="auto"/>
        </w:rPr>
        <w:t xml:space="preserve">Tenant improvements and deferred rental expenses are used to measure ROU assets on the balance sheet under ASC 842, </w:t>
      </w:r>
      <w:r>
        <w:rPr>
          <w:rFonts w:ascii="Arial" w:cs="Arial" w:eastAsia="Arial" w:hAnsi="Arial"/>
          <w:sz w:val="13"/>
          <w:szCs w:val="13"/>
          <w:i w:val="1"/>
          <w:iCs w:val="1"/>
          <w:color w:val="auto"/>
        </w:rPr>
        <w:t>Leases</w:t>
      </w:r>
      <w:r>
        <w:rPr>
          <w:rFonts w:ascii="Arial" w:cs="Arial" w:eastAsia="Arial" w:hAnsi="Arial"/>
          <w:sz w:val="13"/>
          <w:szCs w:val="13"/>
          <w:color w:val="auto"/>
        </w:rPr>
        <w:t xml:space="preserve"> as of June 29, 2019. See Note 7. “Leases” for further details.</w:t>
      </w:r>
    </w:p>
    <w:p>
      <w:pPr>
        <w:spacing w:after="0" w:line="350" w:lineRule="exact"/>
        <w:rPr>
          <w:rFonts w:ascii="Arial" w:cs="Arial" w:eastAsia="Arial" w:hAnsi="Arial"/>
          <w:sz w:val="13"/>
          <w:szCs w:val="13"/>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of Financial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-445135</wp:posOffset>
            </wp:positionV>
            <wp:extent cx="3112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a fair value hierarchy that is intended to increase consistency and comparability in fair value measurements and related disclosures.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pricing based upon a reporting entity’s own market assumptions.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required to measure certain assets and liabilities at fair value or disclose the fair values of certain assets and liabilities recorded at cost. Accounting standards define fair value as the price that would be received upon sale of an asset or paid upon transfer of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pacing w:after="0" w:line="8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Valuation inputs are based upon unadjusted quoted prices for identical instruments traded in active markets.</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instruments.</w:t>
      </w:r>
    </w:p>
    <w:p>
      <w:pPr>
        <w:spacing w:after="0" w:line="7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Valuation inputs are unobservable and typically reflect management’s estimates of assumptions that market participants would use in pricing the asset or liability. The fair values are determined using model-based techniques that include discounted cash flow models and similar techniques.</w:t>
      </w:r>
    </w:p>
    <w:p>
      <w:pPr>
        <w:sectPr>
          <w:pgSz w:w="11900" w:h="16838" w:orient="portrait"/>
          <w:cols w:equalWidth="0" w:num="1">
            <w:col w:w="11420"/>
          </w:cols>
          <w:pgMar w:left="240" w:top="314"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14"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 of Financial Assets and Liabilities (continued)</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 estimates of financial instruments are not necessarily indicative of the amounts we might pay or receive in actual market transactions. The use of different market assumptions and/or estimation methodologies may have a material impact on the estimated fair value amounts.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 of cash and cash equivalents approximates fair value due to the short-term maturity of the instruments. All cash and cash equivalents are denominated in U.S. currency.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 of accounts receivable approximates fair value due to the short-term nature of those items and the effect of related allowances for doubtful accounts.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and Other Payables and Accrued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accounts payable and other payables and accrued expenses approximate fair value due to the short-term nature of those items.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 First Lien Credit Agreement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long-term debt is traded in private markets on a less-than-daily basis. Fair value is based on the average of trading prices and bid/ask quotes around period-end (Level 2 inputs). The estimated fair values of our long-term debt was $556.9 million and $556.1 million as of June 29, 2019 and December 29, 2018, respectively, compared to carrying values of $552.0 million and $553.6 million, respectively, which includes the current portion, and is net of unamortized discounts and deferred debt issuance costs. Refer to Note 12. “</w:t>
      </w:r>
      <w:r>
        <w:rPr>
          <w:rFonts w:ascii="Arial" w:cs="Arial" w:eastAsia="Arial" w:hAnsi="Arial"/>
          <w:sz w:val="18"/>
          <w:szCs w:val="18"/>
          <w:i w:val="1"/>
          <w:iCs w:val="1"/>
          <w:color w:val="auto"/>
        </w:rPr>
        <w:t>Subsequent Events</w:t>
      </w:r>
      <w:r>
        <w:rPr>
          <w:rFonts w:ascii="Arial" w:cs="Arial" w:eastAsia="Arial" w:hAnsi="Arial"/>
          <w:sz w:val="18"/>
          <w:szCs w:val="18"/>
          <w:color w:val="auto"/>
        </w:rPr>
        <w:t>” for further information on the July 18, 2019 Term Loan A - Joinder and Amendment and Restatement agreement.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 Obligations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finance lease obligations is based on estimated future contractual cash flows discounted at an appropriate market rate of interest (Level 2 inputs). The estimated fair values of our finance leases were $41.2 million and $30.7 million as of June 29, 2019 and December 29, 2018, respectively, compared to carrying values of $35.6 million and $24.5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Derivatives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party to three pay-fixed and receive-floating interest rate swap agreements to offset the variability of cash flows in LIBOR-indexed debt interest payments, subject to a 1.0% floor, attributable to changes in the benchmark interest rate from March 13, 2017 to March 13, 2021 related to its credit agreement. During the first quarter of 2019, in accordance with the original agreements with the counterparties, the notional amount of the first derivative decreased from $140.0 million to $105.0 million. There were no other changes in the terms of the arrangements.</w:t>
      </w:r>
    </w:p>
    <w:p>
      <w:pPr>
        <w:spacing w:after="0" w:line="6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recognize as assets or liabilities at fair value the estimated amounts we would receive or pay upon a termination of interest rate swaps prior to their scheduled expiration dates. Fair value is based on information that is model-driven and whose inputs are observable (Level 2 inputs). Cumulative unrealized losses on derivative instruments are recorded in accumulated other comprehensive loss (“AOCL”), net of tax. As of June 29, 2019, the Company expects to reclassify $4.2 million, net of tax, of AOCL into earnings in the next 12 months. See Note 11. “Accumulated Other Comprehensive Loss” for further details.</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the cash flows of each derivative are expected to be highly effective in offsetting the changes in interest payments on a principal balance equal to the derivative’s notional amount, attributable to the hedged risk. Our hedges have been deemed highly effective since inception as a result of our quarterly hedge effectiveness testing.</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 of Financial Assets and Liabilities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cash flow hedge position related to interest rate derivative contracts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Other Payables and</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7"/>
        </w:trPr>
        <w:tc>
          <w:tcPr>
            <w:tcW w:w="24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2"/>
                <w:szCs w:val="22"/>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Notional Amount</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Maturity Date</w:t>
            </w:r>
          </w:p>
        </w:tc>
        <w:tc>
          <w:tcPr>
            <w:tcW w:w="140" w:type="dxa"/>
            <w:vAlign w:val="bottom"/>
          </w:tcPr>
          <w:p>
            <w:pPr>
              <w:spacing w:after="0"/>
              <w:rPr>
                <w:sz w:val="22"/>
                <w:szCs w:val="22"/>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Accrued Expenses</w:t>
            </w:r>
          </w:p>
        </w:tc>
        <w:tc>
          <w:tcPr>
            <w:tcW w:w="200" w:type="dxa"/>
            <w:vAlign w:val="bottom"/>
          </w:tcPr>
          <w:p>
            <w:pPr>
              <w:spacing w:after="0"/>
              <w:rPr>
                <w:sz w:val="22"/>
                <w:szCs w:val="22"/>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Other Liabilities</w:t>
            </w:r>
          </w:p>
        </w:tc>
        <w:tc>
          <w:tcPr>
            <w:tcW w:w="1700" w:type="dxa"/>
            <w:vAlign w:val="bottom"/>
            <w:gridSpan w:val="2"/>
          </w:tcPr>
          <w:p>
            <w:pPr>
              <w:jc w:val="right"/>
              <w:spacing w:after="0" w:line="257" w:lineRule="exact"/>
              <w:rPr>
                <w:sz w:val="20"/>
                <w:szCs w:val="20"/>
                <w:color w:val="auto"/>
              </w:rPr>
            </w:pPr>
            <w:r>
              <w:rPr>
                <w:rFonts w:ascii="Arial" w:cs="Arial" w:eastAsia="Arial" w:hAnsi="Arial"/>
                <w:sz w:val="18"/>
                <w:szCs w:val="18"/>
                <w:color w:val="auto"/>
                <w:w w:val="95"/>
              </w:rPr>
              <w:t xml:space="preserve">AOCL, Net of Tax </w:t>
            </w:r>
            <w:r>
              <w:rPr>
                <w:rFonts w:ascii="Arial" w:cs="Arial" w:eastAsia="Arial" w:hAnsi="Arial"/>
                <w:sz w:val="25"/>
                <w:szCs w:val="25"/>
                <w:color w:val="auto"/>
                <w:w w:val="95"/>
                <w:vertAlign w:val="superscript"/>
              </w:rPr>
              <w:t>(1)</w:t>
            </w:r>
          </w:p>
        </w:tc>
      </w:tr>
      <w:tr>
        <w:trPr>
          <w:trHeight w:val="209"/>
        </w:trPr>
        <w:tc>
          <w:tcPr>
            <w:tcW w:w="24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As of</w:t>
            </w:r>
          </w:p>
        </w:tc>
        <w:tc>
          <w:tcPr>
            <w:tcW w:w="1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7"/>
        </w:trPr>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June 29,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430,000</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March 2021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4,477</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5,427</w:t>
            </w:r>
          </w:p>
        </w:tc>
      </w:tr>
      <w:tr>
        <w:trPr>
          <w:trHeight w:val="229"/>
        </w:trPr>
        <w:tc>
          <w:tcPr>
            <w:tcW w:w="2420" w:type="dxa"/>
            <w:vAlign w:val="bottom"/>
          </w:tcPr>
          <w:p>
            <w:pPr>
              <w:jc w:val="center"/>
              <w:spacing w:after="0"/>
              <w:rPr>
                <w:sz w:val="20"/>
                <w:szCs w:val="20"/>
                <w:color w:val="auto"/>
              </w:rPr>
            </w:pPr>
            <w:r>
              <w:rPr>
                <w:rFonts w:ascii="Arial" w:cs="Arial" w:eastAsia="Arial" w:hAnsi="Arial"/>
                <w:sz w:val="18"/>
                <w:szCs w:val="18"/>
                <w:color w:val="auto"/>
                <w:w w:val="92"/>
              </w:rPr>
              <w:t>As of</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420" w:type="dxa"/>
            <w:vAlign w:val="bottom"/>
          </w:tcPr>
          <w:p>
            <w:pPr>
              <w:jc w:val="center"/>
              <w:spacing w:after="0"/>
              <w:rPr>
                <w:sz w:val="20"/>
                <w:szCs w:val="20"/>
                <w:color w:val="auto"/>
              </w:rPr>
            </w:pPr>
            <w:r>
              <w:rPr>
                <w:rFonts w:ascii="Arial" w:cs="Arial" w:eastAsia="Arial" w:hAnsi="Arial"/>
                <w:sz w:val="18"/>
                <w:szCs w:val="18"/>
                <w:color w:val="auto"/>
                <w:w w:val="89"/>
              </w:rPr>
              <w:t>December 29, 2018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465,000</w:t>
            </w:r>
          </w:p>
        </w:tc>
        <w:tc>
          <w:tcPr>
            <w:tcW w:w="12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March 2021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3,130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20"/>
                <w:szCs w:val="20"/>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2,810</w:t>
            </w:r>
          </w:p>
        </w:tc>
      </w:tr>
    </w:tbl>
    <w:p>
      <w:pPr>
        <w:spacing w:after="0" w:line="116" w:lineRule="exact"/>
        <w:rPr>
          <w:sz w:val="20"/>
          <w:szCs w:val="20"/>
          <w:color w:val="auto"/>
        </w:rPr>
      </w:pPr>
    </w:p>
    <w:p>
      <w:pPr>
        <w:ind w:left="660" w:hanging="328"/>
        <w:spacing w:after="0"/>
        <w:tabs>
          <w:tab w:leader="none" w:pos="660" w:val="left"/>
        </w:tabs>
        <w:numPr>
          <w:ilvl w:val="1"/>
          <w:numId w:val="9"/>
        </w:numPr>
        <w:rPr>
          <w:rFonts w:ascii="Arial" w:cs="Arial" w:eastAsia="Arial" w:hAnsi="Arial"/>
          <w:sz w:val="14"/>
          <w:szCs w:val="14"/>
          <w:color w:val="auto"/>
        </w:rPr>
      </w:pPr>
      <w:r>
        <w:rPr>
          <w:rFonts w:ascii="Arial" w:cs="Arial" w:eastAsia="Arial" w:hAnsi="Arial"/>
          <w:sz w:val="14"/>
          <w:szCs w:val="14"/>
          <w:color w:val="auto"/>
        </w:rPr>
        <w:t>Includes stranded tax benefit of $2.1 million within AOCL from adopting provisions of the Tax Cuts and Jobs Act of 2017 during the year ended December 30, 2017.</w:t>
      </w:r>
    </w:p>
    <w:p>
      <w:pPr>
        <w:spacing w:after="0" w:line="109" w:lineRule="exact"/>
        <w:rPr>
          <w:rFonts w:ascii="Arial" w:cs="Arial" w:eastAsia="Arial" w:hAnsi="Arial"/>
          <w:sz w:val="14"/>
          <w:szCs w:val="14"/>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stock based compensation activity for the six months ended June 29,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Performance-based</w:t>
            </w:r>
          </w:p>
        </w:tc>
        <w:tc>
          <w:tcPr>
            <w:tcW w:w="1800" w:type="dxa"/>
            <w:vAlign w:val="bottom"/>
          </w:tcPr>
          <w:p>
            <w:pPr>
              <w:spacing w:after="0"/>
              <w:rPr>
                <w:sz w:val="18"/>
                <w:szCs w:val="18"/>
                <w:color w:val="auto"/>
              </w:rPr>
            </w:pPr>
          </w:p>
        </w:tc>
      </w:tr>
      <w:tr>
        <w:trPr>
          <w:trHeight w:val="257"/>
        </w:trPr>
        <w:tc>
          <w:tcPr>
            <w:tcW w:w="5720" w:type="dxa"/>
            <w:vAlign w:val="bottom"/>
          </w:tcPr>
          <w:p>
            <w:pPr>
              <w:spacing w:after="0"/>
              <w:rPr>
                <w:sz w:val="22"/>
                <w:szCs w:val="22"/>
                <w:color w:val="auto"/>
              </w:rPr>
            </w:pPr>
          </w:p>
        </w:tc>
        <w:tc>
          <w:tcPr>
            <w:tcW w:w="1960" w:type="dxa"/>
            <w:vAlign w:val="bottom"/>
            <w:gridSpan w:val="2"/>
          </w:tcPr>
          <w:p>
            <w:pPr>
              <w:ind w:left="40"/>
              <w:spacing w:after="0" w:line="257" w:lineRule="exact"/>
              <w:rPr>
                <w:sz w:val="20"/>
                <w:szCs w:val="20"/>
                <w:color w:val="auto"/>
              </w:rPr>
            </w:pPr>
            <w:r>
              <w:rPr>
                <w:rFonts w:ascii="Arial" w:cs="Arial" w:eastAsia="Arial" w:hAnsi="Arial"/>
                <w:sz w:val="18"/>
                <w:szCs w:val="18"/>
                <w:color w:val="auto"/>
                <w:w w:val="93"/>
              </w:rPr>
              <w:t xml:space="preserve">Service-based options </w:t>
            </w:r>
            <w:r>
              <w:rPr>
                <w:rFonts w:ascii="Arial" w:cs="Arial" w:eastAsia="Arial" w:hAnsi="Arial"/>
                <w:sz w:val="25"/>
                <w:szCs w:val="25"/>
                <w:color w:val="auto"/>
                <w:w w:val="93"/>
                <w:vertAlign w:val="superscript"/>
              </w:rPr>
              <w:t>(1)</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options</w:t>
            </w:r>
          </w:p>
        </w:tc>
        <w:tc>
          <w:tcPr>
            <w:tcW w:w="1800" w:type="dxa"/>
            <w:vAlign w:val="bottom"/>
          </w:tcPr>
          <w:p>
            <w:pPr>
              <w:jc w:val="right"/>
              <w:ind w:right="350"/>
              <w:spacing w:after="0"/>
              <w:rPr>
                <w:sz w:val="20"/>
                <w:szCs w:val="20"/>
                <w:color w:val="auto"/>
              </w:rPr>
            </w:pPr>
            <w:r>
              <w:rPr>
                <w:rFonts w:ascii="Arial" w:cs="Arial" w:eastAsia="Arial" w:hAnsi="Arial"/>
                <w:sz w:val="18"/>
                <w:szCs w:val="18"/>
                <w:color w:val="auto"/>
              </w:rPr>
              <w:t>Total options</w:t>
            </w:r>
          </w:p>
        </w:tc>
      </w:tr>
      <w:tr>
        <w:trPr>
          <w:trHeight w:val="244"/>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29, 2018</w:t>
            </w:r>
          </w:p>
        </w:tc>
        <w:tc>
          <w:tcPr>
            <w:tcW w:w="18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2,583,380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4,143,781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6,727,161</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288,474</w:t>
            </w:r>
          </w:p>
        </w:tc>
        <w:tc>
          <w:tcPr>
            <w:tcW w:w="120" w:type="dxa"/>
            <w:vAlign w:val="bottom"/>
          </w:tcPr>
          <w:p>
            <w:pPr>
              <w:spacing w:after="0"/>
              <w:rPr>
                <w:sz w:val="21"/>
                <w:szCs w:val="21"/>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288,474</w:t>
            </w: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(45,836)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(241,018)</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(286,854)</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(122,263)</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(122,263)</w:t>
            </w: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29, 2019</w:t>
            </w: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2,826,018</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3,780,500</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6,606,518</w:t>
            </w:r>
          </w:p>
        </w:tc>
      </w:tr>
      <w:tr>
        <w:trPr>
          <w:trHeight w:val="20"/>
        </w:trPr>
        <w:tc>
          <w:tcPr>
            <w:tcW w:w="57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30"/>
        </w:trPr>
        <w:tc>
          <w:tcPr>
            <w:tcW w:w="5720" w:type="dxa"/>
            <w:vAlign w:val="bottom"/>
          </w:tcPr>
          <w:p>
            <w:pPr>
              <w:ind w:left="40"/>
              <w:spacing w:after="0"/>
              <w:rPr>
                <w:sz w:val="20"/>
                <w:szCs w:val="20"/>
                <w:color w:val="auto"/>
              </w:rPr>
            </w:pPr>
            <w:r>
              <w:rPr>
                <w:rFonts w:ascii="Arial" w:cs="Arial" w:eastAsia="Arial" w:hAnsi="Arial"/>
                <w:sz w:val="18"/>
                <w:szCs w:val="18"/>
                <w:color w:val="auto"/>
              </w:rPr>
              <w:t>Vested and exercisable at June 29, 2019</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1,891,075</w:t>
            </w:r>
          </w:p>
        </w:tc>
        <w:tc>
          <w:tcPr>
            <w:tcW w:w="120" w:type="dxa"/>
            <w:vAlign w:val="bottom"/>
          </w:tcPr>
          <w:p>
            <w:pPr>
              <w:spacing w:after="0"/>
              <w:rPr>
                <w:sz w:val="20"/>
                <w:szCs w:val="20"/>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1,519,992</w:t>
            </w:r>
          </w:p>
        </w:tc>
        <w:tc>
          <w:tcPr>
            <w:tcW w:w="12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3,411,067</w:t>
            </w:r>
          </w:p>
        </w:tc>
      </w:tr>
    </w:tbl>
    <w:p>
      <w:pPr>
        <w:spacing w:after="0" w:line="35" w:lineRule="exact"/>
        <w:rPr>
          <w:sz w:val="20"/>
          <w:szCs w:val="20"/>
          <w:color w:val="auto"/>
        </w:rPr>
      </w:pPr>
    </w:p>
    <w:p>
      <w:pPr>
        <w:ind w:left="40"/>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Includes service-based options under the Vision Holding Corp. Amended and Restated 2013 Equity Incentive Plan, the 2014 Stock Incentive Plan, and the 2017 Omnibus Incentive Plan.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Performance-based</w:t>
            </w:r>
          </w:p>
        </w:tc>
        <w:tc>
          <w:tcPr>
            <w:tcW w:w="180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Service-based restricted</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restricted stock unit</w:t>
            </w:r>
          </w:p>
        </w:tc>
        <w:tc>
          <w:tcPr>
            <w:tcW w:w="1800" w:type="dxa"/>
            <w:vAlign w:val="bottom"/>
          </w:tcPr>
          <w:p>
            <w:pPr>
              <w:jc w:val="right"/>
              <w:spacing w:after="0"/>
              <w:rPr>
                <w:sz w:val="20"/>
                <w:szCs w:val="20"/>
                <w:color w:val="auto"/>
              </w:rPr>
            </w:pPr>
            <w:r>
              <w:rPr>
                <w:rFonts w:ascii="Arial" w:cs="Arial" w:eastAsia="Arial" w:hAnsi="Arial"/>
                <w:sz w:val="18"/>
                <w:szCs w:val="18"/>
                <w:color w:val="auto"/>
                <w:w w:val="94"/>
              </w:rPr>
              <w:t>Restricted stock (RSA)</w:t>
            </w:r>
          </w:p>
        </w:tc>
      </w:tr>
      <w:tr>
        <w:trPr>
          <w:trHeight w:val="230"/>
        </w:trPr>
        <w:tc>
          <w:tcPr>
            <w:tcW w:w="5720" w:type="dxa"/>
            <w:vAlign w:val="bottom"/>
          </w:tcPr>
          <w:p>
            <w:pPr>
              <w:spacing w:after="0"/>
              <w:rPr>
                <w:sz w:val="20"/>
                <w:szCs w:val="20"/>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stock unit (RSU) awards</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(PSU) awards</w:t>
            </w:r>
          </w:p>
        </w:tc>
        <w:tc>
          <w:tcPr>
            <w:tcW w:w="1800" w:type="dxa"/>
            <w:vAlign w:val="bottom"/>
          </w:tcPr>
          <w:p>
            <w:pPr>
              <w:jc w:val="right"/>
              <w:ind w:right="550"/>
              <w:spacing w:after="0"/>
              <w:rPr>
                <w:sz w:val="20"/>
                <w:szCs w:val="20"/>
                <w:color w:val="auto"/>
              </w:rPr>
            </w:pPr>
            <w:r>
              <w:rPr>
                <w:rFonts w:ascii="Arial" w:cs="Arial" w:eastAsia="Arial" w:hAnsi="Arial"/>
                <w:sz w:val="18"/>
                <w:szCs w:val="18"/>
                <w:color w:val="auto"/>
              </w:rPr>
              <w:t>awards</w:t>
            </w: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29, 2018</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98,076</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11,431</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102,295</w:t>
            </w:r>
          </w:p>
        </w:tc>
        <w:tc>
          <w:tcPr>
            <w:tcW w:w="1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111,715</w:t>
            </w:r>
          </w:p>
        </w:tc>
        <w:tc>
          <w:tcPr>
            <w:tcW w:w="1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10,596</w:t>
            </w: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840" w:type="dxa"/>
            <w:vAlign w:val="bottom"/>
          </w:tcPr>
          <w:p>
            <w:pPr>
              <w:jc w:val="right"/>
              <w:spacing w:after="0"/>
              <w:rPr>
                <w:sz w:val="20"/>
                <w:szCs w:val="20"/>
                <w:color w:val="auto"/>
              </w:rPr>
            </w:pPr>
            <w:r>
              <w:rPr>
                <w:rFonts w:ascii="Arial" w:cs="Arial" w:eastAsia="Arial" w:hAnsi="Arial"/>
                <w:sz w:val="18"/>
                <w:szCs w:val="18"/>
                <w:color w:val="auto"/>
              </w:rPr>
              <w:t>(7,031)</w:t>
            </w:r>
          </w:p>
        </w:tc>
        <w:tc>
          <w:tcPr>
            <w:tcW w:w="120" w:type="dxa"/>
            <w:vAlign w:val="bottom"/>
          </w:tcPr>
          <w:p>
            <w:pPr>
              <w:spacing w:after="0"/>
              <w:rPr>
                <w:sz w:val="21"/>
                <w:szCs w:val="21"/>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29, 2019</w:t>
            </w: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193,340</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111,715</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20,363</w:t>
            </w:r>
          </w:p>
        </w:tc>
      </w:tr>
      <w:tr>
        <w:trPr>
          <w:trHeight w:val="20"/>
        </w:trPr>
        <w:tc>
          <w:tcPr>
            <w:tcW w:w="57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six months ended June 29, 2019, the Company made grants of stock options, performance-based restricted stock units (“PSUs”) and/or restricted stock units (“RSUs”) to eligible employees under the National Vision Holdings, Inc. 2017 Omnibus Incentive Plan (the “2017 Omnibus Incentive Plan”). The service-based options granted in fiscal 2019 vest in three equal annual installments, with one-third of the total options vesting on each of the first, second, and third anniversaries of the grant date, subject to continued employment through the applicable vesting date. The PSUs granted in fiscal 2019 are settled after the end of the performance period (i.e., cliff vesting), which begins on the first day of our 2019 fiscal year and ends on the last day of our 2021 fiscal year, and are based on the Company’s achievement of certain performance targets. The RSUs granted in fiscal 2019 vest in three equal installments. The weighted average grant date fair values of RSUs and PSUs granted during the six months ended June 29, 2019 were $35.11 and $34.66, respectively.</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months ended June 29, 2019, we granted an aggregate of 10,596 restricted stock awards (“RSAs”) to eligible members of the Company’s Board of Directors under the 2017 Omnibus Incentive Plan. The awards vest one year from the grant date. The grant date fair value of each of the awards, based on the stock price on the date of grant was $28.32.</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price of stock options exercised during the six months ended June 29, 2019 was $4.94. The weighted average grant date fair value of the stock options granted during the six months ended June 29, 2019 was $13.77.</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Incentive Plans (continued)</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summarizes stock compensation expense under the Company’s plans, which is included in SG&amp;A in the accompanying statements of operations: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5"/>
          </w:tcPr>
          <w:p>
            <w:pPr>
              <w:ind w:left="74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0"/>
                <w:szCs w:val="20"/>
                <w:color w:val="auto"/>
              </w:rPr>
            </w:pPr>
          </w:p>
        </w:tc>
        <w:tc>
          <w:tcPr>
            <w:tcW w:w="3080" w:type="dxa"/>
            <w:vAlign w:val="bottom"/>
            <w:gridSpan w:val="4"/>
          </w:tcPr>
          <w:p>
            <w:pPr>
              <w:jc w:val="right"/>
              <w:ind w:right="890"/>
              <w:spacing w:after="0"/>
              <w:rPr>
                <w:sz w:val="20"/>
                <w:szCs w:val="20"/>
                <w:color w:val="auto"/>
              </w:rPr>
            </w:pPr>
            <w:r>
              <w:rPr>
                <w:rFonts w:ascii="Arial" w:cs="Arial" w:eastAsia="Arial" w:hAnsi="Arial"/>
                <w:sz w:val="18"/>
                <w:szCs w:val="18"/>
                <w:color w:val="auto"/>
              </w:rPr>
              <w:t>Six months ended</w:t>
            </w: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June 29, 2019</w:t>
            </w:r>
          </w:p>
        </w:tc>
        <w:tc>
          <w:tcPr>
            <w:tcW w:w="20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June 30, 2018</w:t>
            </w:r>
          </w:p>
        </w:tc>
        <w:tc>
          <w:tcPr>
            <w:tcW w:w="22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June 29, 2019</w:t>
            </w:r>
          </w:p>
        </w:tc>
        <w:tc>
          <w:tcPr>
            <w:tcW w:w="2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w w:val="92"/>
              </w:rPr>
              <w:t>June 30, 2018</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RSUs and PSUs</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760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RSAs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Associate stock purchase plan</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 based compensation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3,186</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unrecognized compensation cost as of June 29, 2019 related to RSUs, PSUs, RSAs and service-based stock options granted in 2019 was $2.9 million, $3.5 million, $0.3 million and $3.6 million,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Net Assets of Non-Consolidated Investee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an investment in a private start-up company whose principal business is licensing software to eyeglass retailers. Under the equity method of accounting, we are required to record our interest in the investee’s reported net income or loss for each reporting period, which is presented in other expense, net in the Company’s condensed consolidated statements of operations. Our interest in the investee’s net losses was $0.4 million and $1.0 million for the three and six months ended June 29, 2019 and $0.4 million and $0.6 million for the three and six months ended June 30, 2018, respectively. There is no remaining investment balance associated with this investee as of June 29, 2019.</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29, 2017, the investee issued a secured convertible promissory note to the Company, in the principal amount of $1.5 million, due on August 29, 2020, which is included in non-current other assets in the accompanying condensed consolidated balance sheets. Interest income associated with the note was immaterial for the three and six months ended June 29, 2019 and June 30, 2018.</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From Contracts with Customers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revenues are recognized either at the point of sale or upon delivery and customer acceptance, paid for at the time of sale in cash, credit card, or on account with managed care payors having terms generally between 14 and 120 days, with most paying within 90 days. Our point in time revenues include 1) retail sales of prescription and non-prescription eyewear, contact lenses and related accessories to retail customers (including those covered by managed care), 2) eye exams and 3) wholesale sales of inventory in which our customer is another retail entity. Revenues recognized over time primarily include product protection plans, eye care club memberships and management fees earned from our legacy partner.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disaggregation of revenues is based on the timing of revenue recognition: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gridSpan w:val="5"/>
          </w:tcPr>
          <w:p>
            <w:pPr>
              <w:ind w:left="80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0"/>
                <w:szCs w:val="20"/>
                <w:color w:val="auto"/>
              </w:rPr>
            </w:pPr>
          </w:p>
        </w:tc>
        <w:tc>
          <w:tcPr>
            <w:tcW w:w="3280" w:type="dxa"/>
            <w:vAlign w:val="bottom"/>
            <w:gridSpan w:val="4"/>
          </w:tcPr>
          <w:p>
            <w:pPr>
              <w:jc w:val="right"/>
              <w:ind w:right="990"/>
              <w:spacing w:after="0"/>
              <w:rPr>
                <w:sz w:val="20"/>
                <w:szCs w:val="20"/>
                <w:color w:val="auto"/>
              </w:rPr>
            </w:pPr>
            <w:r>
              <w:rPr>
                <w:rFonts w:ascii="Arial" w:cs="Arial" w:eastAsia="Arial" w:hAnsi="Arial"/>
                <w:sz w:val="18"/>
                <w:szCs w:val="18"/>
                <w:color w:val="auto"/>
              </w:rPr>
              <w:t>Six Months Ended</w:t>
            </w:r>
          </w:p>
        </w:tc>
      </w:tr>
      <w:tr>
        <w:trPr>
          <w:trHeight w:val="27"/>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color w:val="auto"/>
              </w:rPr>
              <w:t>June 29, 2019</w:t>
            </w:r>
          </w:p>
        </w:tc>
        <w:tc>
          <w:tcPr>
            <w:tcW w:w="24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June 30, 2018</w:t>
            </w:r>
          </w:p>
        </w:tc>
        <w:tc>
          <w:tcPr>
            <w:tcW w:w="24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June 29, 2019</w:t>
            </w:r>
          </w:p>
        </w:tc>
        <w:tc>
          <w:tcPr>
            <w:tcW w:w="24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color w:val="auto"/>
                <w:w w:val="96"/>
              </w:rPr>
              <w:t>June 30, 2018</w:t>
            </w: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recognized at a point in time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393,020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350,345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817,233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723,110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Revenues recognized over time</w:t>
            </w:r>
          </w:p>
        </w:tc>
        <w:tc>
          <w:tcPr>
            <w:tcW w:w="2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36,431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35,187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73,433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70,397</w:t>
            </w: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429,451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385,532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890,666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793,507</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Refer to Note 9."Segment Reporting" for the Company’s disaggregation of net revenue by reportable segment. As the reportable segments are aligned by similar economic factors, trends and customers, the reportable segment disaggregation view best depicts how the nature, amount and uncertainty of revenue and cash flows are affected by economic factors.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contract assets and contract liabilities primarily result from timing differences between the performance of our obligations and the customer’s payment.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From Contracts with Customers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receivable associated with revenues consist primarily of trade receivables and credit card receivables. Trade receivables consist primarily of receivables from managed care payors and receivables from major retailers. While we have relationships with almost all vision care insurers in the United States and with all of the major carriers, currently, a relatively small number of payors comprise the majority of our managed care revenues, subjecting us to concentration risk. Trade receivables and credit card receivables are included in accounts receivable, net, on our condensed consolidated balance sheets, and are presented separately in Note 2. “Details of Certain Balance Sheet Accounts.”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receivable are reduced by allowances for amounts that may become uncollectible. Estimates of our allowance for uncollectible accounts are based on our historical and current operating, billing, and collection trends. Impairment losses (i.e., bad debt expense) recognized on our receivables were approximately $1.8 million and $3.9 million for the three and six months ended June 29, 2019 and $1.7 million and $3.3 million for the three and six months ended June 30, 2018,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Unsatisfied Performance Obligations (Contract Liabilities)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retail customers generally make payments for prescription eyewear products at the time they place an order. Amounts we collect in advance for undelivered merchandise are reported as unearned revenue in the accompanying condensed consolidated balance sheets. Unearned revenue at the end of a reporting period is estimated based on delivery times throughout the current month and generally ranges from four to 10 days. All unearned revenue at the end of a reporting period is recognized in the next fiscal period.</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contract liabilities also consist of deferred revenue on services and plans obligations, primarily product protection plans and eye care club memberships. The unamortized portion of amounts we collect in advance for these services and plans is reported as deferred revenue in the accompanying condensed consolidated balance sheets (current and non- current portions). Our deferred revenue balance as of June 29, 2019 was $78.1 million. We expect future revenue recognition of this balance of $36.0 million, $29.8 million, $10.5 million, $1.6 million, and $0.2 million in fiscal years 2019, 2020, 2021, 2022, and thereafter, respectively. We recognized $27.5 million and $55.3 million of previously deferred revenues during the three and six months ended June 29, 2019 and $26.1 million and $52.0 million during the three and six months ended June 30, 2018,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lease our stores, laboratories, distribution centers, and corporate offices. These leases generally have noncancellable lease terms of between five and 10 years, with an option to renew for additional terms of one to 10 years or more. The lease term includes renewal option periods when the renewal is deemed reasonably certain after considering the value of the leasehold improvements at the end of the noncancellable lease period. Most leases for our stores provide for a minimum rent and typically include escalating rent over time with the exception of Military for which lease payments are variable and based on percentage of sales. For Vista Optical locations in Fred Meyer stores, we pay fixed rent plus a percentage of sales after certain minimum thresholds are achieved. The Company’s leases generally require us to pay insurance, real estate taxes and common area maintenance expenses, substantially all of which are variable and not included in the measurement of lease liability. Our lease agreements do not contain any material residual value guarantees or material restrictive covenants. The Company does not consider its management and services agreement with legacy partner to contain a lease arrangement.</w:t>
      </w:r>
    </w:p>
    <w:p>
      <w:pPr>
        <w:spacing w:after="0" w:line="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lease arrangements include TIAs, which are contractual amounts received from a lessor for improvements made to leased properties by the Company. For operating leases, TIAs are treated as a reduction of the lease payments used to measure the ROU assets in the accompanying consolidated balance sheet as of June 29, 2019 (non-current liabilities as of December 29, 2018), and are amortized as a reduction in rental expense over the life of the respective leases.</w:t>
      </w:r>
    </w:p>
    <w:p>
      <w:pPr>
        <w:spacing w:after="0" w:line="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finance leases, a lease ROU asset is recorded as property and equipment and corresponding amounts are recorded as debt obligations at an amount equal to the lesser of the net present value of minimum lease payments to be made over the lease term or the fair value of the property for leases in existence as of fiscal year end 2018 and at the net present value of the minimum lease payments to be made over the lease term for new finance leases entered into subsequent to fiscal year end 2018.</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rent or sublease certain parts of our stores to third parties. Our sublease portfolio consists mainly of operating leases with our ophthalmologists and optometrists within our stores.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 (continued)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jc w:val="right"/>
              <w:ind w:right="91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12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7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tcPr>
          <w:p>
            <w:pPr>
              <w:jc w:val="right"/>
              <w:ind w:right="610"/>
              <w:spacing w:after="0"/>
              <w:rPr>
                <w:sz w:val="20"/>
                <w:szCs w:val="20"/>
                <w:color w:val="auto"/>
              </w:rPr>
            </w:pPr>
            <w:r>
              <w:rPr>
                <w:rFonts w:ascii="Arial" w:cs="Arial" w:eastAsia="Arial" w:hAnsi="Arial"/>
                <w:sz w:val="18"/>
                <w:szCs w:val="18"/>
                <w:color w:val="auto"/>
              </w:rPr>
              <w:t>June 29, 2019</w:t>
            </w:r>
          </w:p>
        </w:tc>
        <w:tc>
          <w:tcPr>
            <w:tcW w:w="0" w:type="dxa"/>
            <w:vAlign w:val="bottom"/>
          </w:tcPr>
          <w:p>
            <w:pPr>
              <w:spacing w:after="0"/>
              <w:rPr>
                <w:sz w:val="1"/>
                <w:szCs w:val="1"/>
                <w:color w:val="auto"/>
              </w:rPr>
            </w:pPr>
          </w:p>
        </w:tc>
      </w:tr>
      <w:tr>
        <w:trPr>
          <w:trHeight w:val="27"/>
        </w:trPr>
        <w:tc>
          <w:tcPr>
            <w:tcW w:w="124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Type</w:t>
            </w:r>
          </w:p>
        </w:tc>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Classification</w:t>
            </w:r>
          </w:p>
        </w:tc>
        <w:tc>
          <w:tcPr>
            <w:tcW w:w="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7780" w:type="dxa"/>
            <w:vAlign w:val="bottom"/>
          </w:tcPr>
          <w:p>
            <w:pPr>
              <w:ind w:left="280"/>
              <w:spacing w:after="0"/>
              <w:rPr>
                <w:sz w:val="20"/>
                <w:szCs w:val="20"/>
                <w:color w:val="auto"/>
              </w:rPr>
            </w:pPr>
            <w:r>
              <w:rPr>
                <w:rFonts w:ascii="Arial" w:cs="Arial" w:eastAsia="Arial" w:hAnsi="Arial"/>
                <w:sz w:val="18"/>
                <w:szCs w:val="18"/>
                <w:b w:val="1"/>
                <w:bCs w:val="1"/>
                <w:color w:val="auto"/>
              </w:rPr>
              <w:t>ASSETS</w:t>
            </w:r>
          </w:p>
        </w:tc>
        <w:tc>
          <w:tcPr>
            <w:tcW w:w="4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w:t>
            </w:r>
          </w:p>
        </w:tc>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28,761</w:t>
            </w:r>
          </w:p>
        </w:tc>
        <w:tc>
          <w:tcPr>
            <w:tcW w:w="0" w:type="dxa"/>
            <w:vAlign w:val="bottom"/>
          </w:tcPr>
          <w:p>
            <w:pPr>
              <w:spacing w:after="0"/>
              <w:rPr>
                <w:sz w:val="1"/>
                <w:szCs w:val="1"/>
                <w:color w:val="auto"/>
              </w:rPr>
            </w:pPr>
          </w:p>
        </w:tc>
      </w:tr>
      <w:tr>
        <w:trPr>
          <w:trHeight w:val="270"/>
        </w:trPr>
        <w:tc>
          <w:tcPr>
            <w:tcW w:w="1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w:t>
            </w:r>
          </w:p>
        </w:tc>
        <w:tc>
          <w:tcPr>
            <w:tcW w:w="778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 xml:space="preserve">Right of use assets </w:t>
            </w:r>
            <w:r>
              <w:rPr>
                <w:rFonts w:ascii="Arial" w:cs="Arial" w:eastAsia="Arial" w:hAnsi="Arial"/>
                <w:sz w:val="25"/>
                <w:szCs w:val="25"/>
                <w:color w:val="auto"/>
                <w:vertAlign w:val="superscript"/>
              </w:rPr>
              <w:t>(a)</w:t>
            </w:r>
          </w:p>
        </w:tc>
        <w:tc>
          <w:tcPr>
            <w:tcW w:w="42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335,874</w:t>
            </w:r>
          </w:p>
        </w:tc>
        <w:tc>
          <w:tcPr>
            <w:tcW w:w="0" w:type="dxa"/>
            <w:vAlign w:val="bottom"/>
          </w:tcPr>
          <w:p>
            <w:pPr>
              <w:spacing w:after="0"/>
              <w:rPr>
                <w:sz w:val="1"/>
                <w:szCs w:val="1"/>
                <w:color w:val="auto"/>
              </w:rPr>
            </w:pPr>
          </w:p>
        </w:tc>
      </w:tr>
      <w:tr>
        <w:trPr>
          <w:trHeight w:val="257"/>
        </w:trPr>
        <w:tc>
          <w:tcPr>
            <w:tcW w:w="1240" w:type="dxa"/>
            <w:vAlign w:val="bottom"/>
            <w:tcBorders>
              <w:bottom w:val="single" w:sz="8" w:color="CCEEFF"/>
            </w:tcBorders>
            <w:shd w:val="clear" w:color="auto" w:fill="CCEEFF"/>
          </w:tcPr>
          <w:p>
            <w:pPr>
              <w:spacing w:after="0"/>
              <w:rPr>
                <w:sz w:val="22"/>
                <w:szCs w:val="22"/>
                <w:color w:val="auto"/>
              </w:rPr>
            </w:pPr>
          </w:p>
        </w:tc>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leased assets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364,635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7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LIABILITIES</w:t>
            </w: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40" w:type="dxa"/>
            <w:vAlign w:val="bottom"/>
          </w:tcPr>
          <w:p>
            <w:pPr>
              <w:spacing w:after="0"/>
              <w:rPr>
                <w:sz w:val="20"/>
                <w:szCs w:val="20"/>
                <w:color w:val="auto"/>
              </w:rPr>
            </w:pPr>
          </w:p>
        </w:tc>
        <w:tc>
          <w:tcPr>
            <w:tcW w:w="778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rPr>
              <w:t>Finance</w:t>
            </w:r>
          </w:p>
        </w:tc>
        <w:tc>
          <w:tcPr>
            <w:tcW w:w="7780" w:type="dxa"/>
            <w:vAlign w:val="bottom"/>
          </w:tcPr>
          <w:p>
            <w:pPr>
              <w:ind w:left="28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w:t>
            </w:r>
          </w:p>
        </w:tc>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operating lease obligations</w:t>
            </w:r>
          </w:p>
        </w:tc>
        <w:tc>
          <w:tcPr>
            <w:tcW w:w="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57,323</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7780" w:type="dxa"/>
            <w:vAlign w:val="bottom"/>
          </w:tcPr>
          <w:p>
            <w:pPr>
              <w:ind w:left="280"/>
              <w:spacing w:after="0"/>
              <w:rPr>
                <w:sz w:val="20"/>
                <w:szCs w:val="20"/>
                <w:color w:val="auto"/>
              </w:rPr>
            </w:pPr>
            <w:r>
              <w:rPr>
                <w:rFonts w:ascii="Arial" w:cs="Arial" w:eastAsia="Arial" w:hAnsi="Arial"/>
                <w:sz w:val="18"/>
                <w:szCs w:val="18"/>
                <w:b w:val="1"/>
                <w:bCs w:val="1"/>
                <w:color w:val="auto"/>
              </w:rPr>
              <w:t>Other non-current liabilities:</w:t>
            </w:r>
          </w:p>
        </w:tc>
        <w:tc>
          <w:tcPr>
            <w:tcW w:w="4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w:t>
            </w:r>
          </w:p>
        </w:tc>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and finance lease obligations, less current portion and debt discount</w:t>
            </w:r>
          </w:p>
        </w:tc>
        <w:tc>
          <w:tcPr>
            <w:tcW w:w="4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32,073</w:t>
            </w:r>
          </w:p>
        </w:tc>
        <w:tc>
          <w:tcPr>
            <w:tcW w:w="0" w:type="dxa"/>
            <w:vAlign w:val="bottom"/>
          </w:tcPr>
          <w:p>
            <w:pPr>
              <w:spacing w:after="0"/>
              <w:rPr>
                <w:sz w:val="1"/>
                <w:szCs w:val="1"/>
                <w:color w:val="auto"/>
              </w:rPr>
            </w:pP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rPr>
              <w:t>Operating</w:t>
            </w:r>
          </w:p>
        </w:tc>
        <w:tc>
          <w:tcPr>
            <w:tcW w:w="7780" w:type="dxa"/>
            <w:vAlign w:val="bottom"/>
          </w:tcPr>
          <w:p>
            <w:pPr>
              <w:ind w:left="280"/>
              <w:spacing w:after="0"/>
              <w:rPr>
                <w:sz w:val="20"/>
                <w:szCs w:val="20"/>
                <w:color w:val="auto"/>
              </w:rPr>
            </w:pPr>
            <w:r>
              <w:rPr>
                <w:rFonts w:ascii="Arial" w:cs="Arial" w:eastAsia="Arial" w:hAnsi="Arial"/>
                <w:sz w:val="18"/>
                <w:szCs w:val="18"/>
                <w:color w:val="auto"/>
              </w:rPr>
              <w:t>Non-current operating lease obligations</w:t>
            </w:r>
          </w:p>
        </w:tc>
        <w:tc>
          <w:tcPr>
            <w:tcW w:w="4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320,754</w:t>
            </w:r>
          </w:p>
        </w:tc>
        <w:tc>
          <w:tcPr>
            <w:tcW w:w="0" w:type="dxa"/>
            <w:vAlign w:val="bottom"/>
          </w:tcPr>
          <w:p>
            <w:pPr>
              <w:spacing w:after="0"/>
              <w:rPr>
                <w:sz w:val="1"/>
                <w:szCs w:val="1"/>
                <w:color w:val="auto"/>
              </w:rPr>
            </w:pPr>
          </w:p>
        </w:tc>
      </w:tr>
      <w:tr>
        <w:trPr>
          <w:trHeight w:val="27"/>
        </w:trPr>
        <w:tc>
          <w:tcPr>
            <w:tcW w:w="124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240" w:type="dxa"/>
            <w:vAlign w:val="bottom"/>
            <w:tcBorders>
              <w:bottom w:val="single" w:sz="8" w:color="CCEEFF"/>
            </w:tcBorders>
            <w:shd w:val="clear" w:color="auto" w:fill="CCEEFF"/>
          </w:tcPr>
          <w:p>
            <w:pPr>
              <w:spacing w:after="0"/>
              <w:rPr>
                <w:sz w:val="22"/>
                <w:szCs w:val="22"/>
                <w:color w:val="auto"/>
              </w:rPr>
            </w:pPr>
          </w:p>
        </w:tc>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lease liabilities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413,665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40" w:right="420"/>
        <w:spacing w:after="0" w:line="253" w:lineRule="auto"/>
        <w:rPr>
          <w:sz w:val="20"/>
          <w:szCs w:val="20"/>
          <w:color w:val="auto"/>
        </w:rPr>
      </w:pPr>
      <w:r>
        <w:rPr>
          <w:rFonts w:ascii="Arial" w:cs="Arial" w:eastAsia="Arial" w:hAnsi="Arial"/>
          <w:sz w:val="14"/>
          <w:szCs w:val="14"/>
          <w:color w:val="auto"/>
        </w:rPr>
        <w:t>As most of our leases do not provide an implicit rate, we use our incremental borrowing rate based on the information available at commencement date in determining the net present value of minimum lease payments. We use the incremental borrowing rate on December 30, 2018, for operating leases that commenced prior to that date.</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 TIA of $31.7 million and deferred rent of $13.7 million are treated as reductions of lease payments used to measure ROU assets as of June 29, 2019.</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Finance lease assets are recorded net of accumulated amortization of $5.9 million and $4.1 million as of June 29, 2019 and December 30, 2018, respectively.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8"/>
                <w:szCs w:val="18"/>
                <w:color w:val="auto"/>
              </w:rPr>
            </w:pPr>
          </w:p>
        </w:tc>
        <w:tc>
          <w:tcPr>
            <w:tcW w:w="1720" w:type="dxa"/>
            <w:vAlign w:val="bottom"/>
          </w:tcPr>
          <w:p>
            <w:pPr>
              <w:jc w:val="right"/>
              <w:ind w:right="210"/>
              <w:spacing w:after="0"/>
              <w:rPr>
                <w:sz w:val="20"/>
                <w:szCs w:val="20"/>
                <w:color w:val="auto"/>
              </w:rPr>
            </w:pPr>
            <w:r>
              <w:rPr>
                <w:rFonts w:ascii="Arial" w:cs="Arial" w:eastAsia="Arial" w:hAnsi="Arial"/>
                <w:sz w:val="18"/>
                <w:szCs w:val="18"/>
                <w:color w:val="auto"/>
                <w:w w:val="95"/>
              </w:rPr>
              <w:t>Six Months Ended</w:t>
            </w: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June 29, 2019</w:t>
            </w:r>
          </w:p>
        </w:tc>
        <w:tc>
          <w:tcPr>
            <w:tcW w:w="220" w:type="dxa"/>
            <w:vAlign w:val="bottom"/>
          </w:tcPr>
          <w:p>
            <w:pPr>
              <w:spacing w:after="0"/>
              <w:rPr>
                <w:sz w:val="20"/>
                <w:szCs w:val="20"/>
                <w:color w:val="auto"/>
              </w:rPr>
            </w:pPr>
          </w:p>
        </w:tc>
        <w:tc>
          <w:tcPr>
            <w:tcW w:w="1720" w:type="dxa"/>
            <w:vAlign w:val="bottom"/>
          </w:tcPr>
          <w:p>
            <w:pPr>
              <w:jc w:val="right"/>
              <w:ind w:right="370"/>
              <w:spacing w:after="0"/>
              <w:rPr>
                <w:sz w:val="20"/>
                <w:szCs w:val="20"/>
                <w:color w:val="auto"/>
              </w:rPr>
            </w:pPr>
            <w:r>
              <w:rPr>
                <w:rFonts w:ascii="Arial" w:cs="Arial" w:eastAsia="Arial" w:hAnsi="Arial"/>
                <w:sz w:val="18"/>
                <w:szCs w:val="18"/>
                <w:color w:val="auto"/>
              </w:rPr>
              <w:t>June 29, 2019</w:t>
            </w: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Lease cost by classification</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Selling, general and administrative:</w:t>
            </w: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5"/>
                <w:szCs w:val="25"/>
                <w:color w:val="auto"/>
                <w:vertAlign w:val="superscript"/>
              </w:rPr>
              <w:t>(a)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36,413</w:t>
            </w:r>
          </w:p>
        </w:tc>
      </w:tr>
      <w:tr>
        <w:trPr>
          <w:trHeight w:val="270"/>
        </w:trPr>
        <w:tc>
          <w:tcPr>
            <w:tcW w:w="74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5"/>
                <w:szCs w:val="25"/>
                <w:color w:val="auto"/>
                <w:vertAlign w:val="superscript"/>
              </w:rPr>
              <w:t>(b)</w:t>
            </w:r>
          </w:p>
        </w:tc>
        <w:tc>
          <w:tcPr>
            <w:tcW w:w="16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6,592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13,058</w:t>
            </w: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Sublease income</w:t>
            </w:r>
            <w:r>
              <w:rPr>
                <w:rFonts w:ascii="Arial" w:cs="Arial" w:eastAsia="Arial" w:hAnsi="Arial"/>
                <w:sz w:val="25"/>
                <w:szCs w:val="25"/>
                <w:color w:val="auto"/>
                <w:vertAlign w:val="superscript"/>
              </w:rPr>
              <w:t>(c)</w:t>
            </w:r>
          </w:p>
        </w:tc>
        <w:tc>
          <w:tcPr>
            <w:tcW w:w="16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r>
      <w:tr>
        <w:trPr>
          <w:trHeight w:val="297"/>
        </w:trPr>
        <w:tc>
          <w:tcPr>
            <w:tcW w:w="7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Amortization of lease assets</w:t>
            </w:r>
          </w:p>
        </w:tc>
        <w:tc>
          <w:tcPr>
            <w:tcW w:w="1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2,056</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Interest expense, net:</w:t>
            </w: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1,786</w:t>
            </w:r>
          </w:p>
        </w:tc>
      </w:tr>
      <w:tr>
        <w:trPr>
          <w:trHeight w:val="297"/>
        </w:trPr>
        <w:tc>
          <w:tcPr>
            <w:tcW w:w="74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lease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51,397</w:t>
            </w:r>
          </w:p>
        </w:tc>
      </w:tr>
    </w:tbl>
    <w:p>
      <w:pPr>
        <w:spacing w:after="0" w:line="8" w:lineRule="exact"/>
        <w:rPr>
          <w:sz w:val="20"/>
          <w:szCs w:val="20"/>
          <w:color w:val="auto"/>
        </w:rPr>
      </w:pPr>
    </w:p>
    <w:p>
      <w:pPr>
        <w:ind w:left="280" w:hanging="245"/>
        <w:spacing w:after="0"/>
        <w:tabs>
          <w:tab w:leader="none" w:pos="2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short-term leases, which are immaterial.</w:t>
      </w:r>
    </w:p>
    <w:p>
      <w:pPr>
        <w:spacing w:after="0" w:line="41" w:lineRule="exact"/>
        <w:rPr>
          <w:rFonts w:ascii="Arial" w:cs="Arial" w:eastAsia="Arial" w:hAnsi="Arial"/>
          <w:sz w:val="14"/>
          <w:szCs w:val="14"/>
          <w:color w:val="auto"/>
        </w:rPr>
      </w:pPr>
    </w:p>
    <w:p>
      <w:pPr>
        <w:ind w:left="40" w:right="340" w:hanging="5"/>
        <w:spacing w:after="0" w:line="253" w:lineRule="auto"/>
        <w:tabs>
          <w:tab w:leader="none" w:pos="283"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costs for insurance, real estate taxes and common area maintenance expenses, which are variable as well as lease costs above minimum thresholds for Fred Meyer stores and lease costs for Military stores.</w:t>
      </w:r>
    </w:p>
    <w:p>
      <w:pPr>
        <w:spacing w:after="0" w:line="11" w:lineRule="exact"/>
        <w:rPr>
          <w:rFonts w:ascii="Arial" w:cs="Arial" w:eastAsia="Arial" w:hAnsi="Arial"/>
          <w:sz w:val="14"/>
          <w:szCs w:val="14"/>
          <w:color w:val="auto"/>
        </w:rPr>
      </w:pPr>
    </w:p>
    <w:p>
      <w:pPr>
        <w:ind w:left="280" w:hanging="245"/>
        <w:spacing w:after="0"/>
        <w:tabs>
          <w:tab w:leader="none" w:pos="2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Income from sub-leasing of stores includes rental income from operating lease properties to ophthalmologists and optometrists who are independent 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-449580</wp:posOffset>
            </wp:positionV>
            <wp:extent cx="2529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40" w:type="dxa"/>
            <w:vAlign w:val="bottom"/>
            <w:gridSpan w:val="2"/>
          </w:tcPr>
          <w:p>
            <w:pPr>
              <w:ind w:left="3900"/>
              <w:spacing w:after="0"/>
              <w:rPr>
                <w:sz w:val="20"/>
                <w:szCs w:val="20"/>
                <w:color w:val="auto"/>
              </w:rPr>
            </w:pPr>
            <w:r>
              <w:rPr>
                <w:rFonts w:ascii="Arial" w:cs="Arial" w:eastAsia="Arial" w:hAnsi="Arial"/>
                <w:sz w:val="18"/>
                <w:szCs w:val="18"/>
                <w:b w:val="1"/>
                <w:bCs w:val="1"/>
                <w:color w:val="auto"/>
              </w:rPr>
              <w:t>National Vision Holdings, Inc. and Subsidiaries</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940" w:type="dxa"/>
            <w:vAlign w:val="bottom"/>
            <w:gridSpan w:val="2"/>
          </w:tcPr>
          <w:p>
            <w:pPr>
              <w:ind w:left="3100"/>
              <w:spacing w:after="0"/>
              <w:rPr>
                <w:sz w:val="20"/>
                <w:szCs w:val="20"/>
                <w:color w:val="auto"/>
              </w:rPr>
            </w:pPr>
            <w:r>
              <w:rPr>
                <w:rFonts w:ascii="Arial" w:cs="Arial" w:eastAsia="Arial" w:hAnsi="Arial"/>
                <w:sz w:val="18"/>
                <w:szCs w:val="18"/>
                <w:b w:val="1"/>
                <w:bCs w:val="1"/>
                <w:color w:val="auto"/>
                <w:w w:val="99"/>
              </w:rPr>
              <w:t>Notes to Condensed Consolidated Financial Statements (Unaudited)</w:t>
            </w: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7. Leases (continued)</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7"/>
        </w:trPr>
        <w:tc>
          <w:tcPr>
            <w:tcW w:w="89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Lease Term and Discount Rate</w:t>
            </w:r>
          </w:p>
        </w:tc>
        <w:tc>
          <w:tcPr>
            <w:tcW w:w="2480" w:type="dxa"/>
            <w:vAlign w:val="bottom"/>
          </w:tcPr>
          <w:p>
            <w:pPr>
              <w:jc w:val="right"/>
              <w:ind w:right="95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8940" w:type="dxa"/>
            <w:vAlign w:val="bottom"/>
            <w:gridSpan w:val="2"/>
            <w:vMerge w:val="continue"/>
          </w:tcPr>
          <w:p>
            <w:pPr>
              <w:spacing w:after="0"/>
              <w:rPr>
                <w:sz w:val="20"/>
                <w:szCs w:val="20"/>
                <w:color w:val="auto"/>
              </w:rPr>
            </w:pPr>
          </w:p>
        </w:tc>
        <w:tc>
          <w:tcPr>
            <w:tcW w:w="2480" w:type="dxa"/>
            <w:vAlign w:val="bottom"/>
          </w:tcPr>
          <w:p>
            <w:pPr>
              <w:jc w:val="right"/>
              <w:ind w:right="650"/>
              <w:spacing w:after="0"/>
              <w:rPr>
                <w:sz w:val="20"/>
                <w:szCs w:val="20"/>
                <w:color w:val="auto"/>
              </w:rPr>
            </w:pPr>
            <w:r>
              <w:rPr>
                <w:rFonts w:ascii="Arial" w:cs="Arial" w:eastAsia="Arial" w:hAnsi="Arial"/>
                <w:sz w:val="18"/>
                <w:szCs w:val="18"/>
                <w:color w:val="auto"/>
              </w:rPr>
              <w:t>June 29, 2019</w:t>
            </w:r>
          </w:p>
        </w:tc>
        <w:tc>
          <w:tcPr>
            <w:tcW w:w="0" w:type="dxa"/>
            <w:vAlign w:val="bottom"/>
          </w:tcPr>
          <w:p>
            <w:pPr>
              <w:spacing w:after="0"/>
              <w:rPr>
                <w:sz w:val="1"/>
                <w:szCs w:val="1"/>
                <w:color w:val="auto"/>
              </w:rPr>
            </w:pPr>
          </w:p>
        </w:tc>
      </w:tr>
      <w:tr>
        <w:trPr>
          <w:trHeight w:val="27"/>
        </w:trPr>
        <w:tc>
          <w:tcPr>
            <w:tcW w:w="8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Weighted average remaining lease term (months)</w:t>
            </w:r>
          </w:p>
        </w:tc>
        <w:tc>
          <w:tcPr>
            <w:tcW w:w="2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40" w:type="dxa"/>
            <w:vAlign w:val="bottom"/>
            <w:gridSpan w:val="2"/>
          </w:tcPr>
          <w:p>
            <w:pPr>
              <w:ind w:left="40"/>
              <w:spacing w:after="0"/>
              <w:rPr>
                <w:sz w:val="20"/>
                <w:szCs w:val="20"/>
                <w:color w:val="auto"/>
              </w:rPr>
            </w:pPr>
            <w:r>
              <w:rPr>
                <w:rFonts w:ascii="Arial" w:cs="Arial" w:eastAsia="Arial" w:hAnsi="Arial"/>
                <w:sz w:val="18"/>
                <w:szCs w:val="18"/>
                <w:color w:val="auto"/>
              </w:rPr>
              <w:t>Operating leases</w:t>
            </w:r>
          </w:p>
        </w:tc>
        <w:tc>
          <w:tcPr>
            <w:tcW w:w="2480" w:type="dxa"/>
            <w:vAlign w:val="bottom"/>
          </w:tcPr>
          <w:p>
            <w:pPr>
              <w:jc w:val="right"/>
              <w:ind w:right="9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8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Finance leases</w:t>
            </w:r>
          </w:p>
        </w:tc>
        <w:tc>
          <w:tcPr>
            <w:tcW w:w="2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0"/>
        </w:trPr>
        <w:tc>
          <w:tcPr>
            <w:tcW w:w="8940" w:type="dxa"/>
            <w:vAlign w:val="bottom"/>
            <w:gridSpan w:val="2"/>
          </w:tcPr>
          <w:p>
            <w:pPr>
              <w:ind w:left="40"/>
              <w:spacing w:after="0" w:line="270" w:lineRule="exact"/>
              <w:rPr>
                <w:sz w:val="20"/>
                <w:szCs w:val="20"/>
                <w:color w:val="auto"/>
              </w:rPr>
            </w:pPr>
            <w:r>
              <w:rPr>
                <w:rFonts w:ascii="Arial" w:cs="Arial" w:eastAsia="Arial" w:hAnsi="Arial"/>
                <w:sz w:val="18"/>
                <w:szCs w:val="18"/>
                <w:i w:val="1"/>
                <w:iCs w:val="1"/>
                <w:color w:val="auto"/>
              </w:rPr>
              <w:t xml:space="preserve">Weighted average discount rate </w:t>
            </w:r>
            <w:r>
              <w:rPr>
                <w:rFonts w:ascii="Arial" w:cs="Arial" w:eastAsia="Arial" w:hAnsi="Arial"/>
                <w:sz w:val="25"/>
                <w:szCs w:val="25"/>
                <w:i w:val="1"/>
                <w:iCs w:val="1"/>
                <w:color w:val="auto"/>
                <w:vertAlign w:val="superscript"/>
              </w:rPr>
              <w:t>(a)</w:t>
            </w:r>
          </w:p>
        </w:tc>
        <w:tc>
          <w:tcPr>
            <w:tcW w:w="2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90"/>
        </w:trPr>
        <w:tc>
          <w:tcPr>
            <w:tcW w:w="8940" w:type="dxa"/>
            <w:vAlign w:val="bottom"/>
            <w:gridSpan w:val="2"/>
          </w:tcPr>
          <w:p>
            <w:pPr>
              <w:ind w:left="40"/>
              <w:spacing w:after="0"/>
              <w:rPr>
                <w:sz w:val="20"/>
                <w:szCs w:val="20"/>
                <w:color w:val="auto"/>
              </w:rPr>
            </w:pPr>
            <w:r>
              <w:rPr>
                <w:rFonts w:ascii="Arial" w:cs="Arial" w:eastAsia="Arial" w:hAnsi="Arial"/>
                <w:sz w:val="18"/>
                <w:szCs w:val="18"/>
                <w:color w:val="auto"/>
              </w:rPr>
              <w:t xml:space="preserve">Finance leases </w:t>
            </w:r>
            <w:r>
              <w:rPr>
                <w:rFonts w:ascii="Arial" w:cs="Arial" w:eastAsia="Arial" w:hAnsi="Arial"/>
                <w:sz w:val="25"/>
                <w:szCs w:val="25"/>
                <w:color w:val="auto"/>
                <w:vertAlign w:val="superscript"/>
              </w:rPr>
              <w:t>(b)</w:t>
            </w:r>
          </w:p>
        </w:tc>
        <w:tc>
          <w:tcPr>
            <w:tcW w:w="248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bl>
    <w:p>
      <w:pPr>
        <w:ind w:left="40" w:right="340" w:hanging="5"/>
        <w:spacing w:after="0" w:line="282" w:lineRule="auto"/>
        <w:tabs>
          <w:tab w:leader="none" w:pos="283"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discount rate used to determine the lease assets and lease liabilities was derived upon considering (i) incremental borrowing rates on our long-term debt; (ii) fixed rates we pay on our interest rate swaps; (iii) LIBOR margins for issuers of similar credit rating; (iv) borrowing rates on five-year and ten-year US Treasuries; and (v) effect of collateralization. As a majority of our leases are five-year and 10-year leases, we determined a lease discount rate for such tenors and determined this discount rate is reasonable for leases that were entered into during the period.</w:t>
      </w:r>
    </w:p>
    <w:p>
      <w:pPr>
        <w:spacing w:after="0" w:line="1" w:lineRule="exact"/>
        <w:rPr>
          <w:rFonts w:ascii="Arial" w:cs="Arial" w:eastAsia="Arial" w:hAnsi="Arial"/>
          <w:sz w:val="12"/>
          <w:szCs w:val="12"/>
          <w:color w:val="auto"/>
        </w:rPr>
      </w:pPr>
    </w:p>
    <w:p>
      <w:pPr>
        <w:ind w:left="40" w:right="260" w:hanging="5"/>
        <w:spacing w:after="0" w:line="253" w:lineRule="auto"/>
        <w:tabs>
          <w:tab w:leader="none" w:pos="283"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discount rate on finance leases is higher than operating leases because the present value of minimum lease payments was higher than the fair value of leased properties for certain leases entered into prior to adoption of ASC 842. The discount rate differential for those leases is not material to our results of operations.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1" w:lineRule="exact"/>
        <w:rPr>
          <w:sz w:val="20"/>
          <w:szCs w:val="20"/>
          <w:color w:val="auto"/>
        </w:rPr>
      </w:pPr>
    </w:p>
    <w:p>
      <w:pPr>
        <w:ind w:left="40" w:right="3220"/>
        <w:spacing w:after="0" w:line="340" w:lineRule="auto"/>
        <w:rPr>
          <w:sz w:val="20"/>
          <w:szCs w:val="20"/>
          <w:color w:val="auto"/>
        </w:rPr>
      </w:pPr>
      <w:r>
        <w:rPr>
          <w:rFonts w:ascii="Arial" w:cs="Arial" w:eastAsia="Arial" w:hAnsi="Arial"/>
          <w:sz w:val="18"/>
          <w:szCs w:val="18"/>
          <w:i w:val="1"/>
          <w:iCs w:val="1"/>
          <w:color w:val="auto"/>
        </w:rPr>
        <w:t xml:space="preserve">Cash paid for amounts included in the measurement of lease liabilities </w:t>
      </w:r>
      <w:r>
        <w:rPr>
          <w:rFonts w:ascii="Arial" w:cs="Arial" w:eastAsia="Arial" w:hAnsi="Arial"/>
          <w:sz w:val="18"/>
          <w:szCs w:val="18"/>
          <w:color w:val="auto"/>
        </w:rPr>
        <w:t>Operating cash outflows - operating leases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maturity of our lease liabilities as of June 29, 2019:</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Six Months Ended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June 29, 2019</w:t>
      </w:r>
    </w:p>
    <w:p>
      <w:pPr>
        <w:spacing w:after="0" w:line="332" w:lineRule="exact"/>
        <w:rPr>
          <w:sz w:val="20"/>
          <w:szCs w:val="20"/>
          <w:color w:val="auto"/>
        </w:rPr>
      </w:pPr>
    </w:p>
    <w:p>
      <w:pPr>
        <w:spacing w:after="0"/>
        <w:tabs>
          <w:tab w:leader="none" w:pos="17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36,866</w:t>
      </w:r>
    </w:p>
    <w:p>
      <w:pPr>
        <w:spacing w:after="0" w:line="1001" w:lineRule="exact"/>
        <w:rPr>
          <w:sz w:val="20"/>
          <w:szCs w:val="20"/>
          <w:color w:val="auto"/>
        </w:rPr>
      </w:pPr>
    </w:p>
    <w:p>
      <w:pPr>
        <w:sectPr>
          <w:pgSz w:w="11900" w:h="16838" w:orient="portrait"/>
          <w:cols w:equalWidth="0" w:num="2">
            <w:col w:w="8340" w:space="720"/>
            <w:col w:w="23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87"/>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w:t>
            </w:r>
          </w:p>
        </w:tc>
        <w:tc>
          <w:tcPr>
            <w:tcW w:w="1200" w:type="dxa"/>
            <w:vAlign w:val="bottom"/>
          </w:tcPr>
          <w:p>
            <w:pPr>
              <w:jc w:val="right"/>
              <w:spacing w:after="0"/>
              <w:rPr>
                <w:sz w:val="20"/>
                <w:szCs w:val="20"/>
                <w:color w:val="auto"/>
              </w:rPr>
            </w:pPr>
            <w:r>
              <w:rPr>
                <w:rFonts w:ascii="Arial" w:cs="Arial" w:eastAsia="Arial" w:hAnsi="Arial"/>
                <w:sz w:val="18"/>
                <w:szCs w:val="18"/>
                <w:color w:val="auto"/>
              </w:rPr>
              <w:t>Operating</w:t>
            </w: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 xml:space="preserve">Leases </w:t>
            </w:r>
            <w:r>
              <w:rPr>
                <w:rFonts w:ascii="Arial" w:cs="Arial" w:eastAsia="Arial" w:hAnsi="Arial"/>
                <w:sz w:val="25"/>
                <w:szCs w:val="25"/>
                <w:color w:val="auto"/>
                <w:vertAlign w:val="superscript"/>
              </w:rPr>
              <w:t>(a)</w:t>
            </w:r>
          </w:p>
        </w:tc>
        <w:tc>
          <w:tcPr>
            <w:tcW w:w="340" w:type="dxa"/>
            <w:vAlign w:val="bottom"/>
          </w:tcPr>
          <w:p>
            <w:pPr>
              <w:spacing w:after="0"/>
              <w:rPr>
                <w:sz w:val="24"/>
                <w:szCs w:val="24"/>
                <w:color w:val="auto"/>
              </w:rPr>
            </w:pPr>
          </w:p>
        </w:tc>
        <w:tc>
          <w:tcPr>
            <w:tcW w:w="2060" w:type="dxa"/>
            <w:vAlign w:val="bottom"/>
          </w:tcPr>
          <w:p>
            <w:pPr>
              <w:jc w:val="right"/>
              <w:ind w:right="470"/>
              <w:spacing w:after="0"/>
              <w:rPr>
                <w:sz w:val="20"/>
                <w:szCs w:val="20"/>
                <w:color w:val="auto"/>
              </w:rPr>
            </w:pPr>
            <w:r>
              <w:rPr>
                <w:rFonts w:ascii="Arial" w:cs="Arial" w:eastAsia="Arial" w:hAnsi="Arial"/>
                <w:sz w:val="18"/>
                <w:szCs w:val="18"/>
                <w:color w:val="auto"/>
                <w:w w:val="97"/>
              </w:rPr>
              <w:t xml:space="preserve">Finance Leases </w:t>
            </w:r>
            <w:r>
              <w:rPr>
                <w:rFonts w:ascii="Arial" w:cs="Arial" w:eastAsia="Arial" w:hAnsi="Arial"/>
                <w:sz w:val="25"/>
                <w:szCs w:val="25"/>
                <w:color w:val="auto"/>
                <w:w w:val="97"/>
                <w:vertAlign w:val="superscript"/>
              </w:rPr>
              <w:t>(b)</w:t>
            </w:r>
          </w:p>
        </w:tc>
      </w:tr>
      <w:tr>
        <w:trPr>
          <w:trHeight w:val="244"/>
        </w:trPr>
        <w:tc>
          <w:tcPr>
            <w:tcW w:w="6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73,151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7,196</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60,311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7,054</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6,077</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1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151,121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20,023</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1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443,454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51,172</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Less: Interest</w:t>
            </w:r>
          </w:p>
        </w:tc>
        <w:tc>
          <w:tcPr>
            <w:tcW w:w="1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65,377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15,584</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Present value of lease liabilities</w:t>
            </w:r>
            <w:r>
              <w:rPr>
                <w:rFonts w:ascii="Arial" w:cs="Arial" w:eastAsia="Arial" w:hAnsi="Arial"/>
                <w:sz w:val="25"/>
                <w:szCs w:val="25"/>
                <w:color w:val="auto"/>
                <w:vertAlign w:val="superscript"/>
              </w:rPr>
              <w:t>(c)</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378,077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35,588</w:t>
            </w:r>
          </w:p>
        </w:tc>
      </w:tr>
    </w:tbl>
    <w:p>
      <w:pPr>
        <w:spacing w:after="0" w:line="8" w:lineRule="exact"/>
        <w:rPr>
          <w:sz w:val="20"/>
          <w:szCs w:val="20"/>
          <w:color w:val="auto"/>
        </w:rPr>
      </w:pPr>
    </w:p>
    <w:p>
      <w:pPr>
        <w:ind w:left="280" w:hanging="245"/>
        <w:spacing w:after="0"/>
        <w:tabs>
          <w:tab w:leader="none" w:pos="2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Operating lease payments include $76.5 million related to options to extend lease terms that are reasonably certain of being exercised.</w:t>
      </w:r>
    </w:p>
    <w:p>
      <w:pPr>
        <w:spacing w:after="0" w:line="41" w:lineRule="exact"/>
        <w:rPr>
          <w:rFonts w:ascii="Arial" w:cs="Arial" w:eastAsia="Arial" w:hAnsi="Arial"/>
          <w:sz w:val="14"/>
          <w:szCs w:val="14"/>
          <w:color w:val="auto"/>
        </w:rPr>
      </w:pPr>
    </w:p>
    <w:p>
      <w:pPr>
        <w:ind w:left="280" w:hanging="245"/>
        <w:spacing w:after="0"/>
        <w:tabs>
          <w:tab w:leader="none" w:pos="2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Finance lease payments include $1.1 million related to options to extend lease terms that are reasonably certain of being exercised.</w:t>
      </w:r>
    </w:p>
    <w:p>
      <w:pPr>
        <w:spacing w:after="0" w:line="41" w:lineRule="exact"/>
        <w:rPr>
          <w:rFonts w:ascii="Arial" w:cs="Arial" w:eastAsia="Arial" w:hAnsi="Arial"/>
          <w:sz w:val="14"/>
          <w:szCs w:val="14"/>
          <w:color w:val="auto"/>
        </w:rPr>
      </w:pPr>
    </w:p>
    <w:p>
      <w:pPr>
        <w:ind w:left="240" w:hanging="205"/>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present value of lease liabilities excludes $25.8 million of legally binding minimum lease payments for leases signed but not yet commenced.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-355600</wp:posOffset>
            </wp:positionV>
            <wp:extent cx="31045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gridSpan w:val="2"/>
          </w:tcPr>
          <w:p>
            <w:pPr>
              <w:spacing w:after="0"/>
              <w:rPr>
                <w:sz w:val="20"/>
                <w:szCs w:val="20"/>
                <w:color w:val="auto"/>
              </w:rPr>
            </w:pPr>
            <w:r>
              <w:rPr>
                <w:rFonts w:ascii="Arial" w:cs="Arial" w:eastAsia="Arial" w:hAnsi="Arial"/>
                <w:sz w:val="18"/>
                <w:szCs w:val="18"/>
                <w:color w:val="auto"/>
                <w:w w:val="98"/>
              </w:rPr>
              <w:t>As of fiscal year end 2018, aggregate future minimum rental payments under our operating leases were as follows:</w:t>
            </w:r>
          </w:p>
        </w:tc>
        <w:tc>
          <w:tcPr>
            <w:tcW w:w="7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86"/>
        </w:trPr>
        <w:tc>
          <w:tcPr>
            <w:tcW w:w="90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w:t>
            </w:r>
          </w:p>
        </w:tc>
        <w:tc>
          <w:tcPr>
            <w:tcW w:w="740" w:type="dxa"/>
            <w:vAlign w:val="bottom"/>
          </w:tcPr>
          <w:p>
            <w:pPr>
              <w:spacing w:after="0"/>
              <w:rPr>
                <w:sz w:val="24"/>
                <w:szCs w:val="24"/>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i w:val="1"/>
                <w:iCs w:val="1"/>
                <w:color w:val="auto"/>
              </w:rPr>
              <w:t>In thousands</w:t>
            </w:r>
          </w:p>
        </w:tc>
      </w:tr>
      <w:tr>
        <w:trPr>
          <w:trHeight w:val="27"/>
        </w:trPr>
        <w:tc>
          <w:tcPr>
            <w:tcW w:w="8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69,372</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63,218</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56,219</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49,303</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42,545</w:t>
            </w: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7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126,388</w:t>
            </w:r>
          </w:p>
        </w:tc>
      </w:tr>
      <w:tr>
        <w:trPr>
          <w:trHeight w:val="27"/>
        </w:trPr>
        <w:tc>
          <w:tcPr>
            <w:tcW w:w="8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8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407,045</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 (continued)</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future minimal rental payments above do not include amounts for variable executory costs such as insurance, real estate taxes and the common area maintenance. These costs were approximately $18.0 million, $14.9 million and $13.9 million during the fiscal years ended 2018, 2017 and 2016, respectively.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Agreements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fourth quarter of 2018, the Company renewed an eyeglass lenses supply agreement with a trade vendor effective June 2019. The Company also renewed certain other agreements with the vendor, including a software arrangement. We accounted for these arrangements as a combined contract and allocated the total estimated contractual payments on a relative fair value basis. As a result, as previously disclosed, this arrangement includes minimum purchase commitments of approximately $30.0 million over the four year term, and we recorded a $4.8 million software asset as of June 2019. Also in June 2019, we entered into an agreement that requires minimum purchase commitments from another trade vendor of approximately $17.0 million annually through 2021.</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reviews the status of its legal proceedings and records a provision for a liability when it is considered probable that both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29, 2016, FirstSight, our wholly-owned specialized health maintenance organization, was named as a defendant in a proposed class action filed on behalf of all persons who paid for an eye examination from an optometrist at a Walmart location in California from November 5, 2009 through the date of the resolution of the litigation. The complaint alleges in particular that FirstSight participated in arrangements that caused the illegal delivery of eye examinations to the plaintiffs, and that FirstSight thereby violated, among other statutes, the Unfair Competition and False Advertising laws of California. In March 2017, the Court granted a motion to dismiss previously filed by FirstSight. The plaintiffs filed an appeal to the U.S. Court of Appeals for the Ninth Circuit in April 2017. In July 2018, the U.S. Court of Appeals for the Ninth Circuit vacated in part, and reversed in part, the district court’s dismissal and remanded for further proceedings. In October 2018, the plaintiffs filed a second amended complaint with the district court seeking, among other claims, unspecified damages and attorneys’ fees, and in November 2018, FirstSight filed a motion to dismiss. The Company believes that the claims are without merit and intends to continue to vigorously defend the litigation.</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2017, a complaint (the “1-800 Contacts Matter”) was filed against the Company and other defendants alleging, on behalf of a proposed class of consumers who purchased contact lenses online, that 1-800 Contacts, Inc. entered into a series of agreements with the other defendants, including AC Lens, the Company’s subsidiary, to suppress certain online advertising and that each defendant thereby engaged in anticompetitive conduct in violation of the Sherman Antitrust Act. The Company has settled the 1-800 Contacts Matter for $7.0 million, without admitting liability. Accordingly, the Company recorded a charge for this amount during the second quarter of fiscal year 2017. On November 8, 2017, the court in the 1-800 Contacts Matter entered an order preliminarily approving the settlement agreement, subject to a settlement hearing. Pursuant to this order, the Company deposited 50% of the settlement amount, or $3.5 million, into an escrow account, to be distributed subject to and in accordance with the terms of the settlement agreement and any further order of the court.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 (continued)</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2019, we were served with a lawsuit by a former employee who alleges, on behalf of himself and a proposed class, several violations of California wage and hour laws and seeks unspecified alleged unpaid wages, monetary damages, injunctive relief and attorneys’ fees. On March 21, 2019, we removed the lawsuit from state court to the United States District Court for the Northern District of California. The plaintiff moved to remand the action to state court on April 18, 2019, and the Court denied this motion on July 8, 2019. On July 22, 2019, the plaintiff filed an amended complaint. On July 26, 2019, the parties filed a joint stipulation wherein the Company denied all claims in the amended complaint but joined the plaintiff in seeking a stay of further proceedings in the lawsuit based on the parties’ agreement to attend early mediation in an effort to avoid further costs and expenses of protracted litigation. Mediation has been scheduled in the first quarter of 2020. The Company continues to believe that the plaintiff’s amended complaint lacks merit and will vigorously defend the litigation.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Reporting</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provides its principal products and services through two reportable segments: owned &amp; host and legacy. The “Corporate/Other” category includes the results of operations of our other operating segments, AC Lens and FirstSight, as well as corporate overhead support. The “Reconciliations” category represents other adjustments to reportable segment results necessary for the presentation of consolidated financial results in accordance with U.S. GAAP.</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is a summary of certain financial data for each of our segments. Reportable segment information is presented on the same basis as our condensed consolidated financial statements, except for net revenue and associated costs applicable to revenue, which is presented on a cash basis, including point of sales for managed care payors and excluding the effects of unearned and deferred revenue, consistent with what the CODM regularly reviews. Asset information is not included in the following summary since the CODM does not regularly review such information for the reportable segments. Our reportable segment profit measure is earnings before interest, tax, depreciation and amortization (“EBITDA”), or net revenue, less costs applicable to revenue, less selling, general and administrative costs. Depreciation and amortization, asset impairment, litigation settlement and other corporate costs that are not allocated to the reportable segments, including interest expense and debt issuance costs are excluded from segment EBITDA. There are no transactions between our reportable segments. We measure assets in our reportable segments on the same basis as consolidated assets. There have been no changes from prior periods in the measurement methods used to determine reportable segment profit or loss, and there have been no asymmetrical allocations to segments. As the reportable segments are aligned by similar economic factors, trends and customers, this disaggregation view best depicts how the nature, amount, and uncertainty of revenue and cash flows are affected by economic factors.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40" w:type="dxa"/>
            <w:vAlign w:val="bottom"/>
            <w:gridSpan w:val="8"/>
          </w:tcPr>
          <w:p>
            <w:pPr>
              <w:ind w:left="800"/>
              <w:spacing w:after="0"/>
              <w:rPr>
                <w:sz w:val="20"/>
                <w:szCs w:val="20"/>
                <w:color w:val="auto"/>
              </w:rPr>
            </w:pPr>
            <w:r>
              <w:rPr>
                <w:rFonts w:ascii="Arial" w:cs="Arial" w:eastAsia="Arial" w:hAnsi="Arial"/>
                <w:sz w:val="18"/>
                <w:szCs w:val="18"/>
                <w:color w:val="auto"/>
              </w:rPr>
              <w:t>Three Months Ended June 29, 2019</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color w:val="auto"/>
              </w:rPr>
              <w:t>Legacy</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260,867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357,533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59,549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13,479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71,918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320,416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39,264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429,451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77,059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12,312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54,253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145,654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50,581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56,852</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127,640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18,582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54,254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202,506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126,078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13,884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182,278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66,698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6,798</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(36,370)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5,395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106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rPr>
              <w:t>42,521</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20,819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8,968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12,734</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vMerge w:val="restart"/>
          </w:tcPr>
          <w:p>
            <w:pPr>
              <w:jc w:val="right"/>
              <w:ind w:right="77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Reporting (continued)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40" w:type="dxa"/>
            <w:vAlign w:val="bottom"/>
            <w:gridSpan w:val="8"/>
          </w:tcPr>
          <w:p>
            <w:pPr>
              <w:jc w:val="center"/>
              <w:ind w:right="360"/>
              <w:spacing w:after="0"/>
              <w:rPr>
                <w:sz w:val="20"/>
                <w:szCs w:val="20"/>
                <w:color w:val="auto"/>
              </w:rPr>
            </w:pPr>
            <w:r>
              <w:rPr>
                <w:rFonts w:ascii="Arial" w:cs="Arial" w:eastAsia="Arial" w:hAnsi="Arial"/>
                <w:sz w:val="18"/>
                <w:szCs w:val="18"/>
                <w:color w:val="auto"/>
                <w:w w:val="89"/>
              </w:rPr>
              <w:t>Three Months Ended June 30, 2018</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color w:val="auto"/>
              </w:rPr>
              <w:t>Legacy</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236,383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319,408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53,230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12,950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66,124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289,613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385,532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70,505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43,540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127,731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43,481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49,328</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113,986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17,018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44,509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177,059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113,507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165,627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62,120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8,668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42,550</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17,577</w:t>
            </w:r>
          </w:p>
        </w:tc>
        <w:tc>
          <w:tcPr>
            <w:tcW w:w="0" w:type="dxa"/>
            <w:vAlign w:val="bottom"/>
          </w:tcPr>
          <w:p>
            <w:pPr>
              <w:spacing w:after="0" w:line="20" w:lineRule="exact"/>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9,424</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15,549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40" w:type="dxa"/>
            <w:vAlign w:val="bottom"/>
            <w:gridSpan w:val="8"/>
            <w:vMerge w:val="restart"/>
          </w:tcPr>
          <w:p>
            <w:pPr>
              <w:jc w:val="center"/>
              <w:ind w:right="360"/>
              <w:spacing w:after="0"/>
              <w:rPr>
                <w:sz w:val="20"/>
                <w:szCs w:val="20"/>
                <w:color w:val="auto"/>
              </w:rPr>
            </w:pPr>
            <w:r>
              <w:rPr>
                <w:rFonts w:ascii="Arial" w:cs="Arial" w:eastAsia="Arial" w:hAnsi="Arial"/>
                <w:sz w:val="18"/>
                <w:szCs w:val="18"/>
                <w:color w:val="auto"/>
                <w:w w:val="89"/>
              </w:rPr>
              <w:t>Six Months Ended June 29, 2019</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8"/>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color w:val="auto"/>
              </w:rPr>
              <w:t>Legacy</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557,786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740,693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127,850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27,916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149,973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685,636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890,666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Costs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162,305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26,442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110,848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299,658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102,245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12,571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114,817</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264,550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39,013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110,849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414,475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259,291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376,154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161,795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16,708</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(78,065)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(5,102)</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106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rPr>
              <w:t>95,336</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41,234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18,029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36,073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vMerge w:val="restart"/>
          </w:tcPr>
          <w:p>
            <w:pPr>
              <w:jc w:val="right"/>
              <w:ind w:right="77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Reporting (continued)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00" w:type="dxa"/>
            <w:vAlign w:val="bottom"/>
            <w:gridSpan w:val="8"/>
          </w:tcPr>
          <w:p>
            <w:pPr>
              <w:ind w:left="860"/>
              <w:spacing w:after="0"/>
              <w:rPr>
                <w:sz w:val="20"/>
                <w:szCs w:val="20"/>
                <w:color w:val="auto"/>
              </w:rPr>
            </w:pPr>
            <w:r>
              <w:rPr>
                <w:rFonts w:ascii="Arial" w:cs="Arial" w:eastAsia="Arial" w:hAnsi="Arial"/>
                <w:sz w:val="18"/>
                <w:szCs w:val="18"/>
                <w:color w:val="auto"/>
              </w:rPr>
              <w:t>Six Months Ended June 30, 2018</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color w:val="auto"/>
              </w:rPr>
              <w:t>Legacy</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498,004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658,185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112,006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26,599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135,322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610,010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793,507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Costs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144,663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25,028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87,850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258,609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87,127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98,904</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231,790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34,869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89,786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357,513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232,031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336,316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146,189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20,097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99,260</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35,439</w:t>
            </w:r>
          </w:p>
        </w:tc>
        <w:tc>
          <w:tcPr>
            <w:tcW w:w="0" w:type="dxa"/>
            <w:vAlign w:val="bottom"/>
          </w:tcPr>
          <w:p>
            <w:pPr>
              <w:spacing w:after="0" w:line="20" w:lineRule="exact"/>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18,737</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45,084</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Revenues associated with managing operations of our legacy partner were $8.9 million and $18.2 million for the three and six months ended June 29, 2019 and $9.1 million and $18.4 million for the three and six months ended June 30, 2018, respectively. During the six months ended June 29, 2019, sales associated with our legacy partner arrangement represented 9.4% of consolidated net revenue. This exposes us to concentration of customer risk.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(“EPS”) is computed by dividing net income by the weighted average number of common shares outstanding for the period. Diluted EPS is computed by dividing net income by the weighted average common shares outstanding for the period and includes the dilutive impact of potential new common shares issuable upon vesting and exercise of stock options and vesting of restricted stock units. Potential shares of common stock are excluded from the computation of diluted EPS if their effect is anti-dilutive. A reconciliation of the numerators and denominators of the basic and diluted EPS calculations is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gridSpan w:val="5"/>
          </w:tcPr>
          <w:p>
            <w:pPr>
              <w:ind w:left="80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0"/>
                <w:szCs w:val="20"/>
                <w:color w:val="auto"/>
              </w:rPr>
            </w:pPr>
          </w:p>
        </w:tc>
        <w:tc>
          <w:tcPr>
            <w:tcW w:w="3280" w:type="dxa"/>
            <w:vAlign w:val="bottom"/>
            <w:gridSpan w:val="4"/>
          </w:tcPr>
          <w:p>
            <w:pPr>
              <w:jc w:val="right"/>
              <w:ind w:right="990"/>
              <w:spacing w:after="0"/>
              <w:rPr>
                <w:sz w:val="20"/>
                <w:szCs w:val="20"/>
                <w:color w:val="auto"/>
              </w:rPr>
            </w:pPr>
            <w:r>
              <w:rPr>
                <w:rFonts w:ascii="Arial" w:cs="Arial" w:eastAsia="Arial" w:hAnsi="Arial"/>
                <w:sz w:val="18"/>
                <w:szCs w:val="18"/>
                <w:color w:val="auto"/>
              </w:rPr>
              <w:t>Six Months Ended</w:t>
            </w:r>
          </w:p>
        </w:tc>
      </w:tr>
      <w:tr>
        <w:trPr>
          <w:trHeight w:val="27"/>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EPS</w:t>
            </w:r>
          </w:p>
        </w:tc>
        <w:tc>
          <w:tcPr>
            <w:tcW w:w="240" w:type="dxa"/>
            <w:vAlign w:val="bottom"/>
          </w:tcPr>
          <w:p>
            <w:pPr>
              <w:spacing w:after="0"/>
              <w:rPr>
                <w:sz w:val="20"/>
                <w:szCs w:val="20"/>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color w:val="auto"/>
              </w:rPr>
              <w:t>June 29, 2019</w:t>
            </w:r>
          </w:p>
        </w:tc>
        <w:tc>
          <w:tcPr>
            <w:tcW w:w="24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June 30, 2018</w:t>
            </w:r>
          </w:p>
        </w:tc>
        <w:tc>
          <w:tcPr>
            <w:tcW w:w="24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June 29, 2019</w:t>
            </w:r>
          </w:p>
        </w:tc>
        <w:tc>
          <w:tcPr>
            <w:tcW w:w="24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color w:val="auto"/>
                <w:w w:val="96"/>
              </w:rPr>
              <w:t>June 30, 2018</w:t>
            </w: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36,922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Weighted average shares outstanding for basic EPS</w:t>
            </w:r>
          </w:p>
        </w:tc>
        <w:tc>
          <w:tcPr>
            <w:tcW w:w="2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78,318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75,249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78,262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74,983</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Effect of dilutive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3,059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3,135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2,817</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stock</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w w:val="97"/>
              </w:rPr>
              <w:t>Weighted average shares outstanding for diluted EPS</w:t>
            </w:r>
          </w:p>
        </w:tc>
        <w:tc>
          <w:tcPr>
            <w:tcW w:w="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81,424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77,858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81,437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77,879</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0.47</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Anti-dilutive options, RSUs outstanding excluded from</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783"/>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Loss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the fair value of the Company’s cash flow hedge derivative instruments since inception are recorded in AOCL. The following table presents the changes in AOCL during the three and six months ended June 29, 2019 and June 30, 2018, respectively: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5"/>
          </w:tcPr>
          <w:p>
            <w:pPr>
              <w:ind w:left="70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0"/>
                <w:szCs w:val="20"/>
                <w:color w:val="auto"/>
              </w:rPr>
            </w:pPr>
          </w:p>
        </w:tc>
        <w:tc>
          <w:tcPr>
            <w:tcW w:w="3080" w:type="dxa"/>
            <w:vAlign w:val="bottom"/>
            <w:gridSpan w:val="4"/>
          </w:tcPr>
          <w:p>
            <w:pPr>
              <w:jc w:val="right"/>
              <w:ind w:right="870"/>
              <w:spacing w:after="0"/>
              <w:rPr>
                <w:sz w:val="20"/>
                <w:szCs w:val="20"/>
                <w:color w:val="auto"/>
              </w:rPr>
            </w:pPr>
            <w:r>
              <w:rPr>
                <w:rFonts w:ascii="Arial" w:cs="Arial" w:eastAsia="Arial" w:hAnsi="Arial"/>
                <w:sz w:val="18"/>
                <w:szCs w:val="18"/>
                <w:color w:val="auto"/>
              </w:rPr>
              <w:t>Six Months Ended</w:t>
            </w: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June 29, 2019</w:t>
            </w:r>
          </w:p>
        </w:tc>
        <w:tc>
          <w:tcPr>
            <w:tcW w:w="20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June 30, 2018</w:t>
            </w:r>
          </w:p>
        </w:tc>
        <w:tc>
          <w:tcPr>
            <w:tcW w:w="22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June 29, 2019</w:t>
            </w:r>
          </w:p>
        </w:tc>
        <w:tc>
          <w:tcPr>
            <w:tcW w:w="2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w w:val="92"/>
              </w:rPr>
              <w:t>June 30, 2018</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hedging activity:</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(3,757)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(9,868)</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Other comprehensive income (loss) before reclassification</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5,842</w:t>
            </w:r>
          </w:p>
        </w:tc>
      </w:tr>
      <w:tr>
        <w:trPr>
          <w:trHeight w:val="229"/>
        </w:trPr>
        <w:tc>
          <w:tcPr>
            <w:tcW w:w="4700" w:type="dxa"/>
            <w:vAlign w:val="bottom"/>
          </w:tcPr>
          <w:p>
            <w:pPr>
              <w:ind w:left="280"/>
              <w:spacing w:after="0"/>
              <w:rPr>
                <w:sz w:val="20"/>
                <w:szCs w:val="20"/>
                <w:color w:val="auto"/>
              </w:rPr>
            </w:pPr>
            <w:r>
              <w:rPr>
                <w:rFonts w:ascii="Arial" w:cs="Arial" w:eastAsia="Arial" w:hAnsi="Arial"/>
                <w:sz w:val="18"/>
                <w:szCs w:val="18"/>
                <w:color w:val="auto"/>
                <w:w w:val="99"/>
              </w:rPr>
              <w:t>Tax effect of other comprehensive income (loss) before</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700" w:type="dxa"/>
            <w:vAlign w:val="bottom"/>
          </w:tcPr>
          <w:p>
            <w:pPr>
              <w:ind w:left="280"/>
              <w:spacing w:after="0"/>
              <w:rPr>
                <w:sz w:val="20"/>
                <w:szCs w:val="20"/>
                <w:color w:val="auto"/>
              </w:rPr>
            </w:pPr>
            <w:r>
              <w:rPr>
                <w:rFonts w:ascii="Arial" w:cs="Arial" w:eastAsia="Arial" w:hAnsi="Arial"/>
                <w:sz w:val="18"/>
                <w:szCs w:val="18"/>
                <w:color w:val="auto"/>
              </w:rPr>
              <w:t>reclassification</w:t>
            </w:r>
          </w:p>
        </w:tc>
        <w:tc>
          <w:tcPr>
            <w:tcW w:w="20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(1,497)</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 reclassified from AOCL into 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3,733</w:t>
            </w:r>
          </w:p>
        </w:tc>
      </w:tr>
      <w:tr>
        <w:trPr>
          <w:trHeight w:val="229"/>
        </w:trPr>
        <w:tc>
          <w:tcPr>
            <w:tcW w:w="4700" w:type="dxa"/>
            <w:vAlign w:val="bottom"/>
          </w:tcPr>
          <w:p>
            <w:pPr>
              <w:ind w:left="280"/>
              <w:spacing w:after="0"/>
              <w:rPr>
                <w:sz w:val="20"/>
                <w:szCs w:val="20"/>
                <w:color w:val="auto"/>
              </w:rPr>
            </w:pPr>
            <w:r>
              <w:rPr>
                <w:rFonts w:ascii="Arial" w:cs="Arial" w:eastAsia="Arial" w:hAnsi="Arial"/>
                <w:sz w:val="18"/>
                <w:szCs w:val="18"/>
                <w:color w:val="auto"/>
                <w:w w:val="97"/>
              </w:rPr>
              <w:t>Tax effect of amount reclassified from AOCL into interest</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700" w:type="dxa"/>
            <w:vAlign w:val="bottom"/>
          </w:tcPr>
          <w:p>
            <w:pPr>
              <w:ind w:left="280"/>
              <w:spacing w:after="0"/>
              <w:rPr>
                <w:sz w:val="20"/>
                <w:szCs w:val="20"/>
                <w:color w:val="auto"/>
              </w:rPr>
            </w:pPr>
            <w:r>
              <w:rPr>
                <w:rFonts w:ascii="Arial" w:cs="Arial" w:eastAsia="Arial" w:hAnsi="Arial"/>
                <w:sz w:val="18"/>
                <w:szCs w:val="18"/>
                <w:color w:val="auto"/>
              </w:rPr>
              <w:t>expense</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(956)</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Net current period other comprehensive income (loss), net</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of tax</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7,122</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See Note 3. “Fair Value Measurements of Financial Assets and Liabilities” for a description of the Company’s use of cash flow hedging derivatives.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 - Joinder and Amendment and Restatement Agreement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18, 2019 (the “Closing Date”), the Credit Agreement, dated as of October 9, 2018 (the “Existing Credit Agreement”), by and among Nautilus Acquisition Holdings, Inc. (“Holdings”), a Delaware corporation and a wholly-owned subsidiary of the Company, NVI, Goldman Sachs Bank USA, as administrative agent and collateral agent, and the lenders from time to time party thereto and the other parties thereto, was amended pursuant to that certain Joinder and Amendment and Restatement Agreement, dated as of July 18, 2019 (the “Restatement Agreement”) by and among Holdings, NVI, as borrower, certain subsidiaries of NVI, as guarantors, Goldman Sachs Bank USA, as former administrative agent and collateral agent, Bank of America, N.A., as new administrative agent and collateral agent, and the lenders from time to time party thereto (the Existing Credit Agreement, as amended by the Restatement Agreement, the “Credit Agreement”).</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Existing Credit Agreement was amended to, among other things, (i) establish new first lien term loans in an aggregate principal amount of $420,000,000 (“Term A Loans”) to repay all principal, interest fees and other amounts outstanding under the Existing Credit Agreement immediately prior to the Closing Date, (ii) establish new revolving credit facility in an aggregate principal amount of $300,000,000 of which $148,000,000 was drawn as of closing and (iii) replace Goldman Sachs Bank USA with Bank of America, N.A. as administrative agent and collateral agent under the Credit Agreement and related documentation. In connection with the principal repayments of our existing debt, the Company will write-off associated deferred debt issuance costs as of July 18, 2019.</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 (continued)</w:t>
      </w:r>
    </w:p>
    <w:p>
      <w:pPr>
        <w:spacing w:after="0" w:line="25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Pursuant to the Restatement Agreement, the initial new Applicable Margins are (i) 1.50% for the new first lien term loans that are LIBOR Loans and (ii) 0.50% for the new first lien term loans that are ABR Loans. The Restatement Agreement further provides that following the Closing Date, the above Applicable Margins for the new first lien term loans will be based on NVI’s consolidated first lien leverage ratio as follows: (a) if NVI’s consolidated first lien leverage ratio is greater than 3.75 to 1.00, the Applicable Margin will be 2.00% for LIBOR Loans and 1.00% for ABR Loans, (b) if NVI’s consolidated first lien leverage ratio is less than or equal to 3.75 to 1.00, but greater than 2.75 to 1.00, the Applicable Margin will be 1.75% for LIBOR Loans and 0.75% for ABR Loans, (c) if NVI’s consolidated first lien leverage ratio is less than or equal to 2.75 to 1.00 but greater than 1.75 to 1.00, the Applicable Margin will be 1.50% for LIBOR Loans and 0.50% for ABR Loans, (d) if NVI’s consolidated first lien leverage ratio is less than or equal to 1.75 to 1.00 but greater than</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0.75 to1.00, the Applicable Margin will be 1.25% for LIBOR Loans and 0.25% for ABR Loans and (e) if NVI’s consolidated first lien leverage ratio is less than or equal to 0.75 to 1.00, the Applicable Margin will be 1.00% for LIBOR Loans and 0.00% for ABR Loans. The new first lien term loans will amortize in equal quarterly installments equal to 2.50% per annum in the first three years of the loan and 5.00% per annum thereafter.</w:t>
      </w:r>
    </w:p>
    <w:p>
      <w:pPr>
        <w:spacing w:after="0" w:line="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pursuant to the Restatement Agreement, solely with respect to the Term A Loans, commencing on the fiscal quarter ending on December 28, 2019, Holdings will not permit (i) the Consolidated Total Debt to Consolidated EBITDA Ratio as of the last day of any fiscal quarter of Holdings to be greater than 4.75 to 1.00 for the first two years, and 4.50 to 1.00 thereafter, subject to certain step-ups after the consummation of a Material Acquisition, or (ii) the Consolidated Interest Coverage Ratio of Holdings as of the last day of any fiscal quarter of Holdings to be less than 3.00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following contains management’s discussion and analysis of our financial condition and results of operations and should be read together with the unaudited condensed consolidated financial statements and the related notes thereto included elsewhere in this Form 10-Q and the audited consolidated financial statements and “Management’s Discussion and Analysis of Financial Condition and Results of Operations” included in our Annual Report on Form 10-K filed with the Securities and Exchange Commission (the “SEC”) on February 27, 2019 (the “Annual Report”). This discussion contains forward-looking statements that reflect our plans, estimates and beliefs and involve numerous risks and uncertainties, including, but not limited to, those described in the “Risk Factors” section of the Annual Report as such risk factors may be updated from time to time in our periodic filings with the SEC. Actual results may differ materially from those contained in any forward-looking statements. You should carefully read “Special Note Regarding Forward-Looking Statements” in this Form 10-Q.</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1,128 retail stores across five brands and 17 consumer websites as of June 29, 2019.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two reportable segments:</w:t>
      </w:r>
    </w:p>
    <w:p>
      <w:pPr>
        <w:spacing w:after="0" w:line="117" w:lineRule="exact"/>
        <w:rPr>
          <w:sz w:val="20"/>
          <w:szCs w:val="20"/>
          <w:color w:val="auto"/>
        </w:rPr>
      </w:pPr>
    </w:p>
    <w:p>
      <w:pPr>
        <w:jc w:val="both"/>
        <w:ind w:left="660" w:hanging="328"/>
        <w:spacing w:after="0" w:line="289"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Owned &amp; Host - As of June 29, 2019, our owned brands consisted of 702 America’s Best Contacts and Eyeglasses (“America’s Best”) retail stores and 117 Eyeglass World retail stores. In America’s Best stores, vision care services are provided by optometrists employed by us or by independent professional corporations. America’s Best stores are primarily located in high-traffic strip centers next to similar nationally-known discount retailers. Eyeglass World locations primarily feature vision care services provided by independent optometrists and on-site optical laboratories that enable stores to quickly fulfill many customer orders and make repairs on site. Eyeglass World stores are primarily located in freestanding or in-suite locations near high-foot-traffic shopping centers. Our host brands consisted of 54 Vista Optical locations on military bases and 29 Vista Optical locations within Fred Meyer stores as of June 29, 2019. We have strong, long-standing relationships with our host partners and have maintained each partnership for over 19 years. These brands provide eye exams principally by independent optometrists. All brands utilize our centralized laboratories. This segment also includes sales from our America’s Best, Eyeglass World, and Military omni-channel websites.</w:t>
      </w:r>
    </w:p>
    <w:p>
      <w:pPr>
        <w:spacing w:after="0" w:line="58" w:lineRule="exact"/>
        <w:rPr>
          <w:rFonts w:ascii="Arial" w:cs="Arial" w:eastAsia="Arial" w:hAnsi="Arial"/>
          <w:sz w:val="16"/>
          <w:szCs w:val="16"/>
          <w:color w:val="auto"/>
        </w:rPr>
      </w:pPr>
    </w:p>
    <w:p>
      <w:pPr>
        <w:jc w:val="both"/>
        <w:ind w:left="660" w:hanging="328"/>
        <w:spacing w:after="0" w:line="28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Legacy - We manage the operations of, and supply inventory and laboratory processing services to, 226 Vision Centers in Walmart retail locations as of June 29, 2019. Under our management &amp; services agreement with Walmart, our responsibilities include ordering and maintaining merchandise inventory, arranging the provision of optometry services, providing managers and staff at each location, training personnel, providing sales receipts to customers, maintaining necessary insurance, obtaining and holding required licenses, permits and accreditations, owning and maintaining store furniture, fixtures and equipment, and developing annual operating budgets and reporting. We earn management fees as a result of providing such services and therefore we record revenue related to sales of products and product protection plans to our legacy partner’s customers on a net basis. Our management &amp; services agreement also allows our legacy partner to collect penalties if the Vision Centers do not generate a requisite amount of revenues. No such penalties have been assessed under our current arrangement, which began in 2012. We also sell to our legacy partner merchandise that is stocked in retail locations we manage pursuant to a separate supplier agreement, and provide centralized laboratory services for the finished eyeglasses for our legacy partner’s customers in stores that we manage. We lease space from Walmart within or adjacent to each of the locations we manage and use this space for vision care services provided by independent doctors or doctors employed by us or by independent professional corporations. During the six months ended June 29, 2019, sales associated with our legacy partner arrangement represented 9.4% of consolidated net revenue. This exposes us to concentration of customer risk. Our agreements with our legacy partner expire on August 23, 2020, and will automatically renew for a three-year period unless a party elects not to renew.</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also include the following activity recorded in our Corporate/Other category:</w:t>
      </w:r>
    </w:p>
    <w:p>
      <w:pPr>
        <w:spacing w:after="0" w:line="117" w:lineRule="exact"/>
        <w:rPr>
          <w:sz w:val="20"/>
          <w:szCs w:val="20"/>
          <w:color w:val="auto"/>
        </w:rPr>
      </w:pPr>
    </w:p>
    <w:p>
      <w:pPr>
        <w:jc w:val="both"/>
        <w:ind w:left="660" w:hanging="328"/>
        <w:spacing w:after="0" w:line="25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e-commerce platform of 14 dedicated websites managed by our wholly-owned subsidiary, Arlington Contact Lens Service, Inc. (“AC Lens”). Our e-commerce business consists of five proprietary branded websites, including aclens.com, discountglasses.com and discountcontactlenses.com, and nine third-party websites with established retailers, such as Walmart, Sam’s Club and Giant Eagle, and mid-sized vision insurance providers. AC Lens handles site management, customer relationship management and order fulfillment and also sells a wide variety of contact lenses, eyeglasses and eye care accessories.</w:t>
      </w:r>
    </w:p>
    <w:p>
      <w:pPr>
        <w:spacing w:after="0" w:line="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 Lens also distributes contact lenses wholesale to Walmart and Sam’s Club. We incur costs at a higher percentage of sales than other product categories.</w:t>
      </w:r>
    </w:p>
    <w:p>
      <w:pPr>
        <w:jc w:val="both"/>
        <w:ind w:left="660" w:hanging="328"/>
        <w:spacing w:after="0" w:line="277"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Managed care business conducted by FirstSight Vision Services, Inc. (“FirstSight”), our wholly-owned subsidiary that is licensed as a single-service health plan under California law, which arranges for the provision of optometric services at the offices next to certain Walmart stores throughout California, and also issues individual vision care benefit plans in connection with our America’s Best operations in California.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Unallocated corporate overhead expenses, which are a component of selling, general and administrative expenses and are comprised of various home office expenses such as payroll, occupancy costs, and consulting and professional fees. Corporate overhead expenses also include field services for our five retail brands.</w:t>
      </w:r>
    </w:p>
    <w:p>
      <w:pPr>
        <w:spacing w:after="0" w:line="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Reportable segment information is presented on the same basis as our consolidated financial statements, except reportable segment sales are presented on a cash basis including point of sales for managed care payors and excluding the effects of unearned and deferred revenue, consistent with what our chief operating decision maker (“CODM”) regularly reviews. Reconciliations of segment results to consolidated results include financial information necessary to adjust reportable segment revenues to a consolidated basis in accordance with accounting principles generally accepted in the United States of America (“GAAP”), specifically the change in unearned and deferred revenues during the period. There are no revenue transactions between reportable segments, and there are no other items in the reconciliations other than the effects of unearned and deferred revenue. See Note 9. “Segment Reporting” in our condensed consolidated financial statements included in Part I. Item 1. of this Form 10-Q.</w:t>
      </w:r>
    </w:p>
    <w:p>
      <w:pPr>
        <w:spacing w:after="0" w:line="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revenue represents the timing difference of when we collect the cash from the customer and when services related to product protection plans and eye care club memberships are performed. Increases or decreases in deferred revenue during the reporting period represent cash collections in excess of or below the recognition of previous deferrals.</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Unearned revenue represents the timing difference of when we collect cash from the customer and delivery/customer acceptance, and includes sales of prescription eyewear during the last week to 10 days of the reporting period.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Affecting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Various trends and other factors will affect or have affected our operating results, including: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expect that new stores will be a key driver of growth in our net revenue and operating profit in the future. Our results of operations have been and will continue to be materially affected by the timing and number of new store openings. As stores mature, profitability typically increases significantly. The performance of new stores is dependent upon factors such as the store opening date, the time of year of a particular opening, the amount of store pre-opening costs, labor and occupancy costs in the specified market, level of participation in managed care plans, and location, including whether they are in new or existing markets. We typically incur higher than normal employee costs at the time of a new store opening associated with set-up and other opening costs, including training and development of our store associates. The multi-year maturation process of our stores is influenced by customer purchasing behavior in our industry. Consumers return for eye exams every 20 months on average and a substantial majority of our customers are repeat buyers. Our planned store expansion will place increased demands on our operational, managerial, administrative and other resources. Managing our growth effectively will require us to continue to enhance our store management systems, financial and management controls and information systems. We will also be required to hire, train and retain optometric professionals, store management and store personnel, which, together with increased marketing costs, may affect our operating margins.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Store Sales Growth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Comparable store sales growth is a key driver of our business. Many factors affect comparable store sales, including: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consumer preferences, buying trends and overall economic trends including amount and timing of tax refunds;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advertising strategies;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participation in managed care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recurring nature of eye care purchases;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identify and respond effectively to customer preferences and trends;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provide an assortment of high quality/low cost product offerings that generate new and repeat visits to our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foot traffic in retail shopping centers where our stores are predominantly located;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customer experience we provide in our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vision care professionals;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optometrist professionals;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source and receive products accurately and timely;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product pricing, including promotional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items purchased per store visit;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stores that have been in operation for more than 12 months;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impact and timing of weather related store closures.</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new store is included in the comparable store sales calculation during the thirteenth full fiscal month following the store’s opening. Closed stores are removed from the calculation for time periods that are not comparable. In the past, we have closed stores as a result of poor store performance, lease expiration or non-renewal and/or the terms of our arrangements with our host and legacy partners.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Managed Care and Insurance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managed care business relates to vision care programs and associated benefits which are either: (i) sponsored by employers or other groups, (ii) provided by insurers and managed care entities, such as health maintenance organizations to individuals, and (iii) delivered, typically on a fee-for-service or capitated basis, by health care providers, such as ophthalmologists, optometrists and opticians. Managed care has become increasingly important to the optical retail industry.</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increasing percentage of our customers receive vision care insurance coverage through managed care payors. Our participation in these programs represent an increasingly significant portion of our overall revenues and our revenue growth. While we have relationships with almost all vision care insurers in the United States and with all of the major carriers, currently, a relatively small number of payors comprise the majority of our managed care revenues, subjecting us to concentration risk. As our participation in managed care programs continues to expand, we have incurred and expect to incur additional costs related to this area of our business. Our future operational success could depend on our ability to negotiate, maintain and extend contracts with managed vision care companies, vision insurance providers and other third-party payors, several of whom have significant market share. In addition, as our participation in managed care programs continues to approach overall industry penetration levels, we expect our associated managed care revenue growth rate to slow over time.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Vision Care Professional Recruitment and Coverage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ability to continue to attract and retain qualified vision care professionals is key to store operations, as well as maintaining our relationships with independent optometrists and professional corporations owned by eye care practitioners that provide vision care services in our stores.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 Economic Trends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Macroeconomic factors that may affect customer spending patterns, and thereby our results of operations, include employment rates, business conditions, changes in the housing market, the availability of credit, interest rates, tax rates and fuel and energy costs. During periods of economic downturn and uncertainty, our customers benefit from our low prices. However, eye care purchases are predominantly a medical necessity and are considered non-discretionary in nature. Therefore, the overall economic environment and related changes in consumer behavior may have less of an impact on our business than for retailers in other industries.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Preferences and Demand</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ability to maintain our appeal to existing customers and attract new customers depends on our ability to originate, develop and offer a compelling product assortment responsive to customer preferences and design trends. We estimate that optical consumers typically replace their eyeglasses every two to three years, and contact lens customers order new lenses every six to 12 months, reflecting the predictability of these recurring purchase behaviors.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Infrastructure Investment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historical results of operations reflect the impact of our ongoing investments in infrastructure to support our growth. We have made significant investments in information technology systems, supply chain systems, marketing, and personnel, including experienced industry executives, and management and merchandising teams to support our long-term growth objectives. We intend to continue to make targeted investments in our infrastructure to support our growth.</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Strategy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committed to providing our products to our customers at low prices. We generally employ a simple low price/high value strategy that consistently delivers savings to our customers without the need for extensive promotions.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Source and Distribute Products Effectively</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revenue and operating income are affected by our ability to purchase our products in sufficient quantities at competitive prices. While we believe our vendors have adequate capacity to meet our current and anticipated demand, our level of revenue could be adversely affected in the event we face constraints in our supply chain, including the inability of our vendors to produce sufficient quantities of merchandise in a manner that is able to match market demand from our customers. We rely on a small number of vendors to supply the majority of our eyeglass frames, eyeglass lenses and contact lenses, and are thus exposed to concentration of supplier risk. In particular, we have agreed to exclusively purchase almost all of our spectacle lenses from one supplier.</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if the United States government imposes significant tariffs or other restrictions on imports from China and other countries, it could have an adverse impact on our business. We source merchandise from suppliers located in China, a significant amount of our domestically-purchased merchandise is manufactured in China, and one of our outsourced optometric labs is located in China. Any such tariffs, restrictions or other changes could lead to additional costs, delays in shipments, embargos and other uncertainties that could negatively impact our relationships with our international vendors and labs and materially adversely affect our business, including price increases or the requirement to identify alternative sources for merchandise and labs. Current tariffs do not materially impact our financial results, and we believe that less than 16% of costs applicable to revenue are subject to potential tariffs on Chinese imports.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Substantial increases in product costs due to increases in materials cost or general inflation could lead to greater profitability pressure as we may not be able to pass costs on to consumers. To date, changes in materials prices and general inflation have not materially impacted our business.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Results and Seasonality</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Historically, our business has realized a higher portion of net revenue, operating income, and cash flows from operations in the first fiscal quarter, and a lower portion of net revenue, operating income, and cash flows from operations in the fourth fiscal quarter. The seasonally larger first quarter is attributable primarily to the timing of our customers’ income tax refunds and annual health insurance program start/reset periods. Because our target market consists of cost-conscious and low-income consumers, a delay in the issuance of tax refunds or changes in the amount of tax refunds can have a negative impact on our financial results. Consumers could also alter how they utilize tax refund proceeds. With respect to our fourth quarter results, compared to other retailers, our products and services are less likely to be included in consumer’s holiday spending budgets, therefore reducing spending on personal vision correction during the weeks preceding December 25 of each year. Additionally, although the period between December 25 and the end of our fiscal year is typically a high-volume period, the net revenue associated with substantially all orders of prescription eyeglasses and contact lenses during that period is deferred until January of the next fiscal year due to our policy of recognizing revenue only after the product has been accepted by the customer.</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quarterly results may also be affected by the timing of new store openings and store closings, the amount of sales contributed by new and existing stores as well as the timing of certain holidays. As a result of these factors, our working capital requirements and demands on our product distribution and delivery network may fluctuate during the year.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optical retail industry is highly competitive and fragmented. Competition is generally based upon brand name recognition, price, convenience, selection, service and product quality. We operate within the value segment of the U.S. optical retail industry, which emphasizes price and value. We compete with mass merchants, specialty retail chains, online retailers and independent eye practitioners and opticians. We also compete with large national retailers such as, in alphabetical order, LensCrafters, Pearle Vision and Visionworks.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in the Industry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recently completed merger of large, global competitors has created, and recently announced and other consolidation activity may create, organizations that are involved in virtually every sector of the optical industry, from retail and wholesale to frames, spectacle lenses, and managed vision care. This increased consolidation activity may enable these companies to benefit from purchasing advantages and the ability to leverage management capabilities across a larger business base. Other trends include an increase in private equity-backed consolidation of smaller and mid-size independent practices and the formation of buying groups and similar forms of practice affiliations.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consider a variety of financial and operating measures in assessing the performance of our business. The key measures we use to determine how our consolidated business and operating segments are performing are net revenue, costs applicable to revenue, and selling, general, and administrative expenses. In addition, we also review store growth, adjusted comparable store sales growth, Adjusted EBITDA, Adjusted EBITDA Margin and Adjusted Net Income.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report as net revenue amounts generated in transactions with customers who are the end users of our products, services, and plans. Net product sales include sales of prescription and non-prescription eyewear, contact lenses, and related accessories as well as eye exam services associated with our Americas Best brand’s signature offer of two pairs of eyeglasses and a free eye exam for one low price (“two-pair offer”) to retail customers and sales of inventory in which our customer is another retail entity. Net sales of services and plans include sales of eye exams, eye care club memberships, product protection plans (i.e., warranties), and single service eye care plans in California. Net sales of services and plans also includes fees we earn for managing certain Vision Centers located in Walmart stores and for laboratory services provided to Walmart.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Costs applicable to revenue include both costs of net product sales and costs of net sales of services and plans. Costs of net product sales include (i) costs to procure non-prescription eyewear, contact lenses, and accessories, which we purchase and sell in finished form, (ii) costs to manufacture finished prescription eyeglasses, including direct materials, labor, and overhead, and (iii) remake costs, warehousing and distribution expenses, and internal transfer costs. Costs of services and plans include costs associated with product protection plan programs, eye care club memberships, single service eye care plans in California, eye care practitioner and eye exam technician payroll, taxes and benefits and optometric service costs. 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or SG&amp;A, include store associate (including optician) payroll, taxes and benefits, occupancy, advertising and promotion, field supervision, corporate support and other costs associated with the provision of vision care services. Non-capital expenditures associated with opening new stores, including rent, store maintenance, marketing expenses, travel and relocation costs, and training costs, are recorded in SG&amp;A as incurred. SG&amp;A generally fluctuates consistently with revenue due to the variable store, field office and corporate support costs; however, some fixed costs slightly improve as a percentage of net revenue as our net revenues grow over time.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number of new stores per year and the timing of store openings has, and will continue to have, an impact on our results as described above in “Trends and Other Factors Affecting Our Business.”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Comparable Store Sales Growth</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ignored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Adjusted EBITDA Margin and Adjusted Net Income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define Adjusted EBITDA as net income, plus interest expense, income tax provision (benefit) and depreciation and amortization, as further adjusted to exclude stock compensation expense, asset impairment, new store pre-opening expenses, non-cash rent, secondary offering expenses, management realignment expense, long-term incentive plan expense and other expenses. We define Adjusted EBITDA Margin as Adjusted EBITDA as a percentage of total net revenue. We define Adjusted Net Income as net income, adjusted to exclude stock compensation expense, asset impairment, new store pre-opening expenses, non-cash rent, secondary offering expenses, management realignment expense, long-term incentive plan expense, other expenses, amortization of acquisition intangibles and deferred financing costs, the tax benefit of stock option exercises, effect of the Tax Cuts and Jobs Act, and the tax effect of adjustments. Adjusted EBITDA, Adjusted EBITDA Margin and Adjusted Net Income are key metrics used by management to assess our financial performance. Adjusted EBITDA, Adjusted EBITDA Margin and Adjusted Net Income are also frequently used by analysts, investors and other interested parties. We use Adjusted EBITDA, Adjusted EBITDA Margin and Adjusted Net Income to supplement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additional information.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key components of our results of operations for the periods indicated, both in dollars and as a percentage of our net 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00" w:type="dxa"/>
            <w:vAlign w:val="bottom"/>
            <w:gridSpan w:val="7"/>
          </w:tcPr>
          <w:p>
            <w:pPr>
              <w:ind w:left="64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0"/>
                <w:szCs w:val="20"/>
                <w:color w:val="auto"/>
              </w:rPr>
            </w:pPr>
          </w:p>
        </w:tc>
        <w:tc>
          <w:tcPr>
            <w:tcW w:w="3280" w:type="dxa"/>
            <w:vAlign w:val="bottom"/>
            <w:gridSpan w:val="4"/>
          </w:tcPr>
          <w:p>
            <w:pPr>
              <w:jc w:val="right"/>
              <w:ind w:right="990"/>
              <w:spacing w:after="0"/>
              <w:rPr>
                <w:sz w:val="20"/>
                <w:szCs w:val="20"/>
                <w:color w:val="auto"/>
              </w:rPr>
            </w:pPr>
            <w:r>
              <w:rPr>
                <w:rFonts w:ascii="Arial" w:cs="Arial" w:eastAsia="Arial" w:hAnsi="Arial"/>
                <w:sz w:val="18"/>
                <w:szCs w:val="18"/>
                <w:color w:val="auto"/>
              </w:rPr>
              <w:t>Six Months Ended</w:t>
            </w: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 except store data</w:t>
            </w:r>
          </w:p>
        </w:tc>
        <w:tc>
          <w:tcPr>
            <w:tcW w:w="22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June 29, 2019</w:t>
            </w:r>
          </w:p>
        </w:tc>
        <w:tc>
          <w:tcPr>
            <w:tcW w:w="180" w:type="dxa"/>
            <w:vAlign w:val="bottom"/>
          </w:tcPr>
          <w:p>
            <w:pPr>
              <w:spacing w:after="0"/>
              <w:rPr>
                <w:sz w:val="20"/>
                <w:szCs w:val="20"/>
                <w:color w:val="auto"/>
              </w:rPr>
            </w:pPr>
          </w:p>
        </w:tc>
        <w:tc>
          <w:tcPr>
            <w:tcW w:w="1400" w:type="dxa"/>
            <w:vAlign w:val="bottom"/>
            <w:gridSpan w:val="4"/>
          </w:tcPr>
          <w:p>
            <w:pPr>
              <w:ind w:left="60"/>
              <w:spacing w:after="0"/>
              <w:rPr>
                <w:sz w:val="20"/>
                <w:szCs w:val="20"/>
                <w:color w:val="auto"/>
              </w:rPr>
            </w:pPr>
            <w:r>
              <w:rPr>
                <w:rFonts w:ascii="Arial" w:cs="Arial" w:eastAsia="Arial" w:hAnsi="Arial"/>
                <w:sz w:val="18"/>
                <w:szCs w:val="18"/>
                <w:color w:val="auto"/>
              </w:rPr>
              <w:t>June 30, 2018</w:t>
            </w:r>
          </w:p>
        </w:tc>
        <w:tc>
          <w:tcPr>
            <w:tcW w:w="24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June 29, 2019</w:t>
            </w:r>
          </w:p>
        </w:tc>
        <w:tc>
          <w:tcPr>
            <w:tcW w:w="24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color w:val="auto"/>
                <w:w w:val="96"/>
              </w:rPr>
              <w:t>June 30, 2018</w:t>
            </w:r>
          </w:p>
        </w:tc>
      </w:tr>
      <w:tr>
        <w:trPr>
          <w:trHeight w:val="27"/>
        </w:trPr>
        <w:tc>
          <w:tcPr>
            <w:tcW w:w="4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2"/>
          </w:tcPr>
          <w:p>
            <w:pPr>
              <w:ind w:left="280"/>
              <w:spacing w:after="0"/>
              <w:rPr>
                <w:sz w:val="20"/>
                <w:szCs w:val="20"/>
                <w:color w:val="auto"/>
              </w:rPr>
            </w:pPr>
            <w:r>
              <w:rPr>
                <w:rFonts w:ascii="Arial" w:cs="Arial" w:eastAsia="Arial" w:hAnsi="Arial"/>
                <w:sz w:val="18"/>
                <w:szCs w:val="18"/>
                <w:color w:val="auto"/>
              </w:rPr>
              <w:t>Net product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357,533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319,408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740,693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658,185</w:t>
            </w: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sales of services and plans</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66,124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149,973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135,322</w:t>
            </w: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8"/>
                <w:szCs w:val="18"/>
                <w:color w:val="auto"/>
              </w:rPr>
              <w:t>Total net revenue</w:t>
            </w: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429,451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385,532</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890,666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793,507</w:t>
            </w: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5"/>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0"/>
              </w:rPr>
              <w:t>Costs applicable to revenue (exclusive of depreciation and</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41"/>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4580" w:type="dxa"/>
            <w:vAlign w:val="bottom"/>
            <w:gridSpan w:val="2"/>
          </w:tcPr>
          <w:p>
            <w:pPr>
              <w:ind w:left="280"/>
              <w:spacing w:after="0"/>
              <w:rPr>
                <w:sz w:val="20"/>
                <w:szCs w:val="20"/>
                <w:color w:val="auto"/>
              </w:rPr>
            </w:pPr>
            <w:r>
              <w:rPr>
                <w:rFonts w:ascii="Arial" w:cs="Arial" w:eastAsia="Arial" w:hAnsi="Arial"/>
                <w:sz w:val="18"/>
                <w:szCs w:val="18"/>
                <w:color w:val="auto"/>
              </w:rPr>
              <w:t>Products</w:t>
            </w:r>
          </w:p>
        </w:tc>
        <w:tc>
          <w:tcPr>
            <w:tcW w:w="2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145,654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127,731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299,658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258,609</w:t>
            </w: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Services and plans</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56,852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49,328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114,817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98,904</w:t>
            </w: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8"/>
                <w:szCs w:val="18"/>
                <w:color w:val="auto"/>
              </w:rPr>
              <w:t>Total costs applicable to revenue</w:t>
            </w: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202,506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177,059</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414,475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357,513</w:t>
            </w: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2"/>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182,278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165,627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376,154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336,316</w:t>
            </w: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35,439</w:t>
            </w:r>
          </w:p>
        </w:tc>
      </w:tr>
      <w:tr>
        <w:trPr>
          <w:trHeight w:val="243"/>
        </w:trPr>
        <w:tc>
          <w:tcPr>
            <w:tcW w:w="4580" w:type="dxa"/>
            <w:vAlign w:val="bottom"/>
            <w:gridSpan w:val="2"/>
          </w:tcPr>
          <w:p>
            <w:pPr>
              <w:ind w:left="280"/>
              <w:spacing w:after="0"/>
              <w:rPr>
                <w:sz w:val="20"/>
                <w:szCs w:val="20"/>
                <w:color w:val="auto"/>
              </w:rPr>
            </w:pPr>
            <w:r>
              <w:rPr>
                <w:rFonts w:ascii="Arial" w:cs="Arial" w:eastAsia="Arial" w:hAnsi="Arial"/>
                <w:sz w:val="18"/>
                <w:szCs w:val="18"/>
                <w:color w:val="auto"/>
              </w:rPr>
              <w:t>Asset impairment</w:t>
            </w:r>
          </w:p>
        </w:tc>
        <w:tc>
          <w:tcPr>
            <w:tcW w:w="2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3,872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205,243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183,500</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422,089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372,173</w:t>
            </w:r>
          </w:p>
        </w:tc>
      </w:tr>
      <w:tr>
        <w:trPr>
          <w:trHeight w:val="27"/>
        </w:trPr>
        <w:tc>
          <w:tcPr>
            <w:tcW w:w="4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24,973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54,102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63,821</w:t>
            </w:r>
          </w:p>
        </w:tc>
      </w:tr>
      <w:tr>
        <w:trPr>
          <w:trHeight w:val="243"/>
        </w:trPr>
        <w:tc>
          <w:tcPr>
            <w:tcW w:w="4580" w:type="dxa"/>
            <w:vAlign w:val="bottom"/>
            <w:gridSpan w:val="2"/>
          </w:tcPr>
          <w:p>
            <w:pPr>
              <w:ind w:left="28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8,968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18,029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18,737</w:t>
            </w:r>
          </w:p>
        </w:tc>
      </w:tr>
      <w:tr>
        <w:trPr>
          <w:trHeight w:val="27"/>
        </w:trPr>
        <w:tc>
          <w:tcPr>
            <w:tcW w:w="4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45,084</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8,387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8,162</w:t>
            </w:r>
          </w:p>
        </w:tc>
      </w:tr>
      <w:tr>
        <w:trPr>
          <w:trHeight w:val="27"/>
        </w:trPr>
        <w:tc>
          <w:tcPr>
            <w:tcW w:w="4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12,467</w:t>
            </w: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27,686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36,922</w:t>
            </w:r>
          </w:p>
        </w:tc>
      </w:tr>
      <w:tr>
        <w:trPr>
          <w:trHeight w:val="20"/>
        </w:trPr>
        <w:tc>
          <w:tcPr>
            <w:tcW w:w="4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71"/>
        </w:trPr>
        <w:tc>
          <w:tcPr>
            <w:tcW w:w="4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Number of stores open at end of period</w:t>
            </w:r>
          </w:p>
        </w:tc>
        <w:tc>
          <w:tcPr>
            <w:tcW w:w="2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1,050</w:t>
            </w: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stores opened</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49,834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46,478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113,132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107,208</w:t>
            </w:r>
          </w:p>
        </w:tc>
      </w:tr>
      <w:tr>
        <w:trPr>
          <w:trHeight w:val="513"/>
        </w:trPr>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00" w:type="dxa"/>
            <w:vAlign w:val="bottom"/>
            <w:gridSpan w:val="7"/>
          </w:tcPr>
          <w:p>
            <w:pPr>
              <w:ind w:left="52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4"/>
                <w:szCs w:val="24"/>
                <w:color w:val="auto"/>
              </w:rPr>
            </w:pPr>
          </w:p>
        </w:tc>
        <w:tc>
          <w:tcPr>
            <w:tcW w:w="3280" w:type="dxa"/>
            <w:vAlign w:val="bottom"/>
            <w:gridSpan w:val="4"/>
          </w:tcPr>
          <w:p>
            <w:pPr>
              <w:jc w:val="right"/>
              <w:ind w:right="1030"/>
              <w:spacing w:after="0"/>
              <w:rPr>
                <w:sz w:val="20"/>
                <w:szCs w:val="20"/>
                <w:color w:val="auto"/>
              </w:rPr>
            </w:pPr>
            <w:r>
              <w:rPr>
                <w:rFonts w:ascii="Arial" w:cs="Arial" w:eastAsia="Arial" w:hAnsi="Arial"/>
                <w:sz w:val="18"/>
                <w:szCs w:val="18"/>
                <w:color w:val="auto"/>
              </w:rPr>
              <w:t>Six Months Ended</w:t>
            </w:r>
          </w:p>
        </w:tc>
      </w:tr>
      <w:tr>
        <w:trPr>
          <w:trHeight w:val="27"/>
        </w:trPr>
        <w:tc>
          <w:tcPr>
            <w:tcW w:w="4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Total costs applicable to revenue</w:t>
            </w:r>
          </w:p>
        </w:tc>
        <w:tc>
          <w:tcPr>
            <w:tcW w:w="220" w:type="dxa"/>
            <w:vAlign w:val="bottom"/>
          </w:tcPr>
          <w:p>
            <w:pPr>
              <w:spacing w:after="0"/>
              <w:rPr>
                <w:sz w:val="20"/>
                <w:szCs w:val="20"/>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567"/>
        </w:trPr>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right="4900"/>
        <w:spacing w:after="0" w:line="378" w:lineRule="auto"/>
        <w:rPr>
          <w:sz w:val="20"/>
          <w:szCs w:val="20"/>
          <w:color w:val="auto"/>
        </w:rPr>
      </w:pPr>
      <w:r>
        <w:rPr>
          <w:rFonts w:ascii="Arial" w:cs="Arial" w:eastAsia="Arial" w:hAnsi="Arial"/>
          <w:sz w:val="18"/>
          <w:szCs w:val="18"/>
          <w:b w:val="1"/>
          <w:bCs w:val="1"/>
          <w:color w:val="auto"/>
        </w:rPr>
        <w:t xml:space="preserve">Three Months Ended June 29, 2019 compared to Three Months Ended June 30, 2018 </w:t>
      </w:r>
      <w:r>
        <w:rPr>
          <w:rFonts w:ascii="Arial" w:cs="Arial" w:eastAsia="Arial" w:hAnsi="Arial"/>
          <w:sz w:val="18"/>
          <w:szCs w:val="18"/>
          <w:i w:val="1"/>
          <w:iCs w:val="1"/>
          <w:color w:val="auto"/>
        </w:rPr>
        <w:t>Net revenue</w:t>
      </w:r>
    </w:p>
    <w:p>
      <w:pPr>
        <w:ind w:right="20"/>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the three months ended June 29, 2019 compared to the three months ended June 30,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w w:val="98"/>
              </w:rPr>
              <w:t>Comparable store sales growth</w:t>
            </w:r>
            <w:r>
              <w:rPr>
                <w:rFonts w:ascii="Arial" w:cs="Arial" w:eastAsia="Arial" w:hAnsi="Arial"/>
                <w:sz w:val="8"/>
                <w:szCs w:val="8"/>
                <w:b w:val="1"/>
                <w:bCs w:val="1"/>
                <w:color w:val="auto"/>
                <w:w w:val="98"/>
              </w:rPr>
              <w:t>(1)</w:t>
            </w:r>
          </w:p>
        </w:tc>
        <w:tc>
          <w:tcPr>
            <w:tcW w:w="12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Stores open at end of period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1001"/>
              <w:spacing w:after="0"/>
              <w:rPr>
                <w:sz w:val="20"/>
                <w:szCs w:val="20"/>
                <w:color w:val="auto"/>
              </w:rPr>
            </w:pPr>
            <w:r>
              <w:rPr>
                <w:rFonts w:ascii="Arial" w:cs="Arial" w:eastAsia="Arial" w:hAnsi="Arial"/>
                <w:sz w:val="14"/>
                <w:szCs w:val="14"/>
                <w:b w:val="1"/>
                <w:bCs w:val="1"/>
                <w:color w:val="auto"/>
              </w:rPr>
              <w:t>Net revenue</w:t>
            </w:r>
            <w:r>
              <w:rPr>
                <w:rFonts w:ascii="Arial" w:cs="Arial" w:eastAsia="Arial" w:hAnsi="Arial"/>
                <w:sz w:val="8"/>
                <w:szCs w:val="8"/>
                <w:b w:val="1"/>
                <w:bCs w:val="1"/>
                <w:color w:val="auto"/>
              </w:rPr>
              <w:t>(2)</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Three Months</w:t>
            </w:r>
          </w:p>
        </w:tc>
        <w:tc>
          <w:tcPr>
            <w:tcW w:w="12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Three Months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3"/>
                <w:szCs w:val="13"/>
                <w:color w:val="auto"/>
              </w:rPr>
            </w:pPr>
          </w:p>
        </w:tc>
        <w:tc>
          <w:tcPr>
            <w:tcW w:w="1820" w:type="dxa"/>
            <w:vAlign w:val="bottom"/>
            <w:gridSpan w:val="2"/>
            <w:vMerge w:val="restart"/>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2660" w:type="dxa"/>
            <w:vAlign w:val="bottom"/>
            <w:gridSpan w:val="2"/>
          </w:tcPr>
          <w:p>
            <w:pPr>
              <w:ind w:left="40"/>
              <w:spacing w:after="0" w:line="149" w:lineRule="exact"/>
              <w:rPr>
                <w:sz w:val="20"/>
                <w:szCs w:val="20"/>
                <w:color w:val="auto"/>
              </w:rPr>
            </w:pPr>
            <w:r>
              <w:rPr>
                <w:rFonts w:ascii="Arial" w:cs="Arial" w:eastAsia="Arial" w:hAnsi="Arial"/>
                <w:sz w:val="14"/>
                <w:szCs w:val="14"/>
                <w:i w:val="1"/>
                <w:iCs w:val="1"/>
                <w:color w:val="auto"/>
                <w:w w:val="97"/>
              </w:rPr>
              <w:t>In thousands, except percentage and store</w:t>
            </w: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Ended</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Ended</w:t>
            </w:r>
          </w:p>
        </w:tc>
        <w:tc>
          <w:tcPr>
            <w:tcW w:w="100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w w:val="98"/>
              </w:rPr>
              <w:t>June 29, 2019</w:t>
            </w:r>
          </w:p>
        </w:tc>
        <w:tc>
          <w:tcPr>
            <w:tcW w:w="100" w:type="dxa"/>
            <w:vAlign w:val="bottom"/>
            <w:vMerge w:val="restart"/>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June 30, 2018</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data</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June 29, 2019</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2018</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29, 2019</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2018</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Owned &amp; Host segment</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6"/>
                <w:szCs w:val="16"/>
                <w:color w:val="auto"/>
              </w:rPr>
              <w:t>America’s Best</w:t>
            </w:r>
          </w:p>
        </w:tc>
        <w:tc>
          <w:tcPr>
            <w:tcW w:w="1100" w:type="dxa"/>
            <w:vAlign w:val="bottom"/>
          </w:tcPr>
          <w:p>
            <w:pPr>
              <w:jc w:val="right"/>
              <w:spacing w:after="0"/>
              <w:rPr>
                <w:sz w:val="20"/>
                <w:szCs w:val="20"/>
                <w:color w:val="auto"/>
              </w:rPr>
            </w:pPr>
            <w:r>
              <w:rPr>
                <w:rFonts w:ascii="Arial" w:cs="Arial" w:eastAsia="Arial" w:hAnsi="Arial"/>
                <w:sz w:val="16"/>
                <w:szCs w:val="16"/>
                <w:color w:val="auto"/>
              </w:rPr>
              <w:t>4.5 %</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10.2 %</w:t>
            </w:r>
          </w:p>
        </w:tc>
        <w:tc>
          <w:tcPr>
            <w:tcW w:w="12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21"/>
              <w:spacing w:after="0"/>
              <w:rPr>
                <w:sz w:val="20"/>
                <w:szCs w:val="20"/>
                <w:color w:val="auto"/>
              </w:rPr>
            </w:pPr>
            <w:r>
              <w:rPr>
                <w:rFonts w:ascii="Arial" w:cs="Arial" w:eastAsia="Arial" w:hAnsi="Arial"/>
                <w:sz w:val="16"/>
                <w:szCs w:val="16"/>
                <w:color w:val="auto"/>
              </w:rPr>
              <w:t>266,781</w:t>
            </w:r>
          </w:p>
        </w:tc>
        <w:tc>
          <w:tcPr>
            <w:tcW w:w="54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521"/>
              <w:spacing w:after="0"/>
              <w:rPr>
                <w:sz w:val="20"/>
                <w:szCs w:val="20"/>
                <w:color w:val="auto"/>
              </w:rPr>
            </w:pPr>
            <w:r>
              <w:rPr>
                <w:rFonts w:ascii="Arial" w:cs="Arial" w:eastAsia="Arial" w:hAnsi="Arial"/>
                <w:sz w:val="16"/>
                <w:szCs w:val="16"/>
                <w:color w:val="auto"/>
              </w:rPr>
              <w:t>239,240</w:t>
            </w:r>
          </w:p>
        </w:tc>
        <w:tc>
          <w:tcPr>
            <w:tcW w:w="560" w:type="dxa"/>
            <w:vAlign w:val="bottom"/>
          </w:tcPr>
          <w:p>
            <w:pPr>
              <w:jc w:val="right"/>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33"/>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Eyeglass World</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21"/>
              <w:spacing w:after="0"/>
              <w:rPr>
                <w:sz w:val="20"/>
                <w:szCs w:val="20"/>
                <w:color w:val="auto"/>
              </w:rPr>
            </w:pPr>
            <w:r>
              <w:rPr>
                <w:rFonts w:ascii="Arial" w:cs="Arial" w:eastAsia="Arial" w:hAnsi="Arial"/>
                <w:sz w:val="16"/>
                <w:szCs w:val="16"/>
                <w:color w:val="auto"/>
              </w:rPr>
              <w:t>44,059</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1"/>
              <w:spacing w:after="0"/>
              <w:rPr>
                <w:sz w:val="20"/>
                <w:szCs w:val="20"/>
                <w:color w:val="auto"/>
              </w:rPr>
            </w:pPr>
            <w:r>
              <w:rPr>
                <w:rFonts w:ascii="Arial" w:cs="Arial" w:eastAsia="Arial" w:hAnsi="Arial"/>
                <w:sz w:val="16"/>
                <w:szCs w:val="16"/>
                <w:color w:val="auto"/>
              </w:rPr>
              <w:t>40,473</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6"/>
                <w:szCs w:val="16"/>
                <w:color w:val="auto"/>
              </w:rPr>
              <w:t>Military</w:t>
            </w:r>
          </w:p>
        </w:tc>
        <w:tc>
          <w:tcPr>
            <w:tcW w:w="1100" w:type="dxa"/>
            <w:vAlign w:val="bottom"/>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21"/>
              <w:spacing w:after="0"/>
              <w:rPr>
                <w:sz w:val="20"/>
                <w:szCs w:val="20"/>
                <w:color w:val="auto"/>
              </w:rPr>
            </w:pPr>
            <w:r>
              <w:rPr>
                <w:rFonts w:ascii="Arial" w:cs="Arial" w:eastAsia="Arial" w:hAnsi="Arial"/>
                <w:sz w:val="16"/>
                <w:szCs w:val="16"/>
                <w:color w:val="auto"/>
              </w:rPr>
              <w:t>6,021</w:t>
            </w:r>
          </w:p>
        </w:tc>
        <w:tc>
          <w:tcPr>
            <w:tcW w:w="5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521"/>
              <w:spacing w:after="0"/>
              <w:rPr>
                <w:sz w:val="20"/>
                <w:szCs w:val="20"/>
                <w:color w:val="auto"/>
              </w:rPr>
            </w:pPr>
            <w:r>
              <w:rPr>
                <w:rFonts w:ascii="Arial" w:cs="Arial" w:eastAsia="Arial" w:hAnsi="Arial"/>
                <w:sz w:val="16"/>
                <w:szCs w:val="16"/>
                <w:color w:val="auto"/>
              </w:rPr>
              <w:t>6,145</w:t>
            </w:r>
          </w:p>
        </w:tc>
        <w:tc>
          <w:tcPr>
            <w:tcW w:w="5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Fred Meyer</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21"/>
              <w:spacing w:after="0"/>
              <w:rPr>
                <w:sz w:val="20"/>
                <w:szCs w:val="20"/>
                <w:color w:val="auto"/>
              </w:rPr>
            </w:pPr>
            <w:r>
              <w:rPr>
                <w:rFonts w:ascii="Arial" w:cs="Arial" w:eastAsia="Arial" w:hAnsi="Arial"/>
                <w:sz w:val="16"/>
                <w:szCs w:val="16"/>
                <w:color w:val="auto"/>
              </w:rPr>
              <w:t>3,555</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21"/>
              <w:spacing w:after="0"/>
              <w:rPr>
                <w:sz w:val="20"/>
                <w:szCs w:val="20"/>
                <w:color w:val="auto"/>
              </w:rPr>
            </w:pPr>
            <w:r>
              <w:rPr>
                <w:rFonts w:ascii="Arial" w:cs="Arial" w:eastAsia="Arial" w:hAnsi="Arial"/>
                <w:sz w:val="16"/>
                <w:szCs w:val="16"/>
                <w:color w:val="auto"/>
              </w:rPr>
              <w:t>3,755</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2660" w:type="dxa"/>
            <w:vAlign w:val="bottom"/>
            <w:gridSpan w:val="2"/>
          </w:tcPr>
          <w:p>
            <w:pPr>
              <w:ind w:left="40"/>
              <w:spacing w:after="0"/>
              <w:rPr>
                <w:sz w:val="20"/>
                <w:szCs w:val="20"/>
                <w:color w:val="auto"/>
              </w:rPr>
            </w:pPr>
            <w:r>
              <w:rPr>
                <w:rFonts w:ascii="Arial" w:cs="Arial" w:eastAsia="Arial" w:hAnsi="Arial"/>
                <w:sz w:val="16"/>
                <w:szCs w:val="16"/>
                <w:color w:val="auto"/>
              </w:rPr>
              <w:t>Owned &amp; Host segment total</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902</w:t>
            </w: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823</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421"/>
              <w:spacing w:after="0"/>
              <w:rPr>
                <w:sz w:val="20"/>
                <w:szCs w:val="20"/>
                <w:color w:val="auto"/>
              </w:rPr>
            </w:pPr>
            <w:r>
              <w:rPr>
                <w:rFonts w:ascii="Arial" w:cs="Arial" w:eastAsia="Arial" w:hAnsi="Arial"/>
                <w:sz w:val="16"/>
                <w:szCs w:val="16"/>
                <w:color w:val="auto"/>
              </w:rPr>
              <w:t>320,416</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521"/>
              <w:spacing w:after="0"/>
              <w:rPr>
                <w:sz w:val="20"/>
                <w:szCs w:val="20"/>
                <w:color w:val="auto"/>
              </w:rPr>
            </w:pPr>
            <w:r>
              <w:rPr>
                <w:rFonts w:ascii="Arial" w:cs="Arial" w:eastAsia="Arial" w:hAnsi="Arial"/>
                <w:sz w:val="16"/>
                <w:szCs w:val="16"/>
                <w:color w:val="auto"/>
              </w:rPr>
              <w:t>289,613</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33"/>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Legacy segment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21"/>
              <w:spacing w:after="0"/>
              <w:rPr>
                <w:sz w:val="20"/>
                <w:szCs w:val="20"/>
                <w:color w:val="auto"/>
              </w:rPr>
            </w:pPr>
            <w:r>
              <w:rPr>
                <w:rFonts w:ascii="Arial" w:cs="Arial" w:eastAsia="Arial" w:hAnsi="Arial"/>
                <w:sz w:val="16"/>
                <w:szCs w:val="16"/>
                <w:color w:val="auto"/>
              </w:rPr>
              <w:t>39,264</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1"/>
              <w:spacing w:after="0"/>
              <w:rPr>
                <w:sz w:val="20"/>
                <w:szCs w:val="20"/>
                <w:color w:val="auto"/>
              </w:rPr>
            </w:pPr>
            <w:r>
              <w:rPr>
                <w:rFonts w:ascii="Arial" w:cs="Arial" w:eastAsia="Arial" w:hAnsi="Arial"/>
                <w:sz w:val="16"/>
                <w:szCs w:val="16"/>
                <w:color w:val="auto"/>
              </w:rPr>
              <w:t>39,106</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Corporate/Other</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80" w:type="dxa"/>
            <w:vAlign w:val="bottom"/>
          </w:tcPr>
          <w:p>
            <w:pPr>
              <w:jc w:val="right"/>
              <w:ind w:right="421"/>
              <w:spacing w:after="0"/>
              <w:rPr>
                <w:sz w:val="20"/>
                <w:szCs w:val="20"/>
                <w:color w:val="auto"/>
              </w:rPr>
            </w:pPr>
            <w:r>
              <w:rPr>
                <w:rFonts w:ascii="Arial" w:cs="Arial" w:eastAsia="Arial" w:hAnsi="Arial"/>
                <w:sz w:val="16"/>
                <w:szCs w:val="16"/>
                <w:color w:val="auto"/>
              </w:rPr>
              <w:t>62,346</w:t>
            </w:r>
          </w:p>
        </w:tc>
        <w:tc>
          <w:tcPr>
            <w:tcW w:w="54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521"/>
              <w:spacing w:after="0"/>
              <w:rPr>
                <w:sz w:val="20"/>
                <w:szCs w:val="20"/>
                <w:color w:val="auto"/>
              </w:rPr>
            </w:pPr>
            <w:r>
              <w:rPr>
                <w:rFonts w:ascii="Arial" w:cs="Arial" w:eastAsia="Arial" w:hAnsi="Arial"/>
                <w:sz w:val="16"/>
                <w:szCs w:val="16"/>
                <w:color w:val="auto"/>
              </w:rPr>
              <w:t>50,764</w:t>
            </w:r>
          </w:p>
        </w:tc>
        <w:tc>
          <w:tcPr>
            <w:tcW w:w="560" w:type="dxa"/>
            <w:vAlign w:val="bottom"/>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33"/>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Reconciliations</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21"/>
              <w:spacing w:after="0"/>
              <w:rPr>
                <w:sz w:val="20"/>
                <w:szCs w:val="20"/>
                <w:color w:val="auto"/>
              </w:rPr>
            </w:pPr>
            <w:r>
              <w:rPr>
                <w:rFonts w:ascii="Arial" w:cs="Arial" w:eastAsia="Arial" w:hAnsi="Arial"/>
                <w:sz w:val="16"/>
                <w:szCs w:val="16"/>
                <w:color w:val="auto"/>
              </w:rPr>
              <w:t>7,425</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21"/>
              <w:spacing w:after="0"/>
              <w:rPr>
                <w:sz w:val="20"/>
                <w:szCs w:val="20"/>
                <w:color w:val="auto"/>
              </w:rPr>
            </w:pPr>
            <w:r>
              <w:rPr>
                <w:rFonts w:ascii="Arial" w:cs="Arial" w:eastAsia="Arial" w:hAnsi="Arial"/>
                <w:sz w:val="16"/>
                <w:szCs w:val="16"/>
                <w:color w:val="auto"/>
              </w:rPr>
              <w:t>6,049</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84"/>
        </w:trPr>
        <w:tc>
          <w:tcPr>
            <w:tcW w:w="26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4.4 %</w:t>
            </w: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10.4 %</w:t>
            </w:r>
          </w:p>
        </w:tc>
        <w:tc>
          <w:tcPr>
            <w:tcW w:w="12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1,128</w:t>
            </w:r>
          </w:p>
        </w:tc>
        <w:tc>
          <w:tcPr>
            <w:tcW w:w="10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1,050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color w:val="auto"/>
              </w:rPr>
              <w:t>429,451</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100.0%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6"/>
                <w:szCs w:val="16"/>
                <w:color w:val="auto"/>
              </w:rPr>
              <w:t>385,532</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100.0%</w:t>
            </w:r>
          </w:p>
        </w:tc>
        <w:tc>
          <w:tcPr>
            <w:tcW w:w="0" w:type="dxa"/>
            <w:vAlign w:val="bottom"/>
          </w:tcPr>
          <w:p>
            <w:pPr>
              <w:spacing w:after="0"/>
              <w:rPr>
                <w:sz w:val="1"/>
                <w:szCs w:val="1"/>
                <w:color w:val="auto"/>
              </w:rPr>
            </w:pPr>
          </w:p>
        </w:tc>
      </w:tr>
      <w:tr>
        <w:trPr>
          <w:trHeight w:val="180"/>
        </w:trPr>
        <w:tc>
          <w:tcPr>
            <w:tcW w:w="2660" w:type="dxa"/>
            <w:vAlign w:val="bottom"/>
            <w:gridSpan w:val="2"/>
            <w:shd w:val="clear" w:color="auto" w:fill="CCEEFF"/>
          </w:tcPr>
          <w:p>
            <w:pPr>
              <w:ind w:left="40"/>
              <w:spacing w:after="0" w:line="180" w:lineRule="exact"/>
              <w:rPr>
                <w:sz w:val="20"/>
                <w:szCs w:val="20"/>
                <w:color w:val="auto"/>
              </w:rPr>
            </w:pPr>
            <w:r>
              <w:rPr>
                <w:rFonts w:ascii="Arial" w:cs="Arial" w:eastAsia="Arial" w:hAnsi="Arial"/>
                <w:sz w:val="16"/>
                <w:szCs w:val="16"/>
                <w:color w:val="auto"/>
              </w:rPr>
              <w:t>Adjusted comparable store sales</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660" w:type="dxa"/>
            <w:vAlign w:val="bottom"/>
            <w:gridSpan w:val="2"/>
            <w:shd w:val="clear" w:color="auto" w:fill="CCEEFF"/>
          </w:tcPr>
          <w:p>
            <w:pPr>
              <w:ind w:left="40"/>
              <w:spacing w:after="0" w:line="239" w:lineRule="exact"/>
              <w:rPr>
                <w:sz w:val="20"/>
                <w:szCs w:val="20"/>
                <w:color w:val="auto"/>
              </w:rPr>
            </w:pPr>
            <w:r>
              <w:rPr>
                <w:rFonts w:ascii="Arial" w:cs="Arial" w:eastAsia="Arial" w:hAnsi="Arial"/>
                <w:sz w:val="16"/>
                <w:szCs w:val="16"/>
                <w:color w:val="auto"/>
              </w:rPr>
              <w:t>growth</w:t>
            </w:r>
            <w:r>
              <w:rPr>
                <w:rFonts w:ascii="Arial" w:cs="Arial" w:eastAsia="Arial" w:hAnsi="Arial"/>
                <w:sz w:val="21"/>
                <w:szCs w:val="21"/>
                <w:color w:val="auto"/>
                <w:vertAlign w:val="superscript"/>
              </w:rPr>
              <w:t>(3)</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660" w:hanging="328"/>
        <w:spacing w:after="0" w:line="245"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9. “Segment Reporting” in our unaudited condensed consolidated financial statements included in Part I. Item 1. of this Form 10-Q, with the exception of the legacy segment, which is adjusted as noted in clause (ii) of footnote (3) below.</w:t>
      </w: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 adjusted for rounding.</w:t>
      </w:r>
    </w:p>
    <w:p>
      <w:pPr>
        <w:spacing w:after="0" w:line="1" w:lineRule="exact"/>
        <w:rPr>
          <w:rFonts w:ascii="Arial" w:cs="Arial" w:eastAsia="Arial" w:hAnsi="Arial"/>
          <w:sz w:val="14"/>
          <w:szCs w:val="14"/>
          <w:color w:val="auto"/>
        </w:rPr>
      </w:pPr>
    </w:p>
    <w:p>
      <w:pPr>
        <w:jc w:val="both"/>
        <w:ind w:left="660" w:hanging="328"/>
        <w:spacing w:after="0" w:line="268" w:lineRule="auto"/>
        <w:tabs>
          <w:tab w:leader="none" w:pos="6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0.4% and 1.5% from total comparable store sales growth based on consolidated net revenue for the three months ended June 29, 2019 and June 30, 2018, respectively, and (ii) adjusted comparable store sales growth includes retail sales to the legacy partner’s customers (rather than the revenues recognized consistent with the management &amp; services agreement with the legacy partner), resulting in a decrease of 0.2% and 0.1% from total comparable store sales growth based on consolidated net revenue for the three months ended June 29, 2019 and June 30, 2018, respectively.</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net revenue of $429.5 million for the three months ended June 29, 2019 increased $43.9 million, or 11.4%, from $385.5 million for the three months ended June 30, 2018. This increase was driven approximately 45% by new stores, approximately 30% by comparable store sales growth, and approximately 25% by order volume in our AC Lens business.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three months ended June 29, 2019, we opened 24 new stores, including 23 America’s Best stores and one Eyeglass World store. Overall, store count grew 7.4% from June 30, 2018 to June 29, 2019 (72 and 9 net new America’s Best and Eyeglass World locations were added, respectively, and two Military locations and one legacy location closed during that same period).</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Comparable store sales growth and adjusted comparable store sales growth were 4.4% and 3.8%, respectively, for the three months ended June 29, 2019. Comparable store sales growth and adjusted comparable store sales growth were primarily driven by increases in average ticket and customer transactions. We believe the increases in net revenue were primarily due to execution of our key strategies, including new store openings and maturation, advertising, expansion of our participation in managed care programs and the recent expansion of our AC Lens contact lens distribution business with Walmart.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product sales comprised 83.3% and 82.8% of total net revenue for the three months ended June 29, 2019 and June 30, 2018, respectively. Net product sales increased $38.1 million, or 11.9%, in the three months ended June 29, 2019 compared to the three months ended June 30, 2018, driven primarily by eyeglass sales and, to a lesser extent, unit growth in our AC Lens contact lens distribution business and contact lens sales. Net sales of services and plans increased $5.8 million, or 8.8%, driven primarily by eye exam sales in our owned &amp; host segment resulting from expanding participation in managed care programs and our store count growth.</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result of changes in applicable California law, certain optometrists employed by FirstSight were transferred to a professional corporation that contracts directly with our legacy segment in the fourth quarter of fiscal year 2018, similar to optometrist transfers that occurred in the third quarter of 2017. This completed the transfer of optometrists from FirstSight to our legacy segment. This change led to an increase of $0.9 million in legacy segment eye exam revenue and optometrist payroll costs, in the three months ended June 29, 2019. A corresponding decrease was recorded in our FirstSight subsidiary within the corporate/other segment. Therefore, the change had no impact on consolidated income from operations.</w:t>
      </w:r>
    </w:p>
    <w:p>
      <w:pPr>
        <w:spacing w:after="0" w:line="64"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i w:val="1"/>
          <w:iCs w:val="1"/>
          <w:color w:val="auto"/>
        </w:rPr>
        <w:t xml:space="preserve">Owned &amp; Host segment net revenue. </w:t>
      </w:r>
      <w:r>
        <w:rPr>
          <w:rFonts w:ascii="Arial" w:cs="Arial" w:eastAsia="Arial" w:hAnsi="Arial"/>
          <w:sz w:val="17"/>
          <w:szCs w:val="17"/>
          <w:color w:val="auto"/>
        </w:rPr>
        <w:t>Net revenue grew $30.8 million, or 10.6%, due to new store openings and comparable store sales growth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sales across our product categories. The growth was predominantly driven by performance in America’s Best and Eyeglass World.</w:t>
      </w:r>
    </w:p>
    <w:p>
      <w:pPr>
        <w:spacing w:after="0" w:line="3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Legacy segment net revenue. </w:t>
      </w:r>
      <w:r>
        <w:rPr>
          <w:rFonts w:ascii="Arial" w:cs="Arial" w:eastAsia="Arial" w:hAnsi="Arial"/>
          <w:sz w:val="18"/>
          <w:szCs w:val="18"/>
          <w:color w:val="auto"/>
        </w:rPr>
        <w:t>Net revenue grew $0.2 million, or 0.4%, primarily driven by higher exam sales and an increase in average ticket,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a decline in customer transactions. The increased eye exam sales were primarily the result of changes to our FirstSight operations required by changes in applicable California law discussed above. The FirstSight operations changes resulted in a favorable impact of approximately 180 basis points in comparable store sales growth.</w:t>
      </w:r>
    </w:p>
    <w:p>
      <w:pPr>
        <w:spacing w:after="0" w:line="7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Corporate/Other segment net revenue. </w:t>
      </w:r>
      <w:r>
        <w:rPr>
          <w:rFonts w:ascii="Arial" w:cs="Arial" w:eastAsia="Arial" w:hAnsi="Arial"/>
          <w:sz w:val="18"/>
          <w:szCs w:val="18"/>
          <w:color w:val="auto"/>
        </w:rPr>
        <w:t>Net revenue increased $11.6 million, or 22.8%, driven by growth in our AC Lens contact lens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and our online retail business, which was partially offset by a $0.9 million reduction in sales as a result of the FirstSight operations changes discussed above.</w:t>
      </w:r>
    </w:p>
    <w:p>
      <w:pPr>
        <w:spacing w:after="0" w:line="73"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i w:val="1"/>
          <w:iCs w:val="1"/>
          <w:color w:val="auto"/>
        </w:rPr>
        <w:t xml:space="preserve">Net revenue reconciliations. </w:t>
      </w:r>
      <w:r>
        <w:rPr>
          <w:rFonts w:ascii="Arial" w:cs="Arial" w:eastAsia="Arial" w:hAnsi="Arial"/>
          <w:sz w:val="16"/>
          <w:szCs w:val="16"/>
          <w:color w:val="auto"/>
        </w:rPr>
        <w:t>Reconciliations include increases in deferred revenue of $1.1 million and $1.0 million, and decreases in unearned revenue of</w:t>
      </w:r>
      <w:r>
        <w:rPr>
          <w:rFonts w:ascii="Arial" w:cs="Arial" w:eastAsia="Arial" w:hAnsi="Arial"/>
          <w:sz w:val="16"/>
          <w:szCs w:val="16"/>
          <w:i w:val="1"/>
          <w:iCs w:val="1"/>
          <w:color w:val="auto"/>
        </w:rPr>
        <w:t xml:space="preserve"> </w:t>
      </w:r>
      <w:r>
        <w:rPr>
          <w:rFonts w:ascii="Arial" w:cs="Arial" w:eastAsia="Arial" w:hAnsi="Arial"/>
          <w:sz w:val="16"/>
          <w:szCs w:val="16"/>
          <w:color w:val="auto"/>
        </w:rPr>
        <w:t>$8.5 million and $7.1 million for the three months ended June 29, 2019 and June 30, 2018, respectively. The increase in deferred revenue for the three months ended June 29, 2019 was driven by growth in our eye care club membership sales, and to a lesser extent, product protection plans.</w:t>
      </w:r>
    </w:p>
    <w:p>
      <w:pPr>
        <w:spacing w:after="0" w:line="3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Differences between the decreases in unearned revenue for the three months ended June 29, 2019 and June 30, 2018 were primarily the result of sales of prescription eyewear in our stores during the last week to 10 days of the preceding quarters. Unearned revenue was higher in March 2019 compared to March 2018 due to sales volume differences caused by increased store count and comparable store sales growth. The higher opening balance for the quarter ended June 29, 2019 resulted in more revenues being recognized during the three months ended June 29, 2019 compared to the three months ended June 30, 2018.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Costs applicable to revenue of $202.5 million for the three months ended June 29, 2019 increased $25.4 million, or 14.4%, from $177.1 million for the three months ended June 30, 2018. As a percentage of net revenue, costs applicable to revenue increased from 45.9% for the three months ended June 30, 2018 to 47.2% for the three months ended June 29, 2019. The increase was primarily driven by our growing AC Lens business and to a lesser extent, increased optometrist costs, partially offset by a higher mix of eye exam sales as a result of our growing managed care business during the three months ended June 29, 2019.</w:t>
      </w:r>
    </w:p>
    <w:p>
      <w:pPr>
        <w:spacing w:after="0" w:line="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Costs of products as a percentage of net product sales increased from 40.0% for the three months ended June 30, 2018 to 40.7% for the three months ended June 29, 2019, primarily driven by our growing AC Lens business partially offset by timing of vendor rebates. Our AC Lens net revenue grew faster than our store brands in the three months ended June 29, 2019, and AC Lens had a higher cost of products as a percentage of net revenue than our store brands.</w:t>
      </w:r>
    </w:p>
    <w:p>
      <w:pPr>
        <w:spacing w:after="0" w:line="39"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Costs of products as a percentage of net product sales decreased from 29.8%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2018 to 29.5% for the three months ended June 29, 2019. The decrease was primarily driven by timing of vendor rebates in the three months ended June 29, 2019, partially offset by lower mix of eyeglass sales.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Legacy segment costs of products. </w:t>
      </w:r>
      <w:r>
        <w:rPr>
          <w:rFonts w:ascii="Arial" w:cs="Arial" w:eastAsia="Arial" w:hAnsi="Arial"/>
          <w:sz w:val="18"/>
          <w:szCs w:val="18"/>
          <w:color w:val="auto"/>
        </w:rPr>
        <w:t>Costs of products as a percentage of net product sales increased from 46.4% for the three months ended June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to 47.7% for the three months ended June 29, 2019. The increase was primarily driven by lower managed care contact lens mix, partially offset by eyeglass sales mix as a result of increased managed care transactions.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Increases in managed care mix have improved costs of products as a percentage of net product sales and have a corresponding negative impact on costs of services as a percentage of net sales of services and plans in our legacy segment.</w:t>
      </w:r>
    </w:p>
    <w:p>
      <w:pPr>
        <w:spacing w:after="0" w:line="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Costs of services and plans as a percentage of net sales of services and plans increased from 74.6% for the three months ended June 30, 2018 to 79.1% for the three months ended June 29, 2019. The increase was primarily driven by higher optometrist costs, partially offset by increased eye exam sales as a result of our growing managed care business. Optometrist costs increased as a result of planned increases in store coverage.</w:t>
      </w:r>
    </w:p>
    <w:p>
      <w:pPr>
        <w:spacing w:after="0" w:line="5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 xml:space="preserve">Owned &amp; Host segment costs of services and plans. </w:t>
      </w:r>
      <w:r>
        <w:rPr>
          <w:rFonts w:ascii="Arial" w:cs="Arial" w:eastAsia="Arial" w:hAnsi="Arial"/>
          <w:sz w:val="18"/>
          <w:szCs w:val="18"/>
          <w:color w:val="auto"/>
        </w:rPr>
        <w:t>Costs of services and plans as a percentage of net sales of services and plans in the owned &amp; host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increased from 81.7% for the three months ended June 30, 2018 to 84.9% for the three months ended June 29, 2019. The increase was driven by higher optometrist costs as described above, partially offset by increased eye exam sales as a result of increased managed care transactions, since eye exams purchased by managed care customers are excluded from our signature two-pair offer at our America’s Best brand, and are therefore recorded as services revenue.</w:t>
      </w:r>
    </w:p>
    <w:p>
      <w:pPr>
        <w:spacing w:after="0" w:line="8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Legacy segment costs of services and plans. </w:t>
      </w:r>
      <w:r>
        <w:rPr>
          <w:rFonts w:ascii="Arial" w:cs="Arial" w:eastAsia="Arial" w:hAnsi="Arial"/>
          <w:sz w:val="18"/>
          <w:szCs w:val="18"/>
          <w:color w:val="auto"/>
        </w:rPr>
        <w:t>Costs of services and plans as a percentage of net sales of services and plans increased from 37.7%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2018 to 46.5% for the three months ended June 29, 2019. The increase was primarily driven by increased optometrist costs, partially offset by increased eye exam sales. The higher optometrist costs and increased eye exam sales were both primarily the result of the FirstSight operations changes discussed in “</w:t>
      </w:r>
      <w:r>
        <w:rPr>
          <w:rFonts w:ascii="Arial" w:cs="Arial" w:eastAsia="Arial" w:hAnsi="Arial"/>
          <w:sz w:val="18"/>
          <w:szCs w:val="18"/>
          <w:i w:val="1"/>
          <w:iCs w:val="1"/>
          <w:color w:val="auto"/>
        </w:rPr>
        <w:t>Net Revenue</w:t>
      </w:r>
      <w:r>
        <w:rPr>
          <w:rFonts w:ascii="Arial" w:cs="Arial" w:eastAsia="Arial" w:hAnsi="Arial"/>
          <w:sz w:val="18"/>
          <w:szCs w:val="18"/>
          <w:color w:val="auto"/>
        </w:rPr>
        <w:t>” above.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SG&amp;A of $182.3 million for the three months ended June 29, 2019 increased $16.7 million, or 10.1%, from the three months ended June 30, 2018. As a percentage of net revenue, SG&amp;A decreased from 43.0% for the three months ended June 30, 2018 to 42.4% for the three months ended June 29, 2019. The decrease in SG&amp;A as a percentage of net revenue was primarily due to increased net revenue from our AC Lens contact lens distribution business growth and store payroll leverage, partially offset by increased advertising expenses.</w:t>
      </w:r>
    </w:p>
    <w:p>
      <w:pPr>
        <w:spacing w:after="0" w:line="7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Owned &amp; Host SG&amp;A. </w:t>
      </w:r>
      <w:r>
        <w:rPr>
          <w:rFonts w:ascii="Arial" w:cs="Arial" w:eastAsia="Arial" w:hAnsi="Arial"/>
          <w:sz w:val="18"/>
          <w:szCs w:val="18"/>
          <w:color w:val="auto"/>
        </w:rPr>
        <w:t>SG&amp;A as a percentage of net revenue was 39.3% for the three months ended June 29, 2019 compared to 39.2%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2018, driven primarily by advertising expenses, offset by store payroll leverage.</w:t>
      </w:r>
    </w:p>
    <w:p>
      <w:pPr>
        <w:spacing w:after="0" w:line="62"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Legacy segment SG&amp;A. </w:t>
      </w:r>
      <w:r>
        <w:rPr>
          <w:rFonts w:ascii="Arial" w:cs="Arial" w:eastAsia="Arial" w:hAnsi="Arial"/>
          <w:sz w:val="17"/>
          <w:szCs w:val="17"/>
          <w:color w:val="auto"/>
        </w:rPr>
        <w:t>SG&amp;A as a percentage of net revenue increased from 34.3% for the three months ended June 30, 2018 to 35.4%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29, 2019, driven primarily by an increase in fees associated with increasing managed care transactions, increase in managed care receivable write-offs and increase in expense associated with leasing space for the provision of vision care services.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Depreciation and amortization expense of $20.8 million for the three months ended June 29, 2019 increased $3.2 million, or 18.4%, from $17.6 million for the three months ended June 30, 2018 primarily driven by new store openings, as well as investments in optical laboratories, distribution centers and information technology infrastructure, including omni-channel platform related investments. Beginning in 2015, we accelerated our unit growth to approximately 75 new stores annually. We also invested in more efficient lab and IT technology to support our growth. Many of these incremental investments have depreciable lives in the five to eight year categories; therefore, we expect depreciation expense to continue to outpace revenue growth over the next few years. In recent years, a higher percentage of our new store leases were deemed to be finance leases, further increasing depreciation expense on finance lease assets. Our property and equipment balance, net, increased $15.4 million, or 4.2%, during the three months ended June 29, 2019, reflective of $33.9 million in purchases of property and equipment, $2.5 million in new capital lease assets, less $19.0 million in depreciation expense and $2.0 million in impairment and other adjustments.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net, of $9.0 million for the three months ended June 29, 2019 decreased $0.4 million, or 4.8%, from $9.4 million for the three months ended June 30, 2018. Interest expense decreased $0.8 million from the October 9, 2018 refinancing impact of applicable margins and the credit rating upgrades received during the third quarter of 2018 and the first quarter of 2019. These reductions were partially offset by $0.4 million in additional interest expense relating to finance lease obligations during the three months ended June 29,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income tax expense for the three months ended June 29, 2019 reflected our combined statutory federal and state rate of 25.6%, offset by a discrete benefit of $1.1 million associated primarily with the exercise of stock options. During the three months ended June 30, 2018, our expected combined statutory federal and state rate was reduced by a $1.4 million income tax benefit resulting from stock option exercises.</w:t>
      </w:r>
    </w:p>
    <w:p>
      <w:pPr>
        <w:spacing w:after="0" w:line="285" w:lineRule="exact"/>
        <w:rPr>
          <w:sz w:val="20"/>
          <w:szCs w:val="20"/>
          <w:color w:val="auto"/>
        </w:rPr>
      </w:pPr>
    </w:p>
    <w:p>
      <w:pPr>
        <w:ind w:right="5340"/>
        <w:spacing w:after="0" w:line="378" w:lineRule="auto"/>
        <w:rPr>
          <w:sz w:val="20"/>
          <w:szCs w:val="20"/>
          <w:color w:val="auto"/>
        </w:rPr>
      </w:pPr>
      <w:r>
        <w:rPr>
          <w:rFonts w:ascii="Arial" w:cs="Arial" w:eastAsia="Arial" w:hAnsi="Arial"/>
          <w:sz w:val="18"/>
          <w:szCs w:val="18"/>
          <w:b w:val="1"/>
          <w:bCs w:val="1"/>
          <w:color w:val="auto"/>
        </w:rPr>
        <w:t xml:space="preserve">Six Months Ended June 29, 2019 compared to Six Months Ended June 30, 2018 </w:t>
      </w:r>
      <w:r>
        <w:rPr>
          <w:rFonts w:ascii="Arial" w:cs="Arial" w:eastAsia="Arial" w:hAnsi="Arial"/>
          <w:sz w:val="18"/>
          <w:szCs w:val="18"/>
          <w:i w:val="1"/>
          <w:iCs w:val="1"/>
          <w:color w:val="auto"/>
        </w:rPr>
        <w:t>Net revenue</w:t>
      </w:r>
    </w:p>
    <w:p>
      <w:pPr>
        <w:jc w:val="both"/>
        <w:ind w:right="20"/>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the six months ended June 29, 2019 compared to the six months ended June 30, 2018.</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w w:val="98"/>
              </w:rPr>
              <w:t>Comparable store sales growth</w:t>
            </w:r>
            <w:r>
              <w:rPr>
                <w:rFonts w:ascii="Arial" w:cs="Arial" w:eastAsia="Arial" w:hAnsi="Arial"/>
                <w:sz w:val="8"/>
                <w:szCs w:val="8"/>
                <w:b w:val="1"/>
                <w:bCs w:val="1"/>
                <w:color w:val="auto"/>
                <w:w w:val="98"/>
              </w:rPr>
              <w:t>(1)</w:t>
            </w:r>
          </w:p>
        </w:tc>
        <w:tc>
          <w:tcPr>
            <w:tcW w:w="12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4"/>
                <w:szCs w:val="14"/>
                <w:b w:val="1"/>
                <w:bCs w:val="1"/>
                <w:color w:val="auto"/>
                <w:w w:val="99"/>
              </w:rPr>
              <w:t>Stores open at end of period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1004"/>
              <w:spacing w:after="0"/>
              <w:rPr>
                <w:sz w:val="20"/>
                <w:szCs w:val="20"/>
                <w:color w:val="auto"/>
              </w:rPr>
            </w:pPr>
            <w:r>
              <w:rPr>
                <w:rFonts w:ascii="Arial" w:cs="Arial" w:eastAsia="Arial" w:hAnsi="Arial"/>
                <w:sz w:val="14"/>
                <w:szCs w:val="14"/>
                <w:b w:val="1"/>
                <w:bCs w:val="1"/>
                <w:color w:val="auto"/>
              </w:rPr>
              <w:t>Net revenue</w:t>
            </w:r>
            <w:r>
              <w:rPr>
                <w:rFonts w:ascii="Arial" w:cs="Arial" w:eastAsia="Arial" w:hAnsi="Arial"/>
                <w:sz w:val="8"/>
                <w:szCs w:val="8"/>
                <w:b w:val="1"/>
                <w:bCs w:val="1"/>
                <w:color w:val="auto"/>
              </w:rPr>
              <w:t>(2)</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Six Months</w:t>
            </w:r>
          </w:p>
        </w:tc>
        <w:tc>
          <w:tcPr>
            <w:tcW w:w="12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Six Months</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3"/>
                <w:szCs w:val="13"/>
                <w:color w:val="auto"/>
              </w:rPr>
            </w:pPr>
          </w:p>
        </w:tc>
        <w:tc>
          <w:tcPr>
            <w:tcW w:w="1840" w:type="dxa"/>
            <w:vAlign w:val="bottom"/>
            <w:gridSpan w:val="2"/>
            <w:vMerge w:val="restart"/>
          </w:tcPr>
          <w:p>
            <w:pPr>
              <w:jc w:val="right"/>
              <w:ind w:right="38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2620" w:type="dxa"/>
            <w:vAlign w:val="bottom"/>
            <w:gridSpan w:val="2"/>
          </w:tcPr>
          <w:p>
            <w:pPr>
              <w:ind w:left="40"/>
              <w:spacing w:after="0" w:line="149" w:lineRule="exact"/>
              <w:rPr>
                <w:sz w:val="20"/>
                <w:szCs w:val="20"/>
                <w:color w:val="auto"/>
              </w:rPr>
            </w:pPr>
            <w:r>
              <w:rPr>
                <w:rFonts w:ascii="Arial" w:cs="Arial" w:eastAsia="Arial" w:hAnsi="Arial"/>
                <w:sz w:val="14"/>
                <w:szCs w:val="14"/>
                <w:i w:val="1"/>
                <w:iCs w:val="1"/>
                <w:color w:val="auto"/>
                <w:w w:val="96"/>
              </w:rPr>
              <w:t>In thousands, except percentage and store</w:t>
            </w: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Ended</w:t>
            </w:r>
          </w:p>
        </w:tc>
        <w:tc>
          <w:tcPr>
            <w:tcW w:w="980" w:type="dxa"/>
            <w:vAlign w:val="bottom"/>
            <w:vMerge w:val="restart"/>
          </w:tcPr>
          <w:p>
            <w:pPr>
              <w:jc w:val="right"/>
              <w:ind w:right="4"/>
              <w:spacing w:after="0"/>
              <w:rPr>
                <w:sz w:val="20"/>
                <w:szCs w:val="20"/>
                <w:color w:val="auto"/>
              </w:rPr>
            </w:pPr>
            <w:r>
              <w:rPr>
                <w:rFonts w:ascii="Arial" w:cs="Arial" w:eastAsia="Arial" w:hAnsi="Arial"/>
                <w:sz w:val="14"/>
                <w:szCs w:val="14"/>
                <w:b w:val="1"/>
                <w:bCs w:val="1"/>
                <w:color w:val="auto"/>
                <w:w w:val="96"/>
              </w:rPr>
              <w:t>June 29, 2019</w:t>
            </w:r>
          </w:p>
        </w:tc>
        <w:tc>
          <w:tcPr>
            <w:tcW w:w="100" w:type="dxa"/>
            <w:vAlign w:val="bottom"/>
            <w:vMerge w:val="restart"/>
          </w:tcPr>
          <w:p>
            <w:pPr>
              <w:spacing w:after="0"/>
              <w:rPr>
                <w:sz w:val="12"/>
                <w:szCs w:val="12"/>
                <w:color w:val="auto"/>
              </w:rPr>
            </w:pPr>
          </w:p>
        </w:tc>
        <w:tc>
          <w:tcPr>
            <w:tcW w:w="1000" w:type="dxa"/>
            <w:vAlign w:val="bottom"/>
            <w:vMerge w:val="restart"/>
          </w:tcPr>
          <w:p>
            <w:pPr>
              <w:jc w:val="right"/>
              <w:ind w:right="4"/>
              <w:spacing w:after="0"/>
              <w:rPr>
                <w:sz w:val="20"/>
                <w:szCs w:val="20"/>
                <w:color w:val="auto"/>
              </w:rPr>
            </w:pPr>
            <w:r>
              <w:rPr>
                <w:rFonts w:ascii="Arial" w:cs="Arial" w:eastAsia="Arial" w:hAnsi="Arial"/>
                <w:sz w:val="14"/>
                <w:szCs w:val="14"/>
                <w:b w:val="1"/>
                <w:bCs w:val="1"/>
                <w:color w:val="auto"/>
                <w:w w:val="98"/>
              </w:rPr>
              <w:t>June 30, 2018</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data</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29, 2019</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2018</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29, 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2018</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62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Owned &amp; Host segment</w:t>
            </w: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620" w:type="dxa"/>
            <w:vAlign w:val="bottom"/>
            <w:gridSpan w:val="2"/>
          </w:tcPr>
          <w:p>
            <w:pPr>
              <w:ind w:left="40"/>
              <w:spacing w:after="0"/>
              <w:rPr>
                <w:sz w:val="20"/>
                <w:szCs w:val="20"/>
                <w:color w:val="auto"/>
              </w:rPr>
            </w:pPr>
            <w:r>
              <w:rPr>
                <w:rFonts w:ascii="Arial" w:cs="Arial" w:eastAsia="Arial" w:hAnsi="Arial"/>
                <w:sz w:val="15"/>
                <w:szCs w:val="15"/>
                <w:color w:val="auto"/>
              </w:rPr>
              <w:t>America’s Best</w:t>
            </w:r>
          </w:p>
        </w:tc>
        <w:tc>
          <w:tcPr>
            <w:tcW w:w="1100" w:type="dxa"/>
            <w:vAlign w:val="bottom"/>
          </w:tcPr>
          <w:p>
            <w:pPr>
              <w:jc w:val="right"/>
              <w:spacing w:after="0"/>
              <w:rPr>
                <w:sz w:val="20"/>
                <w:szCs w:val="20"/>
                <w:color w:val="auto"/>
              </w:rPr>
            </w:pPr>
            <w:r>
              <w:rPr>
                <w:rFonts w:ascii="Arial" w:cs="Arial" w:eastAsia="Arial" w:hAnsi="Arial"/>
                <w:sz w:val="15"/>
                <w:szCs w:val="15"/>
                <w:color w:val="auto"/>
              </w:rPr>
              <w:t>6.4 %</w:t>
            </w: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7.2 %</w:t>
            </w:r>
          </w:p>
        </w:tc>
        <w:tc>
          <w:tcPr>
            <w:tcW w:w="120" w:type="dxa"/>
            <w:vAlign w:val="bottom"/>
          </w:tcPr>
          <w:p>
            <w:pPr>
              <w:spacing w:after="0"/>
              <w:rPr>
                <w:sz w:val="23"/>
                <w:szCs w:val="23"/>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702</w:t>
            </w:r>
          </w:p>
        </w:tc>
        <w:tc>
          <w:tcPr>
            <w:tcW w:w="100" w:type="dxa"/>
            <w:vAlign w:val="bottom"/>
          </w:tcPr>
          <w:p>
            <w:pPr>
              <w:spacing w:after="0"/>
              <w:rPr>
                <w:sz w:val="23"/>
                <w:szCs w:val="23"/>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630</w:t>
            </w:r>
          </w:p>
        </w:tc>
        <w:tc>
          <w:tcPr>
            <w:tcW w:w="100" w:type="dxa"/>
            <w:vAlign w:val="bottom"/>
          </w:tcPr>
          <w:p>
            <w:pPr>
              <w:spacing w:after="0"/>
              <w:rPr>
                <w:sz w:val="23"/>
                <w:szCs w:val="23"/>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64"/>
              <w:spacing w:after="0"/>
              <w:rPr>
                <w:sz w:val="20"/>
                <w:szCs w:val="20"/>
                <w:color w:val="auto"/>
              </w:rPr>
            </w:pPr>
            <w:r>
              <w:rPr>
                <w:rFonts w:ascii="Arial" w:cs="Arial" w:eastAsia="Arial" w:hAnsi="Arial"/>
                <w:sz w:val="15"/>
                <w:szCs w:val="15"/>
                <w:color w:val="auto"/>
              </w:rPr>
              <w:t>571,877</w:t>
            </w:r>
          </w:p>
        </w:tc>
        <w:tc>
          <w:tcPr>
            <w:tcW w:w="560" w:type="dxa"/>
            <w:vAlign w:val="bottom"/>
          </w:tcPr>
          <w:p>
            <w:pPr>
              <w:jc w:val="right"/>
              <w:spacing w:after="0"/>
              <w:rPr>
                <w:sz w:val="20"/>
                <w:szCs w:val="20"/>
                <w:color w:val="auto"/>
              </w:rPr>
            </w:pPr>
            <w:r>
              <w:rPr>
                <w:rFonts w:ascii="Arial" w:cs="Arial" w:eastAsia="Arial" w:hAnsi="Arial"/>
                <w:sz w:val="15"/>
                <w:szCs w:val="15"/>
                <w:color w:val="auto"/>
              </w:rPr>
              <w:t>64.2 %</w:t>
            </w:r>
          </w:p>
        </w:tc>
        <w:tc>
          <w:tcPr>
            <w:tcW w:w="100" w:type="dxa"/>
            <w:vAlign w:val="bottom"/>
          </w:tcPr>
          <w:p>
            <w:pPr>
              <w:spacing w:after="0"/>
              <w:rPr>
                <w:sz w:val="23"/>
                <w:szCs w:val="23"/>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544"/>
              <w:spacing w:after="0"/>
              <w:rPr>
                <w:sz w:val="20"/>
                <w:szCs w:val="20"/>
                <w:color w:val="auto"/>
              </w:rPr>
            </w:pPr>
            <w:r>
              <w:rPr>
                <w:rFonts w:ascii="Arial" w:cs="Arial" w:eastAsia="Arial" w:hAnsi="Arial"/>
                <w:sz w:val="15"/>
                <w:szCs w:val="15"/>
                <w:color w:val="auto"/>
              </w:rPr>
              <w:t>503,482</w:t>
            </w:r>
          </w:p>
        </w:tc>
        <w:tc>
          <w:tcPr>
            <w:tcW w:w="580" w:type="dxa"/>
            <w:vAlign w:val="bottom"/>
          </w:tcPr>
          <w:p>
            <w:pPr>
              <w:jc w:val="right"/>
              <w:spacing w:after="0"/>
              <w:rPr>
                <w:sz w:val="20"/>
                <w:szCs w:val="20"/>
                <w:color w:val="auto"/>
              </w:rPr>
            </w:pPr>
            <w:r>
              <w:rPr>
                <w:rFonts w:ascii="Arial" w:cs="Arial" w:eastAsia="Arial" w:hAnsi="Arial"/>
                <w:sz w:val="15"/>
                <w:szCs w:val="15"/>
                <w:color w:val="auto"/>
              </w:rPr>
              <w:t>63.5 %</w:t>
            </w:r>
          </w:p>
        </w:tc>
        <w:tc>
          <w:tcPr>
            <w:tcW w:w="0" w:type="dxa"/>
            <w:vAlign w:val="bottom"/>
          </w:tcPr>
          <w:p>
            <w:pPr>
              <w:spacing w:after="0"/>
              <w:rPr>
                <w:sz w:val="1"/>
                <w:szCs w:val="1"/>
                <w:color w:val="auto"/>
              </w:rPr>
            </w:pPr>
          </w:p>
        </w:tc>
      </w:tr>
      <w:tr>
        <w:trPr>
          <w:trHeight w:val="274"/>
        </w:trPr>
        <w:tc>
          <w:tcPr>
            <w:tcW w:w="26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Eyeglass World</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5.9 %</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7.8 %</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117</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108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64"/>
              <w:spacing w:after="0"/>
              <w:rPr>
                <w:sz w:val="20"/>
                <w:szCs w:val="20"/>
                <w:color w:val="auto"/>
              </w:rPr>
            </w:pPr>
            <w:r>
              <w:rPr>
                <w:rFonts w:ascii="Arial" w:cs="Arial" w:eastAsia="Arial" w:hAnsi="Arial"/>
                <w:sz w:val="15"/>
                <w:szCs w:val="15"/>
                <w:color w:val="auto"/>
              </w:rPr>
              <w:t>94,273</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10.6 %</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44"/>
              <w:spacing w:after="0"/>
              <w:rPr>
                <w:sz w:val="20"/>
                <w:szCs w:val="20"/>
                <w:color w:val="auto"/>
              </w:rPr>
            </w:pPr>
            <w:r>
              <w:rPr>
                <w:rFonts w:ascii="Arial" w:cs="Arial" w:eastAsia="Arial" w:hAnsi="Arial"/>
                <w:sz w:val="15"/>
                <w:szCs w:val="15"/>
                <w:color w:val="auto"/>
              </w:rPr>
              <w:t>85,887</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10.8 %</w:t>
            </w:r>
          </w:p>
        </w:tc>
        <w:tc>
          <w:tcPr>
            <w:tcW w:w="0" w:type="dxa"/>
            <w:vAlign w:val="bottom"/>
          </w:tcPr>
          <w:p>
            <w:pPr>
              <w:spacing w:after="0"/>
              <w:rPr>
                <w:sz w:val="1"/>
                <w:szCs w:val="1"/>
                <w:color w:val="auto"/>
              </w:rPr>
            </w:pPr>
          </w:p>
        </w:tc>
      </w:tr>
      <w:tr>
        <w:trPr>
          <w:trHeight w:val="266"/>
        </w:trPr>
        <w:tc>
          <w:tcPr>
            <w:tcW w:w="2620" w:type="dxa"/>
            <w:vAlign w:val="bottom"/>
            <w:gridSpan w:val="2"/>
          </w:tcPr>
          <w:p>
            <w:pPr>
              <w:ind w:left="40"/>
              <w:spacing w:after="0"/>
              <w:rPr>
                <w:sz w:val="20"/>
                <w:szCs w:val="20"/>
                <w:color w:val="auto"/>
              </w:rPr>
            </w:pPr>
            <w:r>
              <w:rPr>
                <w:rFonts w:ascii="Arial" w:cs="Arial" w:eastAsia="Arial" w:hAnsi="Arial"/>
                <w:sz w:val="15"/>
                <w:szCs w:val="15"/>
                <w:color w:val="auto"/>
              </w:rPr>
              <w:t>Military</w:t>
            </w:r>
          </w:p>
        </w:tc>
        <w:tc>
          <w:tcPr>
            <w:tcW w:w="1100" w:type="dxa"/>
            <w:vAlign w:val="bottom"/>
          </w:tcPr>
          <w:p>
            <w:pPr>
              <w:jc w:val="right"/>
              <w:spacing w:after="0"/>
              <w:rPr>
                <w:sz w:val="20"/>
                <w:szCs w:val="20"/>
                <w:color w:val="auto"/>
              </w:rPr>
            </w:pPr>
            <w:r>
              <w:rPr>
                <w:rFonts w:ascii="Arial" w:cs="Arial" w:eastAsia="Arial" w:hAnsi="Arial"/>
                <w:sz w:val="15"/>
                <w:szCs w:val="15"/>
                <w:color w:val="auto"/>
              </w:rPr>
              <w:t>(2.2)%</w:t>
            </w: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23"/>
                <w:szCs w:val="23"/>
                <w:color w:val="auto"/>
              </w:rPr>
            </w:pPr>
          </w:p>
        </w:tc>
        <w:tc>
          <w:tcPr>
            <w:tcW w:w="980" w:type="dxa"/>
            <w:vAlign w:val="bottom"/>
          </w:tcPr>
          <w:p>
            <w:pPr>
              <w:jc w:val="right"/>
              <w:ind w:right="44"/>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23"/>
                <w:szCs w:val="23"/>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464"/>
              <w:spacing w:after="0"/>
              <w:rPr>
                <w:sz w:val="20"/>
                <w:szCs w:val="20"/>
                <w:color w:val="auto"/>
              </w:rPr>
            </w:pPr>
            <w:r>
              <w:rPr>
                <w:rFonts w:ascii="Arial" w:cs="Arial" w:eastAsia="Arial" w:hAnsi="Arial"/>
                <w:sz w:val="15"/>
                <w:szCs w:val="15"/>
                <w:color w:val="auto"/>
              </w:rPr>
              <w:t>12,442</w:t>
            </w:r>
          </w:p>
        </w:tc>
        <w:tc>
          <w:tcPr>
            <w:tcW w:w="560" w:type="dxa"/>
            <w:vAlign w:val="bottom"/>
          </w:tcPr>
          <w:p>
            <w:pPr>
              <w:jc w:val="right"/>
              <w:spacing w:after="0"/>
              <w:rPr>
                <w:sz w:val="20"/>
                <w:szCs w:val="20"/>
                <w:color w:val="auto"/>
              </w:rPr>
            </w:pPr>
            <w:r>
              <w:rPr>
                <w:rFonts w:ascii="Arial" w:cs="Arial" w:eastAsia="Arial" w:hAnsi="Arial"/>
                <w:sz w:val="15"/>
                <w:szCs w:val="15"/>
                <w:color w:val="auto"/>
              </w:rPr>
              <w:t>1.4 %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544"/>
              <w:spacing w:after="0"/>
              <w:rPr>
                <w:sz w:val="20"/>
                <w:szCs w:val="20"/>
                <w:color w:val="auto"/>
              </w:rPr>
            </w:pPr>
            <w:r>
              <w:rPr>
                <w:rFonts w:ascii="Arial" w:cs="Arial" w:eastAsia="Arial" w:hAnsi="Arial"/>
                <w:sz w:val="15"/>
                <w:szCs w:val="15"/>
                <w:color w:val="auto"/>
              </w:rPr>
              <w:t>13,024</w:t>
            </w:r>
          </w:p>
        </w:tc>
        <w:tc>
          <w:tcPr>
            <w:tcW w:w="580" w:type="dxa"/>
            <w:vAlign w:val="bottom"/>
          </w:tcPr>
          <w:p>
            <w:pPr>
              <w:jc w:val="right"/>
              <w:spacing w:after="0"/>
              <w:rPr>
                <w:sz w:val="20"/>
                <w:szCs w:val="20"/>
                <w:color w:val="auto"/>
              </w:rPr>
            </w:pPr>
            <w:r>
              <w:rPr>
                <w:rFonts w:ascii="Arial" w:cs="Arial" w:eastAsia="Arial" w:hAnsi="Arial"/>
                <w:sz w:val="15"/>
                <w:szCs w:val="15"/>
                <w:color w:val="auto"/>
              </w:rPr>
              <w:t>1.6 %</w:t>
            </w:r>
          </w:p>
        </w:tc>
        <w:tc>
          <w:tcPr>
            <w:tcW w:w="0" w:type="dxa"/>
            <w:vAlign w:val="bottom"/>
          </w:tcPr>
          <w:p>
            <w:pPr>
              <w:spacing w:after="0"/>
              <w:rPr>
                <w:sz w:val="1"/>
                <w:szCs w:val="1"/>
                <w:color w:val="auto"/>
              </w:rPr>
            </w:pPr>
          </w:p>
        </w:tc>
      </w:tr>
      <w:tr>
        <w:trPr>
          <w:trHeight w:val="270"/>
        </w:trPr>
        <w:tc>
          <w:tcPr>
            <w:tcW w:w="26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Fred Meyer</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5.6 %</w:t>
            </w: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64"/>
              <w:spacing w:after="0"/>
              <w:rPr>
                <w:sz w:val="20"/>
                <w:szCs w:val="20"/>
                <w:color w:val="auto"/>
              </w:rPr>
            </w:pPr>
            <w:r>
              <w:rPr>
                <w:rFonts w:ascii="Arial" w:cs="Arial" w:eastAsia="Arial" w:hAnsi="Arial"/>
                <w:sz w:val="15"/>
                <w:szCs w:val="15"/>
                <w:color w:val="auto"/>
              </w:rPr>
              <w:t>7,044</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0.8 %</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44"/>
              <w:spacing w:after="0"/>
              <w:rPr>
                <w:sz w:val="20"/>
                <w:szCs w:val="20"/>
                <w:color w:val="auto"/>
              </w:rPr>
            </w:pPr>
            <w:r>
              <w:rPr>
                <w:rFonts w:ascii="Arial" w:cs="Arial" w:eastAsia="Arial" w:hAnsi="Arial"/>
                <w:sz w:val="15"/>
                <w:szCs w:val="15"/>
                <w:color w:val="auto"/>
              </w:rPr>
              <w:t>7,617</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1.0 %</w:t>
            </w:r>
          </w:p>
        </w:tc>
        <w:tc>
          <w:tcPr>
            <w:tcW w:w="0" w:type="dxa"/>
            <w:vAlign w:val="bottom"/>
          </w:tcPr>
          <w:p>
            <w:pPr>
              <w:spacing w:after="0"/>
              <w:rPr>
                <w:sz w:val="1"/>
                <w:szCs w:val="1"/>
                <w:color w:val="auto"/>
              </w:rPr>
            </w:pPr>
          </w:p>
        </w:tc>
      </w:tr>
      <w:tr>
        <w:trPr>
          <w:trHeight w:val="250"/>
        </w:trPr>
        <w:tc>
          <w:tcPr>
            <w:tcW w:w="2620" w:type="dxa"/>
            <w:vAlign w:val="bottom"/>
            <w:gridSpan w:val="2"/>
          </w:tcPr>
          <w:p>
            <w:pPr>
              <w:ind w:left="40"/>
              <w:spacing w:after="0"/>
              <w:rPr>
                <w:sz w:val="20"/>
                <w:szCs w:val="20"/>
                <w:color w:val="auto"/>
              </w:rPr>
            </w:pPr>
            <w:r>
              <w:rPr>
                <w:rFonts w:ascii="Arial" w:cs="Arial" w:eastAsia="Arial" w:hAnsi="Arial"/>
                <w:sz w:val="15"/>
                <w:szCs w:val="15"/>
                <w:color w:val="auto"/>
              </w:rPr>
              <w:t>Owned &amp; Host segment total</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902</w:t>
            </w:r>
          </w:p>
        </w:tc>
        <w:tc>
          <w:tcPr>
            <w:tcW w:w="100" w:type="dxa"/>
            <w:vAlign w:val="bottom"/>
          </w:tcPr>
          <w:p>
            <w:pPr>
              <w:spacing w:after="0"/>
              <w:rPr>
                <w:sz w:val="21"/>
                <w:szCs w:val="21"/>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823</w:t>
            </w:r>
          </w:p>
        </w:tc>
        <w:tc>
          <w:tcPr>
            <w:tcW w:w="100" w:type="dxa"/>
            <w:vAlign w:val="bottom"/>
          </w:tcPr>
          <w:p>
            <w:pPr>
              <w:spacing w:after="0"/>
              <w:rPr>
                <w:sz w:val="21"/>
                <w:szCs w:val="21"/>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64"/>
              <w:spacing w:after="0"/>
              <w:rPr>
                <w:sz w:val="20"/>
                <w:szCs w:val="20"/>
                <w:color w:val="auto"/>
              </w:rPr>
            </w:pPr>
            <w:r>
              <w:rPr>
                <w:rFonts w:ascii="Arial" w:cs="Arial" w:eastAsia="Arial" w:hAnsi="Arial"/>
                <w:sz w:val="15"/>
                <w:szCs w:val="15"/>
                <w:color w:val="auto"/>
              </w:rPr>
              <w:t>685,636</w:t>
            </w:r>
          </w:p>
        </w:tc>
        <w:tc>
          <w:tcPr>
            <w:tcW w:w="560" w:type="dxa"/>
            <w:vAlign w:val="bottom"/>
          </w:tcPr>
          <w:p>
            <w:pPr>
              <w:jc w:val="right"/>
              <w:spacing w:after="0"/>
              <w:rPr>
                <w:sz w:val="20"/>
                <w:szCs w:val="20"/>
                <w:color w:val="auto"/>
              </w:rPr>
            </w:pPr>
            <w:r>
              <w:rPr>
                <w:rFonts w:ascii="Arial" w:cs="Arial" w:eastAsia="Arial" w:hAnsi="Arial"/>
                <w:sz w:val="15"/>
                <w:szCs w:val="15"/>
                <w:color w:val="auto"/>
              </w:rPr>
              <w:t>77.0 %</w:t>
            </w:r>
          </w:p>
        </w:tc>
        <w:tc>
          <w:tcPr>
            <w:tcW w:w="100" w:type="dxa"/>
            <w:vAlign w:val="bottom"/>
          </w:tcPr>
          <w:p>
            <w:pPr>
              <w:spacing w:after="0"/>
              <w:rPr>
                <w:sz w:val="21"/>
                <w:szCs w:val="21"/>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544"/>
              <w:spacing w:after="0"/>
              <w:rPr>
                <w:sz w:val="20"/>
                <w:szCs w:val="20"/>
                <w:color w:val="auto"/>
              </w:rPr>
            </w:pPr>
            <w:r>
              <w:rPr>
                <w:rFonts w:ascii="Arial" w:cs="Arial" w:eastAsia="Arial" w:hAnsi="Arial"/>
                <w:sz w:val="15"/>
                <w:szCs w:val="15"/>
                <w:color w:val="auto"/>
              </w:rPr>
              <w:t>610,010</w:t>
            </w:r>
          </w:p>
        </w:tc>
        <w:tc>
          <w:tcPr>
            <w:tcW w:w="580" w:type="dxa"/>
            <w:vAlign w:val="bottom"/>
          </w:tcPr>
          <w:p>
            <w:pPr>
              <w:jc w:val="right"/>
              <w:spacing w:after="0"/>
              <w:rPr>
                <w:sz w:val="20"/>
                <w:szCs w:val="20"/>
                <w:color w:val="auto"/>
              </w:rPr>
            </w:pPr>
            <w:r>
              <w:rPr>
                <w:rFonts w:ascii="Arial" w:cs="Arial" w:eastAsia="Arial" w:hAnsi="Arial"/>
                <w:sz w:val="15"/>
                <w:szCs w:val="15"/>
                <w:color w:val="auto"/>
              </w:rPr>
              <w:t>76.9 %</w:t>
            </w:r>
          </w:p>
        </w:tc>
        <w:tc>
          <w:tcPr>
            <w:tcW w:w="0" w:type="dxa"/>
            <w:vAlign w:val="bottom"/>
          </w:tcPr>
          <w:p>
            <w:pPr>
              <w:spacing w:after="0"/>
              <w:rPr>
                <w:sz w:val="1"/>
                <w:szCs w:val="1"/>
                <w:color w:val="auto"/>
              </w:rPr>
            </w:pPr>
          </w:p>
        </w:tc>
      </w:tr>
      <w:tr>
        <w:trPr>
          <w:trHeight w:val="274"/>
        </w:trPr>
        <w:tc>
          <w:tcPr>
            <w:tcW w:w="262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Legacy segment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1.1 %</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3.8 %</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226</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227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64"/>
              <w:spacing w:after="0"/>
              <w:rPr>
                <w:sz w:val="20"/>
                <w:szCs w:val="20"/>
                <w:color w:val="auto"/>
              </w:rPr>
            </w:pPr>
            <w:r>
              <w:rPr>
                <w:rFonts w:ascii="Arial" w:cs="Arial" w:eastAsia="Arial" w:hAnsi="Arial"/>
                <w:sz w:val="15"/>
                <w:szCs w:val="15"/>
                <w:color w:val="auto"/>
              </w:rPr>
              <w:t>83,842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9.4 %</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44"/>
              <w:spacing w:after="0"/>
              <w:rPr>
                <w:sz w:val="20"/>
                <w:szCs w:val="20"/>
                <w:color w:val="auto"/>
              </w:rPr>
            </w:pPr>
            <w:r>
              <w:rPr>
                <w:rFonts w:ascii="Arial" w:cs="Arial" w:eastAsia="Arial" w:hAnsi="Arial"/>
                <w:sz w:val="15"/>
                <w:szCs w:val="15"/>
                <w:color w:val="auto"/>
              </w:rPr>
              <w:t>81,864</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10.3 %</w:t>
            </w:r>
          </w:p>
        </w:tc>
        <w:tc>
          <w:tcPr>
            <w:tcW w:w="0" w:type="dxa"/>
            <w:vAlign w:val="bottom"/>
          </w:tcPr>
          <w:p>
            <w:pPr>
              <w:spacing w:after="0"/>
              <w:rPr>
                <w:sz w:val="1"/>
                <w:szCs w:val="1"/>
                <w:color w:val="auto"/>
              </w:rPr>
            </w:pPr>
          </w:p>
        </w:tc>
      </w:tr>
      <w:tr>
        <w:trPr>
          <w:trHeight w:val="266"/>
        </w:trPr>
        <w:tc>
          <w:tcPr>
            <w:tcW w:w="2620" w:type="dxa"/>
            <w:vAlign w:val="bottom"/>
            <w:gridSpan w:val="2"/>
          </w:tcPr>
          <w:p>
            <w:pPr>
              <w:ind w:left="40"/>
              <w:spacing w:after="0"/>
              <w:rPr>
                <w:sz w:val="20"/>
                <w:szCs w:val="20"/>
                <w:color w:val="auto"/>
              </w:rPr>
            </w:pPr>
            <w:r>
              <w:rPr>
                <w:rFonts w:ascii="Arial" w:cs="Arial" w:eastAsia="Arial" w:hAnsi="Arial"/>
                <w:sz w:val="15"/>
                <w:szCs w:val="15"/>
                <w:b w:val="1"/>
                <w:bCs w:val="1"/>
                <w:color w:val="auto"/>
              </w:rPr>
              <w:t>Corporate/Other</w:t>
            </w:r>
          </w:p>
        </w:tc>
        <w:tc>
          <w:tcPr>
            <w:tcW w:w="122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1200" w:type="dxa"/>
            <w:vAlign w:val="bottom"/>
          </w:tcPr>
          <w:p>
            <w:pPr>
              <w:jc w:val="right"/>
              <w:ind w:right="464"/>
              <w:spacing w:after="0"/>
              <w:rPr>
                <w:sz w:val="20"/>
                <w:szCs w:val="20"/>
                <w:color w:val="auto"/>
              </w:rPr>
            </w:pPr>
            <w:r>
              <w:rPr>
                <w:rFonts w:ascii="Arial" w:cs="Arial" w:eastAsia="Arial" w:hAnsi="Arial"/>
                <w:sz w:val="15"/>
                <w:szCs w:val="15"/>
                <w:color w:val="auto"/>
              </w:rPr>
              <w:t>126,227</w:t>
            </w:r>
          </w:p>
        </w:tc>
        <w:tc>
          <w:tcPr>
            <w:tcW w:w="560" w:type="dxa"/>
            <w:vAlign w:val="bottom"/>
          </w:tcPr>
          <w:p>
            <w:pPr>
              <w:jc w:val="right"/>
              <w:spacing w:after="0"/>
              <w:rPr>
                <w:sz w:val="20"/>
                <w:szCs w:val="20"/>
                <w:color w:val="auto"/>
              </w:rPr>
            </w:pPr>
            <w:r>
              <w:rPr>
                <w:rFonts w:ascii="Arial" w:cs="Arial" w:eastAsia="Arial" w:hAnsi="Arial"/>
                <w:sz w:val="15"/>
                <w:szCs w:val="15"/>
                <w:color w:val="auto"/>
              </w:rPr>
              <w:t>14.2 %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544"/>
              <w:spacing w:after="0"/>
              <w:rPr>
                <w:sz w:val="20"/>
                <w:szCs w:val="20"/>
                <w:color w:val="auto"/>
              </w:rPr>
            </w:pPr>
            <w:r>
              <w:rPr>
                <w:rFonts w:ascii="Arial" w:cs="Arial" w:eastAsia="Arial" w:hAnsi="Arial"/>
                <w:sz w:val="15"/>
                <w:szCs w:val="15"/>
                <w:color w:val="auto"/>
              </w:rPr>
              <w:t>102,597</w:t>
            </w:r>
          </w:p>
        </w:tc>
        <w:tc>
          <w:tcPr>
            <w:tcW w:w="580" w:type="dxa"/>
            <w:vAlign w:val="bottom"/>
          </w:tcPr>
          <w:p>
            <w:pPr>
              <w:jc w:val="right"/>
              <w:spacing w:after="0"/>
              <w:rPr>
                <w:sz w:val="20"/>
                <w:szCs w:val="20"/>
                <w:color w:val="auto"/>
              </w:rPr>
            </w:pPr>
            <w:r>
              <w:rPr>
                <w:rFonts w:ascii="Arial" w:cs="Arial" w:eastAsia="Arial" w:hAnsi="Arial"/>
                <w:sz w:val="15"/>
                <w:szCs w:val="15"/>
                <w:color w:val="auto"/>
              </w:rPr>
              <w:t>12.9 %</w:t>
            </w:r>
          </w:p>
        </w:tc>
        <w:tc>
          <w:tcPr>
            <w:tcW w:w="0" w:type="dxa"/>
            <w:vAlign w:val="bottom"/>
          </w:tcPr>
          <w:p>
            <w:pPr>
              <w:spacing w:after="0"/>
              <w:rPr>
                <w:sz w:val="1"/>
                <w:szCs w:val="1"/>
                <w:color w:val="auto"/>
              </w:rPr>
            </w:pPr>
          </w:p>
        </w:tc>
      </w:tr>
      <w:tr>
        <w:trPr>
          <w:trHeight w:val="270"/>
        </w:trPr>
        <w:tc>
          <w:tcPr>
            <w:tcW w:w="262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Reconciliations</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24"/>
              <w:spacing w:after="0"/>
              <w:rPr>
                <w:sz w:val="20"/>
                <w:szCs w:val="20"/>
                <w:color w:val="auto"/>
              </w:rPr>
            </w:pPr>
            <w:r>
              <w:rPr>
                <w:rFonts w:ascii="Arial" w:cs="Arial" w:eastAsia="Arial" w:hAnsi="Arial"/>
                <w:sz w:val="15"/>
                <w:szCs w:val="15"/>
                <w:color w:val="auto"/>
              </w:rPr>
              <w:t>(5,039)</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04"/>
              <w:spacing w:after="0"/>
              <w:rPr>
                <w:sz w:val="20"/>
                <w:szCs w:val="20"/>
                <w:color w:val="auto"/>
              </w:rPr>
            </w:pPr>
            <w:r>
              <w:rPr>
                <w:rFonts w:ascii="Arial" w:cs="Arial" w:eastAsia="Arial" w:hAnsi="Arial"/>
                <w:sz w:val="15"/>
                <w:szCs w:val="15"/>
                <w:color w:val="auto"/>
              </w:rPr>
              <w:t>(964)</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81"/>
        </w:trPr>
        <w:tc>
          <w:tcPr>
            <w:tcW w:w="262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Total</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5.4 %</w:t>
            </w: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7.5 %</w:t>
            </w:r>
          </w:p>
        </w:tc>
        <w:tc>
          <w:tcPr>
            <w:tcW w:w="12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1,128</w:t>
            </w:r>
          </w:p>
        </w:tc>
        <w:tc>
          <w:tcPr>
            <w:tcW w:w="10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1,050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5"/>
                <w:szCs w:val="15"/>
                <w:color w:val="auto"/>
              </w:rPr>
              <w:t>890,666</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7"/>
              </w:rPr>
              <w:t>100.0 %</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26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color w:val="auto"/>
              </w:rPr>
              <w:t>793,507</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0"/>
              </w:rPr>
              <w:t>100.0 %</w:t>
            </w:r>
          </w:p>
        </w:tc>
        <w:tc>
          <w:tcPr>
            <w:tcW w:w="0" w:type="dxa"/>
            <w:vAlign w:val="bottom"/>
          </w:tcPr>
          <w:p>
            <w:pPr>
              <w:spacing w:after="0"/>
              <w:rPr>
                <w:sz w:val="1"/>
                <w:szCs w:val="1"/>
                <w:color w:val="auto"/>
              </w:rPr>
            </w:pPr>
          </w:p>
        </w:tc>
      </w:tr>
      <w:tr>
        <w:trPr>
          <w:trHeight w:val="127"/>
        </w:trPr>
        <w:tc>
          <w:tcPr>
            <w:tcW w:w="2620" w:type="dxa"/>
            <w:vAlign w:val="bottom"/>
            <w:gridSpan w:val="2"/>
            <w:shd w:val="clear" w:color="auto" w:fill="CCEEFF"/>
          </w:tcPr>
          <w:p>
            <w:pPr>
              <w:ind w:left="40"/>
              <w:spacing w:after="0" w:line="127" w:lineRule="exact"/>
              <w:rPr>
                <w:sz w:val="20"/>
                <w:szCs w:val="20"/>
                <w:color w:val="auto"/>
              </w:rPr>
            </w:pPr>
            <w:r>
              <w:rPr>
                <w:rFonts w:ascii="Arial" w:cs="Arial" w:eastAsia="Arial" w:hAnsi="Arial"/>
                <w:sz w:val="14"/>
                <w:szCs w:val="14"/>
                <w:color w:val="auto"/>
              </w:rPr>
              <w:t>Adjusted comparable store sales</w:t>
            </w: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620" w:type="dxa"/>
            <w:vAlign w:val="bottom"/>
            <w:gridSpan w:val="2"/>
            <w:shd w:val="clear" w:color="auto" w:fill="CCEEFF"/>
          </w:tcPr>
          <w:p>
            <w:pPr>
              <w:ind w:left="40"/>
              <w:spacing w:after="0" w:line="204" w:lineRule="exact"/>
              <w:rPr>
                <w:sz w:val="20"/>
                <w:szCs w:val="20"/>
                <w:color w:val="auto"/>
              </w:rPr>
            </w:pPr>
            <w:r>
              <w:rPr>
                <w:rFonts w:ascii="Arial" w:cs="Arial" w:eastAsia="Arial" w:hAnsi="Arial"/>
                <w:sz w:val="14"/>
                <w:szCs w:val="14"/>
                <w:color w:val="auto"/>
              </w:rPr>
              <w:t>growth</w:t>
            </w:r>
            <w:r>
              <w:rPr>
                <w:rFonts w:ascii="Arial" w:cs="Arial" w:eastAsia="Arial" w:hAnsi="Arial"/>
                <w:sz w:val="23"/>
                <w:szCs w:val="23"/>
                <w:color w:val="auto"/>
                <w:vertAlign w:val="superscript"/>
              </w:rPr>
              <w:t>(3)</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5.3 %</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6.5 %</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660" w:hanging="328"/>
        <w:spacing w:after="0" w:line="245"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9. “Segment Reporting” in our unaudited condensed consolidated financial statements included in Part I. Item 1. of this Form 10-Q, with the exception of the legacy segment, which is adjusted as noted in clause (ii) of footnote (3) below.</w:t>
      </w:r>
    </w:p>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 adjusted for rounding.</w:t>
      </w:r>
    </w:p>
    <w:p>
      <w:pPr>
        <w:spacing w:after="0" w:line="1" w:lineRule="exact"/>
        <w:rPr>
          <w:rFonts w:ascii="Arial" w:cs="Arial" w:eastAsia="Arial" w:hAnsi="Arial"/>
          <w:sz w:val="14"/>
          <w:szCs w:val="14"/>
          <w:color w:val="auto"/>
        </w:rPr>
      </w:pPr>
    </w:p>
    <w:p>
      <w:pPr>
        <w:jc w:val="both"/>
        <w:ind w:left="660" w:hanging="328"/>
        <w:spacing w:after="0" w:line="268" w:lineRule="auto"/>
        <w:tabs>
          <w:tab w:leader="none" w:pos="6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an increase of 0.2% and a decrease of 1.0% from total comparable store sales growth based on consolidated net revenue for the six months ended June 29, 2019 and June 30, 2018, respectively, and (ii) adjusted comparable store sales growth includes retail sales to the legacy partner’s customers (rather than the revenues recognized consistent with the management &amp; services agreement with the legacy partner), resulting in a decrease of 0.3% from total comparable store sales growth based on consolidated net revenue for the six months ended June 29, 2019.</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net revenue of $890.7 million for the six months ended June 29, 2019 increased $97.2 million, or 12.2%, from $793.5 million for the six months ended June 30, 2018. This increase was driven approximately 40% by new stores, approximately 40% by comparable store sales growth and approximately 20% by order volume in our AC Lens business within the corporate/other segment.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six months ended June 29, 2019, we opened 50 new stores, including 47 America’s Best stores and three Eyeglass World stores. Additionally, we closed two America’s Best stores, one Eyeglass World store and one legacy store. Overall, store count grew 7.4% from June 30, 2018 to June 29, 2019 (72 and nine net new America’s Best and Eyeglass World locations were added, respectively, and two Military locations and one legacy location were closed during the same period). Comparable store sales growth and adjusted comparable store sales growth were 5.4% and 5.3%, respectively, for the six months ended June 29, 2019.</w:t>
      </w:r>
    </w:p>
    <w:p>
      <w:pPr>
        <w:spacing w:after="0" w:line="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Comparable store sales growth and adjusted comparable store sales growth were driven primarily by increases in average ticket and customer transactions. We believe the increases in net revenue were primarily due to execution of our key strategies, including new store openings and maturation, advertising and expansion of our participation in managed care programs as well as our recently expanded role in our contact lens distribution business with Walmart.</w:t>
      </w:r>
    </w:p>
    <w:p>
      <w:pPr>
        <w:spacing w:after="0" w:line="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product sales comprised 83.2% and 82.9% of total net revenue for the six months ended June 29, 2019 and June 30, 2018, respectively. Net product sales increased $82.5 million, or 12.5%, in the six months ended June 29, 2019 compared to the six months ended June 30, 2018, driven primarily by eyeglass sales and, to a lesser extent, unit growth in our AC Lens contact lens distribution business and contact lens sales. Net sales of services and plans increased $14.7 million, or 10.8%, driven primarily by eye exam sales in our owned &amp; host segment, resulting from expanded participation in managed care programs and our store count growth.</w:t>
      </w:r>
    </w:p>
    <w:p>
      <w:pPr>
        <w:spacing w:after="0" w:line="8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a result of changes in applicable California law, certain optometrists employed by FirstSight were transferred to a professional corporation that contracts directly with our legacy segment in the fourth quarter of fiscal year 2018, similar to optometrist transfers that occurred in the third quarter of 2017. This completed the transfer of optometrists from FirstSight to our legacy segment. This change led to an increase in legacy segment eye exam revenue and optometrist payroll costs of $1.8 million and $1.9 million, respectively, in the six months ended June 29, 2019. A corresponding decrease was recorded in our FirstSight subsidiary within the corporate/other segment. Therefore, the change had no impact on consolidated income from operations.</w:t>
      </w:r>
    </w:p>
    <w:p>
      <w:pPr>
        <w:spacing w:after="0" w:line="50"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i w:val="1"/>
          <w:iCs w:val="1"/>
          <w:color w:val="auto"/>
        </w:rPr>
        <w:t xml:space="preserve">Owned &amp; Host segment net revenue. </w:t>
      </w:r>
      <w:r>
        <w:rPr>
          <w:rFonts w:ascii="Arial" w:cs="Arial" w:eastAsia="Arial" w:hAnsi="Arial"/>
          <w:sz w:val="16"/>
          <w:szCs w:val="16"/>
          <w:color w:val="auto"/>
        </w:rPr>
        <w:t>Net revenue increased $75.6 million, or 12.4%, due to new store openings and comparable store sales growth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sales across our product categories. The growth was predominantly driven by performance in America’s Best and Eyeglass World.</w:t>
      </w:r>
    </w:p>
    <w:p>
      <w:pPr>
        <w:spacing w:after="0" w:line="1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Legacy segment net revenue. </w:t>
      </w:r>
      <w:r>
        <w:rPr>
          <w:rFonts w:ascii="Arial" w:cs="Arial" w:eastAsia="Arial" w:hAnsi="Arial"/>
          <w:sz w:val="18"/>
          <w:szCs w:val="18"/>
          <w:color w:val="auto"/>
        </w:rPr>
        <w:t>Net revenue grew $2.0 million, or 2.4%, primarily driven by higher eye exam sales and an increase in average ticket,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a decline in customer transactions. The increased eye exam sales were primarily the result of changes to our FirstSight operations required by changes in applicable California law discussed above. The FirstSight operations changes resulted in a favorable impact of approximately 185 basis points in comparable store sales growth.</w:t>
      </w:r>
    </w:p>
    <w:p>
      <w:pPr>
        <w:spacing w:after="0" w:line="7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Corporate/Other segment net revenue. </w:t>
      </w:r>
      <w:r>
        <w:rPr>
          <w:rFonts w:ascii="Arial" w:cs="Arial" w:eastAsia="Arial" w:hAnsi="Arial"/>
          <w:sz w:val="18"/>
          <w:szCs w:val="18"/>
          <w:color w:val="auto"/>
        </w:rPr>
        <w:t>Net revenue increased $23.6 million, or 23.0%, driven by unit growth in our AC Lens contact lens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and our online retail business, which was partially offset by a $1.8 million reduction in sales as a result of the FirstSight operations changes discussed above.</w:t>
      </w:r>
    </w:p>
    <w:p>
      <w:pPr>
        <w:spacing w:after="0" w:line="73"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i w:val="1"/>
          <w:iCs w:val="1"/>
          <w:color w:val="auto"/>
        </w:rPr>
        <w:t xml:space="preserve">Net revenue reconciliations. </w:t>
      </w:r>
      <w:r>
        <w:rPr>
          <w:rFonts w:ascii="Arial" w:cs="Arial" w:eastAsia="Arial" w:hAnsi="Arial"/>
          <w:sz w:val="16"/>
          <w:szCs w:val="16"/>
          <w:color w:val="auto"/>
        </w:rPr>
        <w:t>Reconciliations include increases in deferred revenue of $5.8 million and $5.3 million, and decreases in unearned revenue of</w:t>
      </w:r>
      <w:r>
        <w:rPr>
          <w:rFonts w:ascii="Arial" w:cs="Arial" w:eastAsia="Arial" w:hAnsi="Arial"/>
          <w:sz w:val="16"/>
          <w:szCs w:val="16"/>
          <w:i w:val="1"/>
          <w:iCs w:val="1"/>
          <w:color w:val="auto"/>
        </w:rPr>
        <w:t xml:space="preserve"> </w:t>
      </w:r>
      <w:r>
        <w:rPr>
          <w:rFonts w:ascii="Arial" w:cs="Arial" w:eastAsia="Arial" w:hAnsi="Arial"/>
          <w:sz w:val="16"/>
          <w:szCs w:val="16"/>
          <w:color w:val="auto"/>
        </w:rPr>
        <w:t>$0.8 million and $4.3 million for the six months ended June 29, 2019 and June 30, 2018, respectively. The increase in deferred revenue for the six months ended June 29, 2019 was driven by growth in our eye care club membership sales, and to a lesser extent, product protection plans.</w:t>
      </w:r>
    </w:p>
    <w:p>
      <w:pPr>
        <w:spacing w:after="0" w:line="3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Differences between the decreases in unearned revenue for the six months ended June 29, 2019 and June 30, 2018 were primarily the result of calendar influences on sales of prescription eyewear in our stores during the last week to 10 days of the preceding years. Unearned revenue was higher in December 2017 compared to December 2018 due to sales volume differences caused by shifts in the number of selling days after December 25. The higher opening balance for the six months ended June 30, 2018 resulted in less unearned revenue being recognized during the six months ended June 30, 2018 than for the six months ended June 29, 2019.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Costs applicable to revenue of $414.5 million for the six months ended June 29, 2019 increased $57.0 million, or 15.9%, from $357.5 million for the six months ended June 30, 2018. As a percentage of net revenue, costs applicable to revenue increased from 45.1% for the six months ended June 30, 2018 to 46.5% for the six months ended June 29, 2019. The increase was primarily driven by our growing AC Lens business and increased optometrist costs, partially offset by a higher mix of eye exam sales as a result of our growing managed care business during the six months ended June 29, 2019.</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of products as a percentage of net product sales increased from 39.3% for the six months ended June 30, 2018 to 40.5% for the six months ended June 29, 2019, driven by our growing AC Lens business. Our AC Lens net revenue grew faster than our store brands in the six months ended June 29, 2019, and AC Lens had a higher cost of products as a percentage of net revenue than our other store brands.</w:t>
      </w:r>
    </w:p>
    <w:p>
      <w:pPr>
        <w:spacing w:after="0" w:line="7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Costs of products as a percentage of net product sales increased from 29.0%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to 29.1% for the six months ended June 29, 2019.</w:t>
      </w:r>
    </w:p>
    <w:p>
      <w:pPr>
        <w:spacing w:after="0" w:line="62"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i w:val="1"/>
          <w:iCs w:val="1"/>
          <w:color w:val="auto"/>
        </w:rPr>
        <w:t xml:space="preserve">Legacy segment costs of products. </w:t>
      </w:r>
      <w:r>
        <w:rPr>
          <w:rFonts w:ascii="Arial" w:cs="Arial" w:eastAsia="Arial" w:hAnsi="Arial"/>
          <w:sz w:val="17"/>
          <w:szCs w:val="17"/>
          <w:color w:val="auto"/>
        </w:rPr>
        <w:t>Costs of products as a percentage of net product sales increased from 45.3% for the six months ended June 30, 2018 to</w:t>
      </w:r>
      <w:r>
        <w:rPr>
          <w:rFonts w:ascii="Arial" w:cs="Arial" w:eastAsia="Arial" w:hAnsi="Arial"/>
          <w:sz w:val="17"/>
          <w:szCs w:val="17"/>
          <w:i w:val="1"/>
          <w:iCs w:val="1"/>
          <w:color w:val="auto"/>
        </w:rPr>
        <w:t xml:space="preserve"> </w:t>
      </w:r>
      <w:r>
        <w:rPr>
          <w:rFonts w:ascii="Arial" w:cs="Arial" w:eastAsia="Arial" w:hAnsi="Arial"/>
          <w:sz w:val="17"/>
          <w:szCs w:val="17"/>
          <w:color w:val="auto"/>
        </w:rPr>
        <w:t>47.3% for the six months ended June 29, 2019. The increase was driven by lower managed care contact lens mix combined with higher eyeglass costs, partially offset by eyeglass sales mix as a result of increased managed care transactions.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Increases in managed care mix have improved costs of products as a percentage of net product sales and have a corresponding negative impact on costs of services as a percentage of net sales of services and plans in our legacy segment.</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Costs of services and plans as a percentage of net sales of services and plans increased from 73.1% for the six months ended June 30, 2018 to 76.6% for the six months ended June 29, 2019. The increase was primarily driven by higher optometrist costs, partially offset by increased eye exam sales as a result of increased managed care transactions. Optometrist costs increased as a result of planned increases in store coverage.</w:t>
      </w:r>
    </w:p>
    <w:p>
      <w:pPr>
        <w:spacing w:after="0" w:line="57"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i w:val="1"/>
          <w:iCs w:val="1"/>
          <w:color w:val="auto"/>
        </w:rPr>
        <w:t xml:space="preserve">Owned &amp; Host segment costs of services and plans. </w:t>
      </w:r>
      <w:r>
        <w:rPr>
          <w:rFonts w:ascii="Arial" w:cs="Arial" w:eastAsia="Arial" w:hAnsi="Arial"/>
          <w:sz w:val="16"/>
          <w:szCs w:val="16"/>
          <w:color w:val="auto"/>
        </w:rPr>
        <w:t>Costs of services and plans as a percentage of net sales of services and plans increased from 77.8%</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six months ended June 30, 2018 to 80.0% for the six months ended June 29, 2019. The increase was driven by higher optometrist costs as described above, partially offset by increased eye exam sales as a result of increased managed care transactions, since eye exams purchased by managed care customers are excluded from our signature two-pair offer at our America’s Best brand, and are therefore recorded as services revenue.</w:t>
      </w:r>
    </w:p>
    <w:p>
      <w:pPr>
        <w:spacing w:after="0" w:line="4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Legacy segment costs of services and plans. </w:t>
      </w:r>
      <w:r>
        <w:rPr>
          <w:rFonts w:ascii="Arial" w:cs="Arial" w:eastAsia="Arial" w:hAnsi="Arial"/>
          <w:sz w:val="18"/>
          <w:szCs w:val="18"/>
          <w:color w:val="auto"/>
        </w:rPr>
        <w:t>Costs of services and plans as a percentage of net sales of services and plans increased from 37.0%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2018 to 45.0% for the six months ended June 29, 2019. The increase was primarily driven by increased optometrist costs, partially offset by increased eye exam sales. The higher optometrist costs and increased eye exam sales were both primarily the result of the FirstSight operations changes discussed in “</w:t>
      </w:r>
      <w:r>
        <w:rPr>
          <w:rFonts w:ascii="Arial" w:cs="Arial" w:eastAsia="Arial" w:hAnsi="Arial"/>
          <w:sz w:val="18"/>
          <w:szCs w:val="18"/>
          <w:i w:val="1"/>
          <w:iCs w:val="1"/>
          <w:color w:val="auto"/>
        </w:rPr>
        <w:t>Net revenue”</w:t>
      </w:r>
      <w:r>
        <w:rPr>
          <w:rFonts w:ascii="Arial" w:cs="Arial" w:eastAsia="Arial" w:hAnsi="Arial"/>
          <w:sz w:val="18"/>
          <w:szCs w:val="18"/>
          <w:color w:val="auto"/>
        </w:rPr>
        <w:t xml:space="preserve"> above.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SG&amp;A of $376.2 million for the six months ended June 29, 2019 increased $39.8 million, or 11.8%, from the six months ended June 30, 2018. As a percentage of net revenue, SG&amp;A decreased from 42.4% for the six months ended June 30, 2018 to 42.2% for the six months ended June 29, 2019. The decrease in SG&amp;A as a percentage of net revenue was primarily due to increased net revenue from our AC Lens contact lens distribution business, store payroll leverage and secondary public offering expenses incurred during the six months ended June 30, 2018 not recurring during the six months ended June 29, 2019, partially offset by advertising and non-recurring management realignment and associated stock compensation expenses.</w:t>
      </w:r>
    </w:p>
    <w:p>
      <w:pPr>
        <w:spacing w:after="0" w:line="64"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Owned &amp; Host SG&amp;A. </w:t>
      </w:r>
      <w:r>
        <w:rPr>
          <w:rFonts w:ascii="Arial" w:cs="Arial" w:eastAsia="Arial" w:hAnsi="Arial"/>
          <w:sz w:val="18"/>
          <w:szCs w:val="18"/>
          <w:color w:val="auto"/>
        </w:rPr>
        <w:t>SG&amp;A as a percentage of net revenue decreased from 38.0% for the six months ended June 30, 2018 to 37.8%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29, 2019, driven primarily by store payroll leverage, partially offset by increased advertising expenses.</w:t>
      </w:r>
    </w:p>
    <w:p>
      <w:pPr>
        <w:spacing w:after="0" w:line="62"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i w:val="1"/>
          <w:iCs w:val="1"/>
          <w:color w:val="auto"/>
        </w:rPr>
        <w:t xml:space="preserve">Legacy segment SG&amp;A. </w:t>
      </w:r>
      <w:r>
        <w:rPr>
          <w:rFonts w:ascii="Arial" w:cs="Arial" w:eastAsia="Arial" w:hAnsi="Arial"/>
          <w:sz w:val="16"/>
          <w:szCs w:val="16"/>
          <w:color w:val="auto"/>
        </w:rPr>
        <w:t>SG&amp;A as a percentage of net revenue increased from 32.9% for the six months ended June 30, 2018 to 33.5% for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29, 2019, driven by an increase in fees associated with increasing managed care transactions, increases in expense associated with leasing space for the provision of vision care services, and to a lesser extent, increased advertising, partially offset by store payroll leverage.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Depreciation and amortization expense of $41.2 million for the six months ended June 29, 2019 increased $5.8 million, or 16.4%, from $35.4 million for the six months ended June 30, 2018 primarily driven by new store openings, as well as investments in optical laboratories, distribution centers and information technology infrastructure, including omni-channel platform related investments. Beginning in 2015, we accelerated our unit growth to approximately 75 new stores annually. We also invested in more efficient lab and IT technology to support our growth. Many of these incremental investments have depreciable lives in the five to eight year categories; therefore, we expect depreciation expense to continue to outpace revenue growth over the next few years. In recent years, a higher percentage of our new store leases were deemed to be finance leases, further increasing depreciation expense on finance lease assets. Our property and equipment balance, net, increased $24.9 million, or 7.0%, during the six months ended June 29, 2019, reflective of $60.1 million in purchases of property and equipment, $9.8 million in new finance leases, less $37.3 million in depreciation expense and $7.7 million in impairment and other adjustments.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expense, net, of $18.0 million for the six months ended June 29, 2019 decreased $0.7 million, or 3.8%, from $18.7 million for the six months ended June 30, 2018. Interest expense decreased $1.6 million from the October 9, 2018 refinancing impact of applicable margins and the credit rating upgrades received during the third quarter of 2018 and the first quarter of 2019 and from a decrease in the notional amount of our derivatives during the first quarter of 2019. These reductions were partially offset by $0.9 million in additional interest expense relating to finance lease obligations during six months ended June 29, 2019.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income tax expense for the six months ended June 29, 2019 reflected income tax expense at our statutory federal and state rate of 25.6%, offset by a discrete benefit of $1.4 million associated primarily with the exercise of stock options. During the six months ended June 30, 2018, our expected combined statutory federal and state rate was reduced by a $4.1 million income tax benefit resulting from stock option exercises.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Adjusted EBITDA, Adjusted EBITDA Margin and Adjusted Net Income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define EBITDA as net income, plus interest expense, income tax provision and depreciation and amortization. We define Adjusted EBITDA as EBITDA, further adjusted to exclude stock compensation expense, asset impairment, new store pre-opening expenses, non-cash rent, secondary offering expenses, management realignment expenses, long-term incentive plan expense and other expenses. We describe these adjustments reconciling net income to EBITDA and Adjusted EBITDA in the tables below. We define Adjusted EBITDA Margin as Adjusted EBITDA as a percentage of total net revenue. We define Adjusted Net Income as net income, further adjusted to exclude stock compensation expense, asset impairment, new store pre-opening expenses, non-cash rent, secondary offering expenses, management realignment expenses, long-term incentive plan expense, other expenses, amortization of acquisition intangibles and deferred financing costs, the tax benefit of stock option exercises and the tax effect of these adjustments. We describe these adjustments reconciling net income to Adjusted Net Income in the tables below.</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EBITDA, Adjusted EBITDA, Adjusted EBITDA Margin and Adjusted Net Income have been presented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Adjusted EBITDA Margin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We also use EBITDA, Adjusted EBITDA, Adjusted EBITDA Margin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EBITDA, Adjusted EBITDA, Adjusted EBITDA Margin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EBITDA, Adjusted EBITDA, Adjusted EBITDA Margin and Adjusted Net Income should not be construed to imply that our future results will be unaffected by unusual or non-recurring items. In evaluating EBITDA, Adjusted EBITDA, Adjusted EBITDA Margin and Adjusted Net Income, you should be aware that in the future we may incur expenses that are the same as or similar to some of the adjustments in this presentation. Our presentation of EBITDA, Adjusted EBITDA, Adjusted EBITDA Margin and Adjusted Net Income should not be construed to imply that our future results will be unaffected by any such adjustments. Management compensates for these limitations by primarily relying on our GAAP results in addition to using EBITDA, Adjusted EBITDA, Adjusted EBITDA Margin and Adjusted Net Income supplementally.</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GAAP. Some of these limitations are:</w:t>
      </w:r>
    </w:p>
    <w:p>
      <w:pPr>
        <w:spacing w:after="0" w:line="6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EBITDA and Adjusted EBITDA do not reflect the interest expense, or the cash requirements necessary to service interest or principal payments, on our debt;</w:t>
      </w: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EBITDA and Adjusted EBITDA do not reflect period to period changes in taxes, income tax expense or the cash necessary to pay income taxes;</w:t>
      </w:r>
    </w:p>
    <w:p>
      <w:pPr>
        <w:spacing w:after="0" w:line="32" w:lineRule="exact"/>
        <w:rPr>
          <w:rFonts w:ascii="Arial" w:cs="Arial" w:eastAsia="Arial" w:hAnsi="Arial"/>
          <w:sz w:val="16"/>
          <w:szCs w:val="16"/>
          <w:color w:val="auto"/>
        </w:rPr>
      </w:pPr>
    </w:p>
    <w:p>
      <w:pPr>
        <w:ind w:left="660" w:right="20" w:hanging="328"/>
        <w:spacing w:after="0" w:line="265"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they do not reflect the impact of earnings or charges resulting from matters we consider not to be indicative of our ongoing operations, including costs related to new store openings, which are incurred on a non-recurring basis with respect to any particular store when opened;</w:t>
      </w: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other companies in our industry may calculate these measures differently than we do, limiting their usefulness as comparative measures.</w:t>
      </w:r>
    </w:p>
    <w:p>
      <w:pPr>
        <w:spacing w:after="0" w:line="1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of these limitations, EBITDA, Adjusted EBITDA, Adjusted EBITDA Margin and Adjusted Net Income should not be considered as measures of discretionary cash available to invest in business growth or to reduce indebtedness.</w:t>
      </w:r>
    </w:p>
    <w:p>
      <w:pPr>
        <w:sectPr>
          <w:pgSz w:w="11900" w:h="16838" w:orient="portrait"/>
          <w:cols w:equalWidth="0" w:num="1">
            <w:col w:w="11420"/>
          </w:cols>
          <w:pgMar w:left="240" w:top="125" w:right="239" w:bottom="136"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36"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reconciles our net income to EBITDA, Adjusted EBITDA, Adjusted EBITDA Margin and Adjusted Net Income for the periods presented: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8"/>
          </w:tcPr>
          <w:p>
            <w:pPr>
              <w:jc w:val="right"/>
              <w:ind w:right="150"/>
              <w:spacing w:after="0"/>
              <w:rPr>
                <w:sz w:val="20"/>
                <w:szCs w:val="20"/>
                <w:color w:val="auto"/>
              </w:rPr>
            </w:pPr>
            <w:r>
              <w:rPr>
                <w:rFonts w:ascii="Arial" w:cs="Arial" w:eastAsia="Arial" w:hAnsi="Arial"/>
                <w:sz w:val="18"/>
                <w:szCs w:val="18"/>
                <w:color w:val="auto"/>
                <w:w w:val="95"/>
              </w:rPr>
              <w:t>Three Months Ended</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20" w:type="dxa"/>
            <w:vAlign w:val="bottom"/>
            <w:gridSpan w:val="6"/>
          </w:tcPr>
          <w:p>
            <w:pPr>
              <w:jc w:val="right"/>
              <w:ind w:right="310"/>
              <w:spacing w:after="0"/>
              <w:rPr>
                <w:sz w:val="20"/>
                <w:szCs w:val="20"/>
                <w:color w:val="auto"/>
              </w:rPr>
            </w:pPr>
            <w:r>
              <w:rPr>
                <w:rFonts w:ascii="Arial" w:cs="Arial" w:eastAsia="Arial" w:hAnsi="Arial"/>
                <w:sz w:val="18"/>
                <w:szCs w:val="18"/>
                <w:color w:val="auto"/>
              </w:rPr>
              <w:t>Six Months Ended</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480" w:type="dxa"/>
            <w:vAlign w:val="bottom"/>
            <w:gridSpan w:val="4"/>
          </w:tcPr>
          <w:p>
            <w:pPr>
              <w:ind w:left="160"/>
              <w:spacing w:after="0"/>
              <w:rPr>
                <w:sz w:val="20"/>
                <w:szCs w:val="20"/>
                <w:color w:val="auto"/>
              </w:rPr>
            </w:pPr>
            <w:r>
              <w:rPr>
                <w:rFonts w:ascii="Arial" w:cs="Arial" w:eastAsia="Arial" w:hAnsi="Arial"/>
                <w:sz w:val="18"/>
                <w:szCs w:val="18"/>
                <w:color w:val="auto"/>
              </w:rPr>
              <w:t>June 29, 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6"/>
          </w:tcPr>
          <w:p>
            <w:pPr>
              <w:ind w:left="260"/>
              <w:spacing w:after="0"/>
              <w:rPr>
                <w:sz w:val="20"/>
                <w:szCs w:val="20"/>
                <w:color w:val="auto"/>
              </w:rPr>
            </w:pPr>
            <w:r>
              <w:rPr>
                <w:rFonts w:ascii="Arial" w:cs="Arial" w:eastAsia="Arial" w:hAnsi="Arial"/>
                <w:sz w:val="18"/>
                <w:szCs w:val="18"/>
                <w:color w:val="auto"/>
              </w:rPr>
              <w:t>June 30, 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0" w:type="dxa"/>
            <w:vAlign w:val="bottom"/>
            <w:gridSpan w:val="5"/>
          </w:tcPr>
          <w:p>
            <w:pPr>
              <w:jc w:val="right"/>
              <w:ind w:right="520"/>
              <w:spacing w:after="0"/>
              <w:rPr>
                <w:sz w:val="20"/>
                <w:szCs w:val="20"/>
                <w:color w:val="auto"/>
              </w:rPr>
            </w:pPr>
            <w:r>
              <w:rPr>
                <w:rFonts w:ascii="Arial" w:cs="Arial" w:eastAsia="Arial" w:hAnsi="Arial"/>
                <w:sz w:val="18"/>
                <w:szCs w:val="18"/>
                <w:color w:val="auto"/>
                <w:w w:val="92"/>
              </w:rPr>
              <w:t>June 29, 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310"/>
              <w:spacing w:after="0"/>
              <w:rPr>
                <w:sz w:val="20"/>
                <w:szCs w:val="20"/>
                <w:color w:val="auto"/>
              </w:rPr>
            </w:pPr>
            <w:r>
              <w:rPr>
                <w:rFonts w:ascii="Arial" w:cs="Arial" w:eastAsia="Arial" w:hAnsi="Arial"/>
                <w:sz w:val="18"/>
                <w:szCs w:val="18"/>
                <w:color w:val="auto"/>
              </w:rPr>
              <w:t>June 30, 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10,257</w:t>
            </w:r>
          </w:p>
        </w:tc>
        <w:tc>
          <w:tcPr>
            <w:tcW w:w="82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2.4%</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12,467</w:t>
            </w:r>
          </w:p>
        </w:tc>
        <w:tc>
          <w:tcPr>
            <w:tcW w:w="7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7"/>
              </w:rPr>
              <w:t>3.2%</w:t>
            </w:r>
          </w:p>
        </w:tc>
        <w:tc>
          <w:tcPr>
            <w:tcW w:w="5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27,686</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36,922</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8,968</w:t>
            </w:r>
          </w:p>
        </w:tc>
        <w:tc>
          <w:tcPr>
            <w:tcW w:w="82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2.1%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3"/>
              </w:rPr>
              <w:t>9,424</w:t>
            </w:r>
          </w:p>
        </w:tc>
        <w:tc>
          <w:tcPr>
            <w:tcW w:w="720" w:type="dxa"/>
            <w:vAlign w:val="bottom"/>
            <w:gridSpan w:val="2"/>
          </w:tcPr>
          <w:p>
            <w:pPr>
              <w:jc w:val="center"/>
              <w:ind w:left="150"/>
              <w:spacing w:after="0"/>
              <w:rPr>
                <w:sz w:val="20"/>
                <w:szCs w:val="20"/>
                <w:color w:val="auto"/>
              </w:rPr>
            </w:pPr>
            <w:r>
              <w:rPr>
                <w:rFonts w:ascii="Arial" w:cs="Arial" w:eastAsia="Arial" w:hAnsi="Arial"/>
                <w:sz w:val="18"/>
                <w:szCs w:val="18"/>
                <w:color w:val="auto"/>
                <w:w w:val="87"/>
              </w:rPr>
              <w:t>2.4%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gridSpan w:val="3"/>
          </w:tcPr>
          <w:p>
            <w:pPr>
              <w:jc w:val="right"/>
              <w:ind w:right="30"/>
              <w:spacing w:after="0"/>
              <w:rPr>
                <w:sz w:val="20"/>
                <w:szCs w:val="20"/>
                <w:color w:val="auto"/>
              </w:rPr>
            </w:pPr>
            <w:r>
              <w:rPr>
                <w:rFonts w:ascii="Arial" w:cs="Arial" w:eastAsia="Arial" w:hAnsi="Arial"/>
                <w:sz w:val="18"/>
                <w:szCs w:val="18"/>
                <w:color w:val="auto"/>
              </w:rPr>
              <w:t>18,029</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2.0%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18,737</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82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0.6%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3,082</w:t>
            </w:r>
          </w:p>
        </w:tc>
        <w:tc>
          <w:tcPr>
            <w:tcW w:w="7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7"/>
              </w:rPr>
              <w:t>0.8%</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8,387</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8,162</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20,819</w:t>
            </w:r>
          </w:p>
        </w:tc>
        <w:tc>
          <w:tcPr>
            <w:tcW w:w="82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4.8%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17,577</w:t>
            </w:r>
          </w:p>
        </w:tc>
        <w:tc>
          <w:tcPr>
            <w:tcW w:w="720" w:type="dxa"/>
            <w:vAlign w:val="bottom"/>
            <w:gridSpan w:val="2"/>
          </w:tcPr>
          <w:p>
            <w:pPr>
              <w:jc w:val="center"/>
              <w:ind w:left="150"/>
              <w:spacing w:after="0"/>
              <w:rPr>
                <w:sz w:val="20"/>
                <w:szCs w:val="20"/>
                <w:color w:val="auto"/>
              </w:rPr>
            </w:pPr>
            <w:r>
              <w:rPr>
                <w:rFonts w:ascii="Arial" w:cs="Arial" w:eastAsia="Arial" w:hAnsi="Arial"/>
                <w:sz w:val="18"/>
                <w:szCs w:val="18"/>
                <w:color w:val="auto"/>
                <w:w w:val="87"/>
              </w:rPr>
              <w:t>4.6%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gridSpan w:val="3"/>
          </w:tcPr>
          <w:p>
            <w:pPr>
              <w:jc w:val="right"/>
              <w:ind w:right="30"/>
              <w:spacing w:after="0"/>
              <w:rPr>
                <w:sz w:val="20"/>
                <w:szCs w:val="20"/>
                <w:color w:val="auto"/>
              </w:rPr>
            </w:pPr>
            <w:r>
              <w:rPr>
                <w:rFonts w:ascii="Arial" w:cs="Arial" w:eastAsia="Arial" w:hAnsi="Arial"/>
                <w:sz w:val="18"/>
                <w:szCs w:val="18"/>
                <w:color w:val="auto"/>
              </w:rPr>
              <w:t>41,234</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4.6%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35,439</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42,521</w:t>
            </w:r>
          </w:p>
        </w:tc>
        <w:tc>
          <w:tcPr>
            <w:tcW w:w="82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9.9%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42,550</w:t>
            </w:r>
          </w:p>
        </w:tc>
        <w:tc>
          <w:tcPr>
            <w:tcW w:w="7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11.0%</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95,336</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99,260</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12.5%</w:t>
            </w: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2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8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0.4%</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1,524</w:t>
            </w:r>
          </w:p>
        </w:tc>
        <w:tc>
          <w:tcPr>
            <w:tcW w:w="7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7"/>
              </w:rPr>
              <w:t>0.4%</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4,717</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(b)</w:t>
            </w:r>
          </w:p>
        </w:tc>
        <w:tc>
          <w:tcPr>
            <w:tcW w:w="28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1,790</w:t>
            </w:r>
          </w:p>
        </w:tc>
        <w:tc>
          <w:tcPr>
            <w:tcW w:w="82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0.4%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640" w:type="dxa"/>
            <w:vAlign w:val="bottom"/>
          </w:tcPr>
          <w:p>
            <w:pPr>
              <w:jc w:val="center"/>
              <w:ind w:left="70"/>
              <w:spacing w:after="0"/>
              <w:rPr>
                <w:sz w:val="20"/>
                <w:szCs w:val="20"/>
                <w:color w:val="auto"/>
              </w:rPr>
            </w:pPr>
            <w:r>
              <w:rPr>
                <w:rFonts w:ascii="Arial" w:cs="Arial" w:eastAsia="Arial" w:hAnsi="Arial"/>
                <w:sz w:val="18"/>
                <w:szCs w:val="18"/>
                <w:color w:val="auto"/>
                <w:w w:val="93"/>
              </w:rPr>
              <w:t>—%</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gridSpan w:val="3"/>
          </w:tcPr>
          <w:p>
            <w:pPr>
              <w:jc w:val="right"/>
              <w:ind w:right="30"/>
              <w:spacing w:after="0"/>
              <w:rPr>
                <w:sz w:val="20"/>
                <w:szCs w:val="20"/>
                <w:color w:val="auto"/>
              </w:rPr>
            </w:pPr>
            <w:r>
              <w:rPr>
                <w:rFonts w:ascii="Arial" w:cs="Arial" w:eastAsia="Arial" w:hAnsi="Arial"/>
                <w:sz w:val="18"/>
                <w:szCs w:val="18"/>
                <w:color w:val="auto"/>
              </w:rPr>
              <w:t>3,872</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(c)</w:t>
            </w:r>
          </w:p>
        </w:tc>
        <w:tc>
          <w:tcPr>
            <w:tcW w:w="2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8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0.3%</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7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7"/>
              </w:rPr>
              <w:t>0.2%</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2,014</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0.2%</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(d)</w:t>
            </w:r>
          </w:p>
        </w:tc>
        <w:tc>
          <w:tcPr>
            <w:tcW w:w="28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650</w:t>
            </w:r>
          </w:p>
        </w:tc>
        <w:tc>
          <w:tcPr>
            <w:tcW w:w="82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0.2%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745</w:t>
            </w:r>
          </w:p>
        </w:tc>
        <w:tc>
          <w:tcPr>
            <w:tcW w:w="720" w:type="dxa"/>
            <w:vAlign w:val="bottom"/>
            <w:gridSpan w:val="2"/>
          </w:tcPr>
          <w:p>
            <w:pPr>
              <w:jc w:val="center"/>
              <w:ind w:left="150"/>
              <w:spacing w:after="0"/>
              <w:rPr>
                <w:sz w:val="20"/>
                <w:szCs w:val="20"/>
                <w:color w:val="auto"/>
              </w:rPr>
            </w:pPr>
            <w:r>
              <w:rPr>
                <w:rFonts w:ascii="Arial" w:cs="Arial" w:eastAsia="Arial" w:hAnsi="Arial"/>
                <w:sz w:val="18"/>
                <w:szCs w:val="18"/>
                <w:color w:val="auto"/>
                <w:w w:val="87"/>
              </w:rPr>
              <w:t>0.2%</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gridSpan w:val="3"/>
          </w:tcPr>
          <w:p>
            <w:pPr>
              <w:jc w:val="right"/>
              <w:ind w:right="30"/>
              <w:spacing w:after="0"/>
              <w:rPr>
                <w:sz w:val="20"/>
                <w:szCs w:val="20"/>
                <w:color w:val="auto"/>
              </w:rPr>
            </w:pPr>
            <w:r>
              <w:rPr>
                <w:rFonts w:ascii="Arial" w:cs="Arial" w:eastAsia="Arial" w:hAnsi="Arial"/>
                <w:sz w:val="18"/>
                <w:szCs w:val="18"/>
                <w:color w:val="auto"/>
              </w:rPr>
              <w:t>1,849</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1,273</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(e)</w:t>
            </w:r>
          </w:p>
        </w:tc>
        <w:tc>
          <w:tcPr>
            <w:tcW w:w="2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3"/>
              </w:rPr>
              <w:t>—%</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5"/>
                <w:szCs w:val="25"/>
                <w:color w:val="auto"/>
                <w:vertAlign w:val="superscript"/>
              </w:rPr>
              <w:t>(f)</w:t>
            </w:r>
          </w:p>
        </w:tc>
        <w:tc>
          <w:tcPr>
            <w:tcW w:w="28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720" w:type="dxa"/>
            <w:vAlign w:val="bottom"/>
          </w:tcPr>
          <w:p>
            <w:pPr>
              <w:jc w:val="center"/>
              <w:ind w:left="13"/>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640" w:type="dxa"/>
            <w:vAlign w:val="bottom"/>
          </w:tcPr>
          <w:p>
            <w:pPr>
              <w:jc w:val="center"/>
              <w:ind w:left="70"/>
              <w:spacing w:after="0"/>
              <w:rPr>
                <w:sz w:val="20"/>
                <w:szCs w:val="20"/>
                <w:color w:val="auto"/>
              </w:rPr>
            </w:pPr>
            <w:r>
              <w:rPr>
                <w:rFonts w:ascii="Arial" w:cs="Arial" w:eastAsia="Arial" w:hAnsi="Arial"/>
                <w:sz w:val="18"/>
                <w:szCs w:val="18"/>
                <w:color w:val="auto"/>
                <w:w w:val="93"/>
              </w:rPr>
              <w:t>—%</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gridSpan w:val="3"/>
          </w:tcPr>
          <w:p>
            <w:pPr>
              <w:jc w:val="right"/>
              <w:ind w:right="30"/>
              <w:spacing w:after="0"/>
              <w:rPr>
                <w:sz w:val="20"/>
                <w:szCs w:val="20"/>
                <w:color w:val="auto"/>
              </w:rPr>
            </w:pPr>
            <w:r>
              <w:rPr>
                <w:rFonts w:ascii="Arial" w:cs="Arial" w:eastAsia="Arial" w:hAnsi="Arial"/>
                <w:sz w:val="18"/>
                <w:szCs w:val="18"/>
                <w:color w:val="auto"/>
              </w:rPr>
              <w:t>2,155</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incentive plan expense </w:t>
            </w:r>
            <w:r>
              <w:rPr>
                <w:rFonts w:ascii="Arial" w:cs="Arial" w:eastAsia="Arial" w:hAnsi="Arial"/>
                <w:sz w:val="25"/>
                <w:szCs w:val="25"/>
                <w:color w:val="auto"/>
                <w:vertAlign w:val="superscript"/>
              </w:rPr>
              <w:t>(g)</w:t>
            </w:r>
          </w:p>
        </w:tc>
        <w:tc>
          <w:tcPr>
            <w:tcW w:w="2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8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0.2%</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3"/>
              </w:rPr>
              <w:t>—%</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722</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(h)</w:t>
            </w:r>
          </w:p>
        </w:tc>
        <w:tc>
          <w:tcPr>
            <w:tcW w:w="2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CCEEFF"/>
            </w:tcBorders>
          </w:tcPr>
          <w:p>
            <w:pPr>
              <w:jc w:val="center"/>
              <w:ind w:left="13"/>
              <w:spacing w:after="0"/>
              <w:rPr>
                <w:sz w:val="20"/>
                <w:szCs w:val="20"/>
                <w:color w:val="auto"/>
              </w:rPr>
            </w:pPr>
            <w:r>
              <w:rPr>
                <w:rFonts w:ascii="Arial" w:cs="Arial" w:eastAsia="Arial" w:hAnsi="Arial"/>
                <w:sz w:val="18"/>
                <w:szCs w:val="18"/>
                <w:color w:val="auto"/>
                <w:w w:val="92"/>
              </w:rPr>
              <w:t>0.3%</w:t>
            </w: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726</w:t>
            </w:r>
          </w:p>
        </w:tc>
        <w:tc>
          <w:tcPr>
            <w:tcW w:w="80" w:type="dxa"/>
            <w:vAlign w:val="bottom"/>
            <w:tcBorders>
              <w:bottom w:val="single" w:sz="8" w:color="auto"/>
            </w:tcBorders>
          </w:tcPr>
          <w:p>
            <w:pPr>
              <w:spacing w:after="0"/>
              <w:rPr>
                <w:sz w:val="23"/>
                <w:szCs w:val="23"/>
                <w:color w:val="auto"/>
              </w:rPr>
            </w:pPr>
          </w:p>
        </w:tc>
        <w:tc>
          <w:tcPr>
            <w:tcW w:w="640" w:type="dxa"/>
            <w:vAlign w:val="bottom"/>
            <w:tcBorders>
              <w:bottom w:val="single" w:sz="8" w:color="CCEEFF"/>
            </w:tcBorders>
          </w:tcPr>
          <w:p>
            <w:pPr>
              <w:jc w:val="center"/>
              <w:ind w:left="70"/>
              <w:spacing w:after="0"/>
              <w:rPr>
                <w:sz w:val="20"/>
                <w:szCs w:val="20"/>
                <w:color w:val="auto"/>
              </w:rPr>
            </w:pPr>
            <w:r>
              <w:rPr>
                <w:rFonts w:ascii="Arial" w:cs="Arial" w:eastAsia="Arial" w:hAnsi="Arial"/>
                <w:sz w:val="18"/>
                <w:szCs w:val="18"/>
                <w:color w:val="auto"/>
                <w:w w:val="87"/>
              </w:rPr>
              <w:t>0.2%</w:t>
            </w:r>
          </w:p>
        </w:tc>
        <w:tc>
          <w:tcPr>
            <w:tcW w:w="1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2,467</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0.3%</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1,185</w:t>
            </w: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05"/>
        </w:trPr>
        <w:tc>
          <w:tcPr>
            <w:tcW w:w="3780" w:type="dxa"/>
            <w:vAlign w:val="bottom"/>
            <w:shd w:val="clear" w:color="auto" w:fill="CCEEFF"/>
          </w:tcPr>
          <w:p>
            <w:pPr>
              <w:ind w:left="180"/>
              <w:spacing w:after="0" w:line="205" w:lineRule="exact"/>
              <w:rPr>
                <w:sz w:val="20"/>
                <w:szCs w:val="20"/>
                <w:color w:val="auto"/>
              </w:rPr>
            </w:pPr>
            <w:r>
              <w:rPr>
                <w:rFonts w:ascii="Arial" w:cs="Arial" w:eastAsia="Arial" w:hAnsi="Arial"/>
                <w:sz w:val="18"/>
                <w:szCs w:val="18"/>
                <w:b w:val="1"/>
                <w:bCs w:val="1"/>
                <w:color w:val="auto"/>
              </w:rPr>
              <w:t>Adjusted EBITDA/ Adjusted EBITDA</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49,834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gridSpan w:val="2"/>
            <w:vMerge w:val="restart"/>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46,478</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gridSpan w:val="2"/>
            <w:vMerge w:val="restart"/>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89"/>
              </w:rPr>
              <w:t>113,132</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107,208</w:t>
            </w: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Margin</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0"/>
              </w:rPr>
              <w:t>11.6%</w:t>
            </w:r>
          </w:p>
        </w:tc>
        <w:tc>
          <w:tcPr>
            <w:tcW w:w="200" w:type="dxa"/>
            <w:vAlign w:val="bottom"/>
            <w:tcBorders>
              <w:bottom w:val="single" w:sz="8" w:color="CCEEFF"/>
            </w:tcBorders>
            <w:gridSpan w:val="2"/>
            <w:vMerge w:val="continue"/>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gridSpan w:val="4"/>
            <w:vMerge w:val="continue"/>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3"/>
              </w:rPr>
              <w:t>12.1%</w:t>
            </w:r>
          </w:p>
        </w:tc>
        <w:tc>
          <w:tcPr>
            <w:tcW w:w="260" w:type="dxa"/>
            <w:vAlign w:val="bottom"/>
            <w:tcBorders>
              <w:bottom w:val="single" w:sz="8" w:color="CCEEFF"/>
            </w:tcBorders>
            <w:gridSpan w:val="2"/>
            <w:vMerge w:val="continue"/>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gridSpan w:val="3"/>
            <w:vMerge w:val="continue"/>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12.7%</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13.5%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720" w:type="dxa"/>
            <w:vAlign w:val="bottom"/>
            <w:vMerge w:val="restart"/>
          </w:tcPr>
          <w:p>
            <w:pPr>
              <w:spacing w:after="0" w:line="157" w:lineRule="exact"/>
              <w:rPr>
                <w:sz w:val="20"/>
                <w:szCs w:val="20"/>
                <w:color w:val="auto"/>
              </w:rPr>
            </w:pPr>
            <w:r>
              <w:rPr>
                <w:rFonts w:ascii="Arial" w:cs="Arial" w:eastAsia="Arial" w:hAnsi="Arial"/>
                <w:sz w:val="14"/>
                <w:szCs w:val="14"/>
                <w:color w:val="auto"/>
              </w:rPr>
              <w:t>rounding.</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820" w:type="dxa"/>
            <w:vAlign w:val="bottom"/>
            <w:gridSpan w:val="5"/>
          </w:tcPr>
          <w:p>
            <w:pPr>
              <w:ind w:left="200"/>
              <w:spacing w:after="0" w:line="117" w:lineRule="exact"/>
              <w:rPr>
                <w:sz w:val="20"/>
                <w:szCs w:val="20"/>
                <w:color w:val="auto"/>
              </w:rPr>
            </w:pPr>
            <w:r>
              <w:rPr>
                <w:rFonts w:ascii="Arial" w:cs="Arial" w:eastAsia="Arial" w:hAnsi="Arial"/>
                <w:sz w:val="13"/>
                <w:szCs w:val="13"/>
                <w:color w:val="auto"/>
              </w:rPr>
              <w:t>Note: Percentages reflect line item as a percentage of net revenue, adjusted for</w:t>
            </w: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5540" w:type="dxa"/>
            <w:vAlign w:val="bottom"/>
            <w:gridSpan w:val="6"/>
          </w:tcPr>
          <w:p>
            <w:pPr>
              <w:ind w:left="200"/>
              <w:spacing w:after="0"/>
              <w:rPr>
                <w:sz w:val="20"/>
                <w:szCs w:val="20"/>
                <w:color w:val="auto"/>
              </w:rPr>
            </w:pPr>
            <w:r>
              <w:rPr>
                <w:rFonts w:ascii="Arial" w:cs="Arial" w:eastAsia="Arial" w:hAnsi="Arial"/>
                <w:sz w:val="14"/>
                <w:szCs w:val="14"/>
                <w:color w:val="auto"/>
                <w:w w:val="97"/>
              </w:rPr>
              <w:t>Some of the percentage totals in the table above do not foot due to rounding differences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8"/>
        </w:trPr>
        <w:tc>
          <w:tcPr>
            <w:tcW w:w="3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gridSpan w:val="9"/>
          </w:tcPr>
          <w:p>
            <w:pPr>
              <w:ind w:left="6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20" w:type="dxa"/>
            <w:vAlign w:val="bottom"/>
            <w:gridSpan w:val="6"/>
          </w:tcPr>
          <w:p>
            <w:pPr>
              <w:jc w:val="right"/>
              <w:ind w:right="70"/>
              <w:spacing w:after="0"/>
              <w:rPr>
                <w:sz w:val="20"/>
                <w:szCs w:val="20"/>
                <w:color w:val="auto"/>
              </w:rPr>
            </w:pPr>
            <w:r>
              <w:rPr>
                <w:rFonts w:ascii="Arial" w:cs="Arial" w:eastAsia="Arial" w:hAnsi="Arial"/>
                <w:sz w:val="18"/>
                <w:szCs w:val="18"/>
                <w:color w:val="auto"/>
              </w:rPr>
              <w:t>Six Months Ended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5"/>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5"/>
          </w:tcPr>
          <w:p>
            <w:pPr>
              <w:jc w:val="right"/>
              <w:ind w:right="130"/>
              <w:spacing w:after="0"/>
              <w:rPr>
                <w:sz w:val="20"/>
                <w:szCs w:val="20"/>
                <w:color w:val="auto"/>
              </w:rPr>
            </w:pPr>
            <w:r>
              <w:rPr>
                <w:rFonts w:ascii="Arial" w:cs="Arial" w:eastAsia="Arial" w:hAnsi="Arial"/>
                <w:sz w:val="18"/>
                <w:szCs w:val="18"/>
                <w:color w:val="auto"/>
              </w:rPr>
              <w:t>June 29, 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5"/>
          </w:tcPr>
          <w:p>
            <w:pPr>
              <w:jc w:val="right"/>
              <w:ind w:right="170"/>
              <w:spacing w:after="0"/>
              <w:rPr>
                <w:sz w:val="20"/>
                <w:szCs w:val="20"/>
                <w:color w:val="auto"/>
              </w:rPr>
            </w:pPr>
            <w:r>
              <w:rPr>
                <w:rFonts w:ascii="Arial" w:cs="Arial" w:eastAsia="Arial" w:hAnsi="Arial"/>
                <w:sz w:val="18"/>
                <w:szCs w:val="18"/>
                <w:color w:val="auto"/>
                <w:w w:val="89"/>
              </w:rPr>
              <w:t>June 30, 2018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4"/>
          </w:tcPr>
          <w:p>
            <w:pPr>
              <w:jc w:val="right"/>
              <w:ind w:right="200"/>
              <w:spacing w:after="0"/>
              <w:rPr>
                <w:sz w:val="20"/>
                <w:szCs w:val="20"/>
                <w:color w:val="auto"/>
              </w:rPr>
            </w:pPr>
            <w:r>
              <w:rPr>
                <w:rFonts w:ascii="Arial" w:cs="Arial" w:eastAsia="Arial" w:hAnsi="Arial"/>
                <w:sz w:val="18"/>
                <w:szCs w:val="18"/>
                <w:color w:val="auto"/>
              </w:rPr>
              <w:t>June 29, 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210"/>
              <w:spacing w:after="0"/>
              <w:rPr>
                <w:sz w:val="20"/>
                <w:szCs w:val="20"/>
                <w:color w:val="auto"/>
              </w:rPr>
            </w:pPr>
            <w:r>
              <w:rPr>
                <w:rFonts w:ascii="Arial" w:cs="Arial" w:eastAsia="Arial" w:hAnsi="Arial"/>
                <w:sz w:val="18"/>
                <w:szCs w:val="18"/>
                <w:color w:val="auto"/>
              </w:rPr>
              <w:t>June 30, 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10,257</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12,467</w:t>
            </w:r>
          </w:p>
        </w:tc>
        <w:tc>
          <w:tcPr>
            <w:tcW w:w="720" w:type="dxa"/>
            <w:vAlign w:val="bottom"/>
            <w:tcBorders>
              <w:bottom w:val="single" w:sz="8" w:color="CCEEFF"/>
            </w:tcBorders>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27,686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36,922</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1,524</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4,717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(b)</w:t>
            </w: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(c)</w:t>
            </w: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756</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(d)</w:t>
            </w: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(e)</w:t>
            </w: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177</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5"/>
                <w:szCs w:val="25"/>
                <w:color w:val="auto"/>
                <w:vertAlign w:val="superscript"/>
              </w:rPr>
              <w:t>(f)</w:t>
            </w: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Long-term incentive plan expense </w:t>
            </w:r>
            <w:r>
              <w:rPr>
                <w:rFonts w:ascii="Arial" w:cs="Arial" w:eastAsia="Arial" w:hAnsi="Arial"/>
                <w:sz w:val="25"/>
                <w:szCs w:val="25"/>
                <w:color w:val="auto"/>
                <w:vertAlign w:val="superscript"/>
              </w:rPr>
              <w:t>(g)</w:t>
            </w: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781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(h)</w:t>
            </w: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29"/>
        </w:trPr>
        <w:tc>
          <w:tcPr>
            <w:tcW w:w="4720" w:type="dxa"/>
            <w:vAlign w:val="bottom"/>
            <w:gridSpan w:val="4"/>
          </w:tcPr>
          <w:p>
            <w:pPr>
              <w:ind w:left="40"/>
              <w:spacing w:after="0"/>
              <w:rPr>
                <w:sz w:val="20"/>
                <w:szCs w:val="20"/>
                <w:color w:val="auto"/>
              </w:rPr>
            </w:pPr>
            <w:r>
              <w:rPr>
                <w:rFonts w:ascii="Arial" w:cs="Arial" w:eastAsia="Arial" w:hAnsi="Arial"/>
                <w:sz w:val="18"/>
                <w:szCs w:val="18"/>
                <w:color w:val="auto"/>
                <w:w w:val="96"/>
              </w:rPr>
              <w:t>Amortization of acquisition intangibles and deferred financing</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costs </w:t>
            </w:r>
            <w:r>
              <w:rPr>
                <w:rFonts w:ascii="Arial" w:cs="Arial" w:eastAsia="Arial" w:hAnsi="Arial"/>
                <w:sz w:val="25"/>
                <w:szCs w:val="25"/>
                <w:color w:val="auto"/>
                <w:vertAlign w:val="superscript"/>
              </w:rPr>
              <w:t>(i)</w:t>
            </w: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2,336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2,281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4,594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4,562</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benefit of stock option exercises </w:t>
            </w:r>
            <w:r>
              <w:rPr>
                <w:rFonts w:ascii="Arial" w:cs="Arial" w:eastAsia="Arial" w:hAnsi="Arial"/>
                <w:sz w:val="25"/>
                <w:szCs w:val="25"/>
                <w:color w:val="auto"/>
                <w:vertAlign w:val="superscript"/>
              </w:rPr>
              <w:t>(j)</w:t>
            </w: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(1,371)</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5"/>
                <w:szCs w:val="25"/>
                <w:color w:val="auto"/>
                <w:vertAlign w:val="superscript"/>
              </w:rPr>
              <w:t>(k)</w:t>
            </w:r>
          </w:p>
        </w:tc>
        <w:tc>
          <w:tcPr>
            <w:tcW w:w="280" w:type="dxa"/>
            <w:vAlign w:val="bottom"/>
            <w:tcBorders>
              <w:bottom w:val="single" w:sz="8" w:color="CCEEFF"/>
            </w:tcBorders>
          </w:tcPr>
          <w:p>
            <w:pPr>
              <w:spacing w:after="0"/>
              <w:rPr>
                <w:sz w:val="23"/>
                <w:szCs w:val="23"/>
                <w:color w:val="auto"/>
              </w:rPr>
            </w:pPr>
          </w:p>
        </w:tc>
        <w:tc>
          <w:tcPr>
            <w:tcW w:w="64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(2,470)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(1,589)</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(5,733)</w:t>
            </w:r>
          </w:p>
        </w:tc>
        <w:tc>
          <w:tcPr>
            <w:tcW w:w="1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Net Income</w:t>
            </w: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spacing w:after="0"/>
              <w:rPr>
                <w:sz w:val="22"/>
                <w:szCs w:val="22"/>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16,286</w:t>
            </w:r>
          </w:p>
        </w:tc>
        <w:tc>
          <w:tcPr>
            <w:tcW w:w="4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15,716</w:t>
            </w:r>
          </w:p>
        </w:tc>
        <w:tc>
          <w:tcPr>
            <w:tcW w:w="72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42,963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42,164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 and performance vesting conditions.</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Reflects write-off of property and equipment on closed or underperforming stores.</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are not indicative of ongoing core operating performance. We adjust for these costs to facilitate comparisons of store operating performance from period to period.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Consists of the non-cash portion of rent expense, which reflects the extent to which our straight-line rent expense recognized under GAAP exceeds or is less than our cash rent payments.</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Expenses related to secondary public offerings of our common stock.</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Expenses related to a non-recurring management realignment described in the current report on Form 8-K filed with the SEC on January 10, 2019.</w:t>
      </w:r>
    </w:p>
    <w:p>
      <w:pPr>
        <w:spacing w:after="0" w:line="13"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Expenses pursuant to a long-term incentive plan for non-executive employees who were not participants in the management equity plan. This plan was effective in 2014 following the acquisition of the Company by affiliates of KKR &amp; Co. Inc. (the "KKR Acquisition").</w:t>
      </w:r>
    </w:p>
    <w:p>
      <w:pPr>
        <w:jc w:val="both"/>
        <w:ind w:left="660" w:hanging="328"/>
        <w:spacing w:after="0" w:line="241"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(amounts in brackets represent reductions in Adjusted EBITDA and Adjusted Net Income), including our share of losses on equity method investments of $0.4 million for each of the three months ended June 29, 2019 and June 30, 2018 and $1.0 million and $0.6 million for the six months ended June 29, 2019 and June 30, 2018, respectively; the amortization impact of the KKR Acquisition-related adjustments (e.g., fair value of leasehold interests) of $0.1 million and $52 thousand for the three months ended June 29, 2019 and June 30, 2018 and $0.2 million and $0.1 million for the six months ended June 29, 2019 and June 30, 2018, respectively; differences between the timing of expense versus cash payments related to contributions to charitable organizations of $(0.3) million and $(0.5) million for the three and six months ended June 30, 2018, respectively; costs of severance and relocation of $0.6 million and $0.3 million for the three months ended June 29, 2019 and June 30, 2018 and $0.8 million and $0.5 million for the six months ended June 29, 2019 and June 30, 2018, respectively; excess payroll taxes related to stock option exercises of $0.1 million and $56 thousand for the three months ended June 29, 2019 and June 30, 2018 and $0.1 million and $0.3 million for the six months ended June 29, 2019 and June 30, 2018, respectively; and other expenses and adjustments totaling $(31) thousand and $0.2 million for the three months ended June 29, 2019 and June 30, 2018 and $0.3 million and $0.2 million the six months ended June 29, 2019 and June 30, 2018, respectively.</w:t>
      </w:r>
    </w:p>
    <w:p>
      <w:pPr>
        <w:spacing w:after="0" w:line="3" w:lineRule="exact"/>
        <w:rPr>
          <w:rFonts w:ascii="Arial" w:cs="Arial" w:eastAsia="Arial" w:hAnsi="Arial"/>
          <w:sz w:val="14"/>
          <w:szCs w:val="14"/>
          <w:color w:val="auto"/>
        </w:rPr>
      </w:pPr>
    </w:p>
    <w:p>
      <w:pPr>
        <w:jc w:val="both"/>
        <w:ind w:left="660" w:hanging="328"/>
        <w:spacing w:after="0" w:line="260" w:lineRule="auto"/>
        <w:tabs>
          <w:tab w:leader="none" w:pos="6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Amortization of the increase in carrying values of definite-lived intangible assets resulting from the application of purchase accounting to the KKR Acquisition of $1.9 million for each of the three months ended June 29, 2019 and June 30, 2018 and $3.7 million for each of the six months ended June 29, 2019 and June 30, 2018, respectively. Amortization of deferred financing costs is primarily associated with the March 2014 term loan borrowings in connection with the KKR Acquisition and, to a lesser extent, amortization of debt discounts associated with the May 2015 and February 2017 incremental First Lien - Term Loan B and the November 2017 First Lien - Term Loan B refinancing, aggregating to $0.5 million and $0.4 million for the three months ended June 29, 2019 and June 30, 2018 and $0.9 million and $0.8 million for the six months ended June 29, 2019 and June 30, 2018, respectively.</w:t>
      </w:r>
    </w:p>
    <w:p>
      <w:pPr>
        <w:ind w:left="660" w:hanging="328"/>
        <w:spacing w:after="0" w:line="241"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Tax benefit associated with accounting guidance adopted at the beginning of fiscal year 2017 (Accounting Standards Update 2016-09,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requiring excess tax benefits related to stock option exercises to be recorded in earnings as discrete items in the reporting period in which they occur.</w:t>
      </w: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principally rely on cash flows from operations as our primary source of liquidity and, if needed, up to $100.0 million in revolving loans under our revolving credit facility. Our primary cash needs are for inventory, payroll, store rent, capital expenditures associated with new stores and updating existing stores, as well as information technology and infrastructure, including our corporate office, distribution centers, and laboratories. The most significant components of our operating assets and liabilities are inventories, accounts receivable, prepaid expenses and other assets, accounts payable, deferred and unearned revenue and other payables and accrued expenses. Due to the seasonality of when we recognize revenue, any borrowings would generally occur in the fourth or first quarters as we prepare for our peak season, which is the first quarter. We believe that cash expected to be generated from operations and the availability of borrowings under the revolving credit facility will be sufficient for our working capital requirements, liquidity obligations, anticipated capital expenditures, and payments due under our existing credit facilities for at least the next 12 months.</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29, 2019, we had $82.8 million in cash and cash equivalents and $94.5 million of availability under our revolving credit facility, which reflects $5.5 million in outstanding letters of credit.</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purchased $52.1 million in capital items in the six months ended June 29, 2019. Approximately 80% of our capital spend is related to our expected growth (i.e., new stores, optometric equipment, additional capacity in our optical laboratories and distribution centers, and our IT infrastructure, including omni-channel platform related investments). We plan on opening approximately 75 stores during fiscal year 2019 (inclusive of the 50 new stores opened through June 29, 2019). Our working capital requirements for inventory will increase as we continue to open additional stores. We primarily fund our working capital needs using cash provided by operations.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cash flows from operating activities, investing activities and financing activities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4"/>
          </w:tcPr>
          <w:p>
            <w:pPr>
              <w:jc w:val="right"/>
              <w:ind w:right="1210"/>
              <w:spacing w:after="0"/>
              <w:rPr>
                <w:sz w:val="20"/>
                <w:szCs w:val="20"/>
                <w:color w:val="auto"/>
              </w:rPr>
            </w:pPr>
            <w:r>
              <w:rPr>
                <w:rFonts w:ascii="Arial" w:cs="Arial" w:eastAsia="Arial" w:hAnsi="Arial"/>
                <w:sz w:val="18"/>
                <w:szCs w:val="18"/>
                <w:color w:val="auto"/>
              </w:rPr>
              <w:t>Six Months Ended</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color w:val="auto"/>
              </w:rPr>
              <w:t>June 29, 2019</w:t>
            </w:r>
          </w:p>
        </w:tc>
        <w:tc>
          <w:tcPr>
            <w:tcW w:w="300" w:type="dxa"/>
            <w:vAlign w:val="bottom"/>
          </w:tcPr>
          <w:p>
            <w:pPr>
              <w:spacing w:after="0"/>
              <w:rPr>
                <w:sz w:val="20"/>
                <w:szCs w:val="20"/>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June 30, 2018</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(used for):</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119,279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80,135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(48,568)</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(939)</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65,867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30,628</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flows from operating activities increased $39.1 million from $80.1 million during the six months ended June 30, 2018 to $119.3 million for the six months ended June 29, 2019. Net income decreased $9.2 million, primarily due to an increase in non-cash expense items, such as depreciation and amortization, asset impairment, and stock based compensation expense. The impact of reduced net income was more than offset by an increase in non-cash expense items resulting in an increase to cash of $4.4 million.</w:t>
      </w:r>
    </w:p>
    <w:p>
      <w:pPr>
        <w:spacing w:after="0" w:line="1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Decreases in net working capital and other assets and liabilities contributed $34.6 million in cash compared to the six months ended June 30, 2018. Increases in other liabilities contributed $7.8 million in year-over-year cash, primarily related to increases in accruals for payroll and incentive related items. Decreases in other assets contributed $12.0 million in year-over-year cash, primarily the result of decreases in prepaid advertising and rent-related items. Decreases in inventory contributed $13.4 million in year-over-year cash, primarily related to the sell down of late 2018 forward buys. Additionally, increases in accounts payable during the six months ended June 29, 2019 was $6.4 million more than increases in accounts payable during the six months ended June 30, 2018, primarily due to timing of payments.</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Off-setting these items was a $5.3 million reduction in year-over-year cash related to increases in accounts receivable balances, reflective of year-over-year increases in the growth of our participation in managed care programs, increases in our contact lens distribution business with other major retailers, and increases in receivables for tenant improvements.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Investing Activities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cash used for investing activities increased by $3.2 million, to $51.8 million, during the six months ended June 29, 2019 from $48.6 million during the six months ended June 30, 2018. The change in cash used for investing activities were due to purchases of property and equipment to support our store growth, including new stores, improvements to our optical laboratories and distribution centers, and continued development of our IT infrastructure.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Financing Activities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for financing activities increased $0.7 million, from $0.9 million to $1.6 million during the six months ended June 29, 2019. The change in cash provided by financing activities was primarily due to a $1.5 million decrease in net proceeds from the exercise of stock options for the six months ended June 29, 2019 as compared to the six months ended June 30,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June 29, 2019, we had $561.8 million of first lien term loans under the Existing Credit Agreement (as defined below) outstanding. As of June 29, 2019, we also had $94.5 million of additional availability under our first lien revolving credit facility, which reflects $5.5 million in outstanding letters of credit. As of June 29, 2019, we were in compliance with all of our debt covenants under the Existing Credit Agreement and no event had occurred or was ongoing.</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18, 2019 (the “Closing Date”), we amended the Credit Agreement, dated as of October 9, 2018 (the “Existing Credit Agreement”), by and among Nautilus Acquisition Holdings, Inc. (“Holdings”), a Delaware corporation and a wholly-owned subsidiary of the Company, NVI, Goldman Sachs Bank USA, as administrative agent and collateral agent, and the lenders from time to time party thereto and the other parties thereto, pursuant to a certain Joinder and Amendment and Restatement Agreement, dated as of July 18, 2019 (the “Restatement Agreement”) by and among Holdings, NVI, as borrower, certain subsidiaries of NVI, as guarantors, Goldman Sachs Bank USA, as former administrative agent and collateral agent, Bank of America, N.A., as new administrative agent and collateral agent, and the lenders from time to time party thereto (the Existing Credit Agreement, as amended by the Restatement Agreement, the “Credit Agreement”).</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Pursuant to the Restatement Agreement, the initial new Applicable Margins are (i) 1.50% for the new first lien term loans that are LIBOR Loans and (ii) 0.50% for the new first lien term loans that are ABR Loans. The Restatement Agreement further provides that following the Closing Date, the above Applicable Margins for the new first lien term loans will be based on NVI’s consolidated first lien leverage ratio as follows: (a) if NVI’s consolidated first lien leverage ratio is greater than 3:75 to 1.00, the Applicable Margin will be 2.00% for LIBOR Loans and 1.00% for ABR Loans, (b) if NVI’s consolidated first lien leverage ratio is less than or equal to 3.75 to 1.00, but greater than 2.75 to 1.00, the Applicable Margin will be 1.75% for LIBOR Loans and 0.75% for ABR Loans, (c) if NVI’s consolidated first lien leverage ratio is less than or equal to 2.75 to 1.00 but greater than 1.75:1.00, the Applicable Margin will be 1.50% for LIBOR Loans and 0.50% for ABR Loans, (d) if NVI’s consolidated first lien leverage ratio is less than or equal to 1.75 to 1.00 but greater than</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0.75:1.00, the Applicable Margin will be 1.25% for LIBOR Loans and 0.25% for ABR Loans and (e) if NVI’s consolidated first lien leverage ratio is less than or equal to 0:75 to 1.00, the Applicable Margin will be 1.00% for LIBOR Loans and 0.00% for ABR Loans. The new first lien term loans will amortize in equal quarterly installments equal to 2.50% per annum in the first three years of the loan and 5.00% per annum thereafter. Capitalized terms used but not defined herein shall have the meanings assigned to such terms in the Credit Agreement and Restatement Agreement, as applicable, included in Exhibit 10.1 of Form 8-K filed with the SEC on July 23, 2019.</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that LIBOR is phased out as is currently expected, the Credit Agreement provides that the Company and the administrative agent may amend such Credit Agreement to replace the LIBOR definition with a successor rate based on prevailing market convention, subject to notifying the lending syndicate of such change and not receiving within five business days of such notification written objections to such replacement rate form, with respect to any class of loans under the Credit Agreement, lenders holdings at least a majority of the aggregate principal amount of loans and commitments then outstanding in each class. The consequences of these developments cannot be entirely predicted, but could include an increase in the interest cost of our variable rate indebtedness.</w:t>
      </w:r>
    </w:p>
    <w:p>
      <w:pPr>
        <w:spacing w:after="0" w:line="193" w:lineRule="exact"/>
        <w:rPr>
          <w:sz w:val="20"/>
          <w:szCs w:val="20"/>
          <w:color w:val="auto"/>
        </w:rPr>
      </w:pPr>
    </w:p>
    <w:p>
      <w:pPr>
        <w:ind w:right="1820"/>
        <w:spacing w:after="0" w:line="375" w:lineRule="auto"/>
        <w:rPr>
          <w:sz w:val="20"/>
          <w:szCs w:val="20"/>
          <w:color w:val="auto"/>
        </w:rPr>
      </w:pPr>
      <w:r>
        <w:rPr>
          <w:rFonts w:ascii="Arial" w:cs="Arial" w:eastAsia="Arial" w:hAnsi="Arial"/>
          <w:sz w:val="18"/>
          <w:szCs w:val="18"/>
          <w:color w:val="auto"/>
        </w:rPr>
        <w:t>Refer to Note 12.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included in Part I. Item 1. of this Form 10-Q for further information on the Credit Agreement. </w:t>
      </w:r>
      <w:r>
        <w:rPr>
          <w:rFonts w:ascii="Arial" w:cs="Arial" w:eastAsia="Arial" w:hAnsi="Arial"/>
          <w:sz w:val="18"/>
          <w:szCs w:val="18"/>
          <w:b w:val="1"/>
          <w:bCs w:val="1"/>
          <w:color w:val="auto"/>
        </w:rPr>
        <w:t>Off-balance Sheet Arrangements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follow U.S. GAAP in making the determination as to whether or not to record an asset or liability related to our arrangements with third parties. Consistent with current accounting guidance, we do not record an asset or liability associated with long-term marketing and promotional commitments, or commitments to philanthropic endeavors. We have disclosed the amount of future commitments associated with these items in our fiscal year 2018 annual consolidated financial statements filed on the Form 10-K. We were not a party to any other off-balance sheet arrangements during the six months ended June 29,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six months ended June 29, 2019, we entered into minimum purchase commitments with our trade vendors of approximately $17 million annually through 2021. These purchase commitments represent a small portion of our costs applicable to revenue. There were no other material changes outside the ordinary course of business in our contractual obligations and commercial commitments from those reported as of December 29, 2018 in the Annual Report.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Management has evaluated the accounting policies used in the preparation of the Company’s unaudited condensed consolidated financial statements and related notes and believes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Annual Report dated December 29, 2018, in the “Critical Accounting Policies and Estimates” section of “Management’s Discussion and Analysis of Financial Condition and Results of Operations.” There have been no material changes to our critical accounting policies as compared to the critical accounting policies described in the Annual Report, except for the adoption of Accounting Standards Update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discussed in Note 1</w:t>
      </w:r>
      <w:r>
        <w:rPr>
          <w:rFonts w:ascii="Arial" w:cs="Arial" w:eastAsia="Arial" w:hAnsi="Arial"/>
          <w:sz w:val="16"/>
          <w:szCs w:val="16"/>
          <w:i w:val="1"/>
          <w:iCs w:val="1"/>
          <w:color w:val="auto"/>
        </w:rPr>
        <w:t>.</w:t>
      </w:r>
      <w:r>
        <w:rPr>
          <w:rFonts w:ascii="Arial" w:cs="Arial" w:eastAsia="Arial" w:hAnsi="Arial"/>
          <w:sz w:val="16"/>
          <w:szCs w:val="16"/>
          <w:color w:val="auto"/>
        </w:rPr>
        <w:t xml:space="preserve"> “Description of Business and Basis of Presentation” of our unaudited condensed consolidated financial statements included in Part I. Item 1. of this Form 10-Q.</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information set forth in Note 1. “Description of Business and Basis of Presentation” to our unaudited condensed consolidated financial statements under Part I. Item 1. under the heading “</w:t>
      </w:r>
      <w:r>
        <w:rPr>
          <w:rFonts w:ascii="Arial" w:cs="Arial" w:eastAsia="Arial" w:hAnsi="Arial"/>
          <w:sz w:val="17"/>
          <w:szCs w:val="17"/>
          <w:i w:val="1"/>
          <w:iCs w:val="1"/>
          <w:color w:val="auto"/>
        </w:rPr>
        <w:t>Adoption of New Accounting Pronouncements</w:t>
      </w:r>
      <w:r>
        <w:rPr>
          <w:rFonts w:ascii="Arial" w:cs="Arial" w:eastAsia="Arial" w:hAnsi="Arial"/>
          <w:sz w:val="17"/>
          <w:szCs w:val="17"/>
          <w:color w:val="auto"/>
        </w:rPr>
        <w:t>” of this Form 10-Q is incorporated herein by reference.</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market risk exposure from changes in interest rates. When appropriate, we use derivative financial instruments to mitigate the risk from such exposure. A discussion of our accounting policies for derivative financial instruments is included in Note 3. “Fair Value Measurement of Financial Assets and Liabilities,” to our unaudited condensed consolidated financial statements included in Part I. Item 1. of this Form 10-Q.</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substantial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We also have a revolving line of credit at variable interest rates. The general levels of LIBOR affect interest expense. We periodically use interest rate swaps to manage such risk. The net amounts to be paid or received under interest rate swap agreements are accrued as interest rates change, and are recognized over the life of the swap agreements as an adjustment to interest expense from the underlying debt to which the swap is designated. The related amounts payable to, or receivable from, the contract counterparties are included in accrued liabilities or accounts receivable in the unaudited condensed consolidated balance sheets.</w:t>
      </w:r>
    </w:p>
    <w:p>
      <w:pPr>
        <w:spacing w:after="0" w:line="5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June 29, 2019, all of our $561.8 million in term loan debt was subject to variable interest rates, with a weighted average borrowing rate of 4.6%. After inclusion of the notional amount of $430.0 million of interest rate swaps fixing a portion of the variable rate debt, $131.8 million, or 23.5% of our debt, is subject to variable rates. Assuming an increase to market rates of 1.0% as of June 29, 2019, we would incur an annual increase to interest expense of approximately $1.3 million related to debt subject to variable rates. Refer to Note 12. “</w:t>
      </w:r>
      <w:r>
        <w:rPr>
          <w:rFonts w:ascii="Arial" w:cs="Arial" w:eastAsia="Arial" w:hAnsi="Arial"/>
          <w:sz w:val="17"/>
          <w:szCs w:val="17"/>
          <w:i w:val="1"/>
          <w:iCs w:val="1"/>
          <w:color w:val="auto"/>
        </w:rPr>
        <w:t>Subsequent Events</w:t>
      </w:r>
      <w:r>
        <w:rPr>
          <w:rFonts w:ascii="Arial" w:cs="Arial" w:eastAsia="Arial" w:hAnsi="Arial"/>
          <w:sz w:val="17"/>
          <w:szCs w:val="17"/>
          <w:color w:val="auto"/>
        </w:rPr>
        <w:t>” included in Part I. Item 1. of this Form 10-Q for information on the July 18, 2019 Term Loan A - Joinder and Amendment and Restatement Agreement.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maintain disclosure controls and procedures (as that term is defined in Rules 13a-15(e) and 15d-15(e) of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June 29, 2019. Based on that evaluation, the CEO and the CFO have concluded that, because the previously identified material weaknesses in our internal control over financial reporting described below had not been remediated by the end of the period covered by this Form 10-Q, our disclosure controls and procedures were not effective as of the end of the period covered by this Form 10-Q.</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the material weakness described below, based on the additional analysis and other post-closing procedures performed, management believes the financial statements included in this report are fairly presented, in all material respects, in conformity with accounting principles generally accepted in the United States of America (“U.S. GAAP”).</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and Status of Material Weakness Remediation</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previously disclosed in our Annual Report on Form 10-K filed with the SEC on February 27, 2019, we had identified a control deficiency that constituted a material weakness in our internal control over financial reporting as of December 29, 2018. 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In part due to errors discovered as a result of the implementation of controls associated with the new lease accounting standard, the Company concluded the following material weakness still exists as of June 29, 2019:</w:t>
      </w:r>
    </w:p>
    <w:p>
      <w:pPr>
        <w:spacing w:after="0" w:line="50"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The Company did not design and maintain effective entity level controls to identify and assess changes in our business environment that could significantly impact the system of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2018, we designed, implemented and tested the following controls responsive to the remediation of this material weakness:</w:t>
      </w:r>
    </w:p>
    <w:p>
      <w:pPr>
        <w:spacing w:after="0" w:line="117" w:lineRule="exact"/>
        <w:rPr>
          <w:sz w:val="20"/>
          <w:szCs w:val="20"/>
          <w:color w:val="auto"/>
        </w:rPr>
      </w:pPr>
    </w:p>
    <w:p>
      <w:pPr>
        <w:ind w:left="660" w:right="20" w:hanging="409"/>
        <w:spacing w:after="0" w:line="274"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Established a periodic meeting of senior leaders from key business groups, including operations and finance, for purposes of identifying and assessing changes in our business environment that could significantly impact the system of internal control over financial reporting.</w:t>
      </w:r>
    </w:p>
    <w:p>
      <w:pPr>
        <w:ind w:left="660" w:hanging="409"/>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and implemented a control to incorporate those changes into our risk assessment and control activities.</w:t>
      </w:r>
    </w:p>
    <w:p>
      <w:pPr>
        <w:spacing w:after="0" w:line="9" w:lineRule="exact"/>
        <w:rPr>
          <w:rFonts w:ascii="Arial" w:cs="Arial" w:eastAsia="Arial" w:hAnsi="Arial"/>
          <w:sz w:val="18"/>
          <w:szCs w:val="18"/>
          <w:color w:val="auto"/>
        </w:rPr>
      </w:pPr>
    </w:p>
    <w:p>
      <w:pPr>
        <w:ind w:left="660" w:hanging="409"/>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Established a disclosure committee, consisting of certain key members of management, to assist in formalizing our disclosure, risk assessment, internal controls and procedures.</w:t>
      </w:r>
    </w:p>
    <w:p>
      <w:pPr>
        <w:ind w:left="660" w:hanging="409"/>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Added additional technical resources to enhance our overall control environment.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2019, we developed, and are in the process of implementing, additional controls to facilitate the remediation of this material weakness:</w:t>
      </w:r>
    </w:p>
    <w:p>
      <w:pPr>
        <w:spacing w:after="0" w:line="117" w:lineRule="exact"/>
        <w:rPr>
          <w:sz w:val="20"/>
          <w:szCs w:val="20"/>
          <w:color w:val="auto"/>
        </w:rPr>
      </w:pPr>
    </w:p>
    <w:p>
      <w:pPr>
        <w:ind w:left="660" w:hanging="409"/>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internal control deficiency remediation project plan, overseen by the Chief Financial Officer and internal audit, and reviewed with the Audit Committee at least quarterly.</w:t>
      </w:r>
    </w:p>
    <w:p>
      <w:pPr>
        <w:spacing w:after="0" w:line="1" w:lineRule="exact"/>
        <w:rPr>
          <w:rFonts w:ascii="Arial" w:cs="Arial" w:eastAsia="Arial" w:hAnsi="Arial"/>
          <w:sz w:val="18"/>
          <w:szCs w:val="18"/>
          <w:color w:val="auto"/>
        </w:rPr>
      </w:pPr>
    </w:p>
    <w:p>
      <w:pPr>
        <w:ind w:left="660" w:hanging="409"/>
        <w:spacing w:after="0" w:line="26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enhanced risk assessment that incorporates cross-functional input, data analysis, and detailed reviews of accounting policies and operating procedures to identify and differentiate risks of material misstatement.</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committed to maintaining a strong internal control environment, and we continue to assess the adequacy of these changes in the context of remediating this material weakness. The material weaknesses cannot be considered remediated until the applicable remedial controls operate for a sufficient period of time and management has concluded, through testing, that these controls are operating effectively.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Exchange Act Rules 13a-15(f) and 15d-15(f) that occurred during the second quarter of fiscal year 2019 that have materially affected, or are reasonably likely to materially affect, our internal control over financial reporting, other than as described above under “Material Weakness and Status of Material Weakness Remediation.”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are currently and may in the future become subject to various claims and pending or threatened lawsuits in the normal course of our business.</w:t>
      </w:r>
    </w:p>
    <w:p>
      <w:pPr>
        <w:sectPr>
          <w:pgSz w:w="11900" w:h="16838" w:orient="portrait"/>
          <w:cols w:equalWidth="0" w:num="1">
            <w:col w:w="11420"/>
          </w:cols>
          <w:pgMar w:left="240" w:top="125" w:right="239" w:bottom="0" w:gutter="0" w:footer="0" w:header="0"/>
        </w:sectPr>
      </w:pPr>
    </w:p>
    <w:bookmarkStart w:id="44" w:name="page45"/>
    <w:bookmarkEnd w:id="44"/>
    <w:p>
      <w:pPr>
        <w:jc w:val="both"/>
        <w:spacing w:after="0" w:line="271" w:lineRule="auto"/>
        <w:rPr>
          <w:sz w:val="20"/>
          <w:szCs w:val="20"/>
          <w:color w:val="auto"/>
        </w:rPr>
      </w:pPr>
      <w:r>
        <w:rPr>
          <w:rFonts w:ascii="Arial" w:cs="Arial" w:eastAsia="Arial" w:hAnsi="Arial"/>
          <w:sz w:val="17"/>
          <w:szCs w:val="17"/>
          <w:color w:val="auto"/>
        </w:rPr>
        <w:t>Our subsidiary, FirstSight is a defendant in a purported class action in the U.S. District Court for the Southern District of California that alleges that FirstSight participated in arrangements that caused the illegal delivery of eye examinations and that FirstSight thereby violated, among other laws, the corporate practice of optometry and the unfair competition and false advertising laws of California. The lawsuit was filed in 2013 and FirstSight was added as a defendant in 2016. In March 2017, the court granted the motion to dismiss previously filed by FirstSight and dismissed the complaint with prejudice. The plaintiffs filed an appeal with the U.S. Court of Appeals for the Ninth Circuit in April 2017. In July 2018, the U.S. Court of Appeals for the Ninth Circuit vacated in part, and reversed in part, the district court’s dismissal and remanded for further proceedings. In October 2018, the plaintiffs filed a second amended complaint with the district court seeking, among other claims, unspecified damages and attorneys’ fees, and in November 2018, FirstSight filed a motion to dismiss. We believe that the claims alleged are without merit and intend to continue to defend the litigation vigorously.</w:t>
      </w:r>
    </w:p>
    <w:p>
      <w:pPr>
        <w:spacing w:after="0" w:line="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2017, a complaint was filed against us and other defendants alleging, on behalf of a proposed class of consumers who purchased contact lenses online, that 1-800 Contacts, Inc. entered into a series of agreements with the other defendants, including AC Lens, to suppress certain online advertising and that each defendant thereby engaged in anticompetitive conduct in violation of the Sherman Antitrust Act. We have settled this litigation for $7.0 million, without admitting liability. Accordingly, we recorded a charge for this amount in litigation settlement in the consolidated statement of operations during the second quarter of fiscal year 2017. On November 8, 2017, the court in the 1-800 Contacts Matter entered an order preliminarily approving the settlement agreement, subject to a settlement hearing. Pursuant to this order, we deposited 50% of the settlement amount, or $3.5 million, into an escrow account, to be distributed subject to and in accordance the terms of the settlement agreement and any further order of the court.</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2019, we were served with a lawsuit by a former employee who alleges, on behalf of himself and a proposed class, several violations of California wage and hour laws and seeks unspecified alleged unpaid wages, monetary damages, injunctive relief and attorneys’ fees. On March 21, 2019, we removed the lawsuit from Monterey County Superior Court to the United States District Court for the Northern District of California. The plaintiff moved to remand the action to state court on April 18, 2019, and the Court denied this motion on July 8, 2019. On July 22, 2019, the plaintiff filed an amended complaint. On July 26, 2019, the parties filed a joint stipulation wherein the Company denied all claims in the amended complaint but joined the plaintiff in seeking a stay of further proceedings in the lawsuit based on the parties’ agreement to attend early mediation in an effort to avoid further costs and expenses of protracted litigation. Mediation has been scheduled in the first quarter of 2020. The Company continues to believe that the plaintiff’s amended complaint lacks merit and will vigorously defend the litigation.</w:t>
      </w: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not currently party to any other legal proceedings that we believe would have a material adverse effect on our financial position, results of operations or cash flows.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principal risks that we believe are material to our business, results of operations, and financial condition from those disclosed in Part I. Item 1A. of our Annual Report.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219"/>
          </w:cols>
          <w:pgMar w:left="240" w:top="125" w:right="144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500" w:type="dxa"/>
            <w:vAlign w:val="bottom"/>
            <w:gridSpan w:val="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804"/>
        </w:trPr>
        <w:tc>
          <w:tcPr>
            <w:tcW w:w="1280" w:type="dxa"/>
            <w:vAlign w:val="bottom"/>
            <w:tcBorders>
              <w:top w:val="single" w:sz="8" w:color="0000EE"/>
            </w:tcBorders>
            <w:gridSpan w:val="5"/>
          </w:tcPr>
          <w:p>
            <w:pPr>
              <w:spacing w:after="0"/>
              <w:rPr>
                <w:sz w:val="20"/>
                <w:szCs w:val="20"/>
                <w:color w:val="auto"/>
              </w:rPr>
            </w:pPr>
            <w:r>
              <w:rPr>
                <w:rFonts w:ascii="Arial" w:cs="Arial" w:eastAsia="Arial" w:hAnsi="Arial"/>
                <w:sz w:val="18"/>
                <w:szCs w:val="18"/>
                <w:b w:val="1"/>
                <w:bCs w:val="1"/>
                <w:color w:val="auto"/>
                <w:w w:val="95"/>
              </w:rPr>
              <w:t>Item 6. Exhibits</w:t>
            </w:r>
          </w:p>
        </w:tc>
        <w:tc>
          <w:tcPr>
            <w:tcW w:w="220" w:type="dxa"/>
            <w:vAlign w:val="bottom"/>
            <w:gridSpan w:val="2"/>
          </w:tcPr>
          <w:p>
            <w:pPr>
              <w:spacing w:after="0"/>
              <w:rPr>
                <w:sz w:val="24"/>
                <w:szCs w:val="24"/>
                <w:color w:val="auto"/>
              </w:rPr>
            </w:pPr>
          </w:p>
        </w:tc>
        <w:tc>
          <w:tcPr>
            <w:tcW w:w="3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84"/>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507"/>
        </w:trPr>
        <w:tc>
          <w:tcPr>
            <w:tcW w:w="40" w:type="dxa"/>
            <w:vAlign w:val="bottom"/>
          </w:tcPr>
          <w:p>
            <w:pPr>
              <w:spacing w:after="0"/>
              <w:rPr>
                <w:sz w:val="24"/>
                <w:szCs w:val="24"/>
                <w:color w:val="auto"/>
              </w:rPr>
            </w:pPr>
          </w:p>
        </w:tc>
        <w:tc>
          <w:tcPr>
            <w:tcW w:w="1460" w:type="dxa"/>
            <w:vAlign w:val="bottom"/>
            <w:gridSpan w:val="6"/>
          </w:tcPr>
          <w:p>
            <w:pPr>
              <w:spacing w:after="0"/>
              <w:rPr>
                <w:sz w:val="20"/>
                <w:szCs w:val="20"/>
                <w:color w:val="auto"/>
              </w:rPr>
            </w:pPr>
            <w:r>
              <w:rPr>
                <w:rFonts w:ascii="Arial" w:cs="Arial" w:eastAsia="Arial" w:hAnsi="Arial"/>
                <w:sz w:val="18"/>
                <w:szCs w:val="18"/>
                <w:b w:val="1"/>
                <w:bCs w:val="1"/>
                <w:color w:val="auto"/>
              </w:rPr>
              <w:t>Exhibit No.</w:t>
            </w:r>
          </w:p>
        </w:tc>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1060" w:type="dxa"/>
            <w:vAlign w:val="bottom"/>
            <w:tcBorders>
              <w:top w:val="single" w:sz="8" w:color="auto"/>
            </w:tcBorders>
          </w:tcPr>
          <w:p>
            <w:pPr>
              <w:spacing w:after="0"/>
              <w:rPr>
                <w:sz w:val="24"/>
                <w:szCs w:val="24"/>
                <w:color w:val="auto"/>
              </w:rPr>
            </w:pPr>
          </w:p>
        </w:tc>
        <w:tc>
          <w:tcPr>
            <w:tcW w:w="5180" w:type="dxa"/>
            <w:vAlign w:val="bottom"/>
          </w:tcPr>
          <w:p>
            <w:pPr>
              <w:spacing w:after="0"/>
              <w:rPr>
                <w:sz w:val="24"/>
                <w:szCs w:val="24"/>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196"/>
        </w:trPr>
        <w:tc>
          <w:tcPr>
            <w:tcW w:w="340" w:type="dxa"/>
            <w:vAlign w:val="bottom"/>
            <w:gridSpan w:val="3"/>
          </w:tcPr>
          <w:p>
            <w:pPr>
              <w:ind w:left="40"/>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3"/>
          </w:tcPr>
          <w:p>
            <w:pPr>
              <w:ind w:left="20"/>
              <w:spacing w:after="0" w:line="196" w:lineRule="exact"/>
              <w:rPr>
                <w:sz w:val="20"/>
                <w:szCs w:val="20"/>
                <w:color w:val="auto"/>
              </w:rPr>
            </w:pPr>
            <w:r>
              <w:rPr>
                <w:rFonts w:ascii="Arial" w:cs="Arial" w:eastAsia="Arial" w:hAnsi="Arial"/>
                <w:sz w:val="18"/>
                <w:szCs w:val="18"/>
                <w:color w:val="auto"/>
                <w:w w:val="96"/>
              </w:rPr>
              <w:t>Second Amended and Restated Certificate of Incorporation of National Vision Holdings, Inc. -incorporated herein by reference to</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Exhibit 3.1 to the Company’s Current Report on Form 8-K filed on October 31, 2017.</w:t>
            </w:r>
          </w:p>
        </w:tc>
      </w:tr>
      <w:tr>
        <w:trPr>
          <w:trHeight w:val="230"/>
        </w:trPr>
        <w:tc>
          <w:tcPr>
            <w:tcW w:w="340" w:type="dxa"/>
            <w:vAlign w:val="bottom"/>
            <w:gridSpan w:val="3"/>
          </w:tcPr>
          <w:p>
            <w:pPr>
              <w:ind w:left="40"/>
              <w:spacing w:after="0"/>
              <w:rPr>
                <w:rFonts w:ascii="Arial" w:cs="Arial" w:eastAsia="Arial" w:hAnsi="Arial"/>
                <w:sz w:val="18"/>
                <w:szCs w:val="18"/>
                <w:color w:val="0000FF"/>
              </w:rPr>
            </w:pPr>
            <w:hyperlink r:id="rId17">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8"/>
              </w:rPr>
              <w:t>Second Amended and Restated Bylaws of National Vision Holdings, Inc. -incorporated herein by reference to Exhibit 3.2 to the</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Company’s Current Report on Form 8-K filed on October 31, 2017.</w:t>
            </w:r>
          </w:p>
        </w:tc>
      </w:tr>
      <w:tr>
        <w:trPr>
          <w:trHeight w:val="230"/>
        </w:trPr>
        <w:tc>
          <w:tcPr>
            <w:tcW w:w="360" w:type="dxa"/>
            <w:vAlign w:val="bottom"/>
            <w:gridSpan w:val="4"/>
          </w:tcPr>
          <w:p>
            <w:pPr>
              <w:ind w:left="40"/>
              <w:spacing w:after="0"/>
              <w:rPr>
                <w:rFonts w:ascii="Arial" w:cs="Arial" w:eastAsia="Arial" w:hAnsi="Arial"/>
                <w:sz w:val="18"/>
                <w:szCs w:val="18"/>
                <w:color w:val="0000FF"/>
                <w:w w:val="85"/>
              </w:rPr>
            </w:pPr>
            <w:hyperlink w:anchor="page50">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3"/>
              </w:rPr>
              <w:t>Joinder and Amendment and Restatement Agreement, including as Exhibit A thereto, the Amended and Restated Credit Agreement,</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6"/>
              </w:rPr>
              <w:t>dated as of July 18, 2019, by and among Nautilus Acquisition Holdings, Inc., National Vision, Inc., certain subsidiaries of National</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2"/>
              </w:rPr>
              <w:t>Vision, Inc., as guarantors, Goldman Sachs Bank USA, as former administrative agent and collateral agent, Bank of America, N.A., as</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new administrative agent and collateral agent, and the lenders from time to time party thereto.</w:t>
            </w:r>
          </w:p>
        </w:tc>
      </w:tr>
      <w:tr>
        <w:trPr>
          <w:trHeight w:val="230"/>
        </w:trPr>
        <w:tc>
          <w:tcPr>
            <w:tcW w:w="360" w:type="dxa"/>
            <w:vAlign w:val="bottom"/>
            <w:gridSpan w:val="4"/>
          </w:tcPr>
          <w:p>
            <w:pPr>
              <w:ind w:left="40"/>
              <w:spacing w:after="0"/>
              <w:rPr>
                <w:rFonts w:ascii="Arial" w:cs="Arial" w:eastAsia="Arial" w:hAnsi="Arial"/>
                <w:sz w:val="18"/>
                <w:szCs w:val="18"/>
                <w:color w:val="0000FF"/>
                <w:w w:val="85"/>
              </w:rPr>
            </w:pPr>
            <w:hyperlink w:anchor="page25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7"/>
              </w:rPr>
              <w:t>Certification of Periodic Report by Chief Executive Officer under Section 302 of the Sarbanes-Oxley Act of 2002 (filed herewith).</w:t>
            </w:r>
          </w:p>
        </w:tc>
      </w:tr>
      <w:tr>
        <w:trPr>
          <w:trHeight w:val="20"/>
        </w:trPr>
        <w:tc>
          <w:tcPr>
            <w:tcW w:w="4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gridSpan w:val="3"/>
          </w:tcPr>
          <w:p>
            <w:pPr>
              <w:spacing w:after="0" w:line="20" w:lineRule="exact"/>
              <w:rPr>
                <w:sz w:val="1"/>
                <w:szCs w:val="1"/>
                <w:color w:val="auto"/>
              </w:rPr>
            </w:pPr>
          </w:p>
        </w:tc>
      </w:tr>
      <w:tr>
        <w:trPr>
          <w:trHeight w:val="250"/>
        </w:trPr>
        <w:tc>
          <w:tcPr>
            <w:tcW w:w="360" w:type="dxa"/>
            <w:vAlign w:val="bottom"/>
            <w:gridSpan w:val="4"/>
          </w:tcPr>
          <w:p>
            <w:pPr>
              <w:ind w:left="40"/>
              <w:spacing w:after="0"/>
              <w:rPr>
                <w:rFonts w:ascii="Arial" w:cs="Arial" w:eastAsia="Arial" w:hAnsi="Arial"/>
                <w:sz w:val="18"/>
                <w:szCs w:val="18"/>
                <w:color w:val="0000FF"/>
                <w:w w:val="85"/>
              </w:rPr>
            </w:pPr>
            <w:hyperlink w:anchor="page251">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7"/>
              </w:rPr>
              <w:t>Certification of Periodic Report by Chief Financial Officer under Section 302 of the Sarbanes-Oxley Act of 2002 (filed herewith).</w:t>
            </w:r>
          </w:p>
        </w:tc>
      </w:tr>
      <w:tr>
        <w:trPr>
          <w:trHeight w:val="20"/>
        </w:trPr>
        <w:tc>
          <w:tcPr>
            <w:tcW w:w="4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gridSpan w:val="3"/>
          </w:tcPr>
          <w:p>
            <w:pPr>
              <w:spacing w:after="0" w:line="20" w:lineRule="exact"/>
              <w:rPr>
                <w:sz w:val="1"/>
                <w:szCs w:val="1"/>
                <w:color w:val="auto"/>
              </w:rPr>
            </w:pPr>
          </w:p>
        </w:tc>
      </w:tr>
      <w:tr>
        <w:trPr>
          <w:trHeight w:val="250"/>
        </w:trPr>
        <w:tc>
          <w:tcPr>
            <w:tcW w:w="360" w:type="dxa"/>
            <w:vAlign w:val="bottom"/>
            <w:gridSpan w:val="4"/>
          </w:tcPr>
          <w:p>
            <w:pPr>
              <w:ind w:left="40"/>
              <w:spacing w:after="0"/>
              <w:rPr>
                <w:rFonts w:ascii="Arial" w:cs="Arial" w:eastAsia="Arial" w:hAnsi="Arial"/>
                <w:sz w:val="18"/>
                <w:szCs w:val="18"/>
                <w:color w:val="0000FF"/>
                <w:w w:val="85"/>
              </w:rPr>
            </w:pPr>
            <w:hyperlink w:anchor="page252">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 Sarbanes-Oxley</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Act of 2002 (furnished herewith).</w:t>
            </w:r>
          </w:p>
        </w:tc>
      </w:tr>
      <w:tr>
        <w:trPr>
          <w:trHeight w:val="230"/>
        </w:trPr>
        <w:tc>
          <w:tcPr>
            <w:tcW w:w="360" w:type="dxa"/>
            <w:vAlign w:val="bottom"/>
            <w:gridSpan w:val="4"/>
          </w:tcPr>
          <w:p>
            <w:pPr>
              <w:ind w:left="40"/>
              <w:spacing w:after="0"/>
              <w:rPr>
                <w:rFonts w:ascii="Arial" w:cs="Arial" w:eastAsia="Arial" w:hAnsi="Arial"/>
                <w:sz w:val="18"/>
                <w:szCs w:val="18"/>
                <w:color w:val="0000FF"/>
                <w:w w:val="85"/>
              </w:rPr>
            </w:pPr>
            <w:hyperlink w:anchor="page253">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 Sarbanes-Oxley</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Act of 2002 (furnished herewith).</w:t>
            </w:r>
          </w:p>
        </w:tc>
      </w:tr>
      <w:tr>
        <w:trPr>
          <w:trHeight w:val="256"/>
        </w:trPr>
        <w:tc>
          <w:tcPr>
            <w:tcW w:w="40" w:type="dxa"/>
            <w:vAlign w:val="bottom"/>
          </w:tcPr>
          <w:p>
            <w:pPr>
              <w:spacing w:after="0"/>
              <w:rPr>
                <w:sz w:val="22"/>
                <w:szCs w:val="22"/>
                <w:color w:val="auto"/>
              </w:rPr>
            </w:pPr>
          </w:p>
        </w:tc>
        <w:tc>
          <w:tcPr>
            <w:tcW w:w="1460" w:type="dxa"/>
            <w:vAlign w:val="bottom"/>
            <w:gridSpan w:val="6"/>
          </w:tcPr>
          <w:p>
            <w:pPr>
              <w:spacing w:after="0"/>
              <w:rPr>
                <w:sz w:val="20"/>
                <w:szCs w:val="20"/>
                <w:color w:val="auto"/>
              </w:rPr>
            </w:pPr>
            <w:r>
              <w:rPr>
                <w:rFonts w:ascii="Arial" w:cs="Arial" w:eastAsia="Arial" w:hAnsi="Arial"/>
                <w:sz w:val="18"/>
                <w:szCs w:val="18"/>
                <w:color w:val="auto"/>
              </w:rPr>
              <w:t>101.INS</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3"/>
              </w:rPr>
              <w:t>XBRL Instance Document - the instance document does not appear in the Interactive Data File because its XBRL tags are embedded</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within Inline XBRL document</w:t>
            </w:r>
          </w:p>
        </w:tc>
      </w:tr>
      <w:tr>
        <w:trPr>
          <w:trHeight w:val="270"/>
        </w:trPr>
        <w:tc>
          <w:tcPr>
            <w:tcW w:w="40" w:type="dxa"/>
            <w:vAlign w:val="bottom"/>
          </w:tcPr>
          <w:p>
            <w:pPr>
              <w:spacing w:after="0"/>
              <w:rPr>
                <w:sz w:val="23"/>
                <w:szCs w:val="23"/>
                <w:color w:val="auto"/>
              </w:rPr>
            </w:pPr>
          </w:p>
        </w:tc>
        <w:tc>
          <w:tcPr>
            <w:tcW w:w="1460" w:type="dxa"/>
            <w:vAlign w:val="bottom"/>
            <w:gridSpan w:val="6"/>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40" w:type="dxa"/>
            <w:vAlign w:val="bottom"/>
          </w:tcPr>
          <w:p>
            <w:pPr>
              <w:spacing w:after="0"/>
              <w:rPr>
                <w:sz w:val="23"/>
                <w:szCs w:val="23"/>
                <w:color w:val="auto"/>
              </w:rPr>
            </w:pPr>
          </w:p>
        </w:tc>
        <w:tc>
          <w:tcPr>
            <w:tcW w:w="1460" w:type="dxa"/>
            <w:vAlign w:val="bottom"/>
            <w:gridSpan w:val="6"/>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40" w:type="dxa"/>
            <w:vAlign w:val="bottom"/>
          </w:tcPr>
          <w:p>
            <w:pPr>
              <w:spacing w:after="0"/>
              <w:rPr>
                <w:sz w:val="23"/>
                <w:szCs w:val="23"/>
                <w:color w:val="auto"/>
              </w:rPr>
            </w:pPr>
          </w:p>
        </w:tc>
        <w:tc>
          <w:tcPr>
            <w:tcW w:w="1460" w:type="dxa"/>
            <w:vAlign w:val="bottom"/>
            <w:gridSpan w:val="6"/>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40" w:type="dxa"/>
            <w:vAlign w:val="bottom"/>
          </w:tcPr>
          <w:p>
            <w:pPr>
              <w:spacing w:after="0"/>
              <w:rPr>
                <w:sz w:val="23"/>
                <w:szCs w:val="23"/>
                <w:color w:val="auto"/>
              </w:rPr>
            </w:pPr>
          </w:p>
        </w:tc>
        <w:tc>
          <w:tcPr>
            <w:tcW w:w="1460" w:type="dxa"/>
            <w:vAlign w:val="bottom"/>
            <w:gridSpan w:val="6"/>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40" w:type="dxa"/>
            <w:vAlign w:val="bottom"/>
          </w:tcPr>
          <w:p>
            <w:pPr>
              <w:spacing w:after="0"/>
              <w:rPr>
                <w:sz w:val="23"/>
                <w:szCs w:val="23"/>
                <w:color w:val="auto"/>
              </w:rPr>
            </w:pPr>
          </w:p>
        </w:tc>
        <w:tc>
          <w:tcPr>
            <w:tcW w:w="1460" w:type="dxa"/>
            <w:vAlign w:val="bottom"/>
            <w:gridSpan w:val="6"/>
          </w:tcPr>
          <w:p>
            <w:pPr>
              <w:spacing w:after="0"/>
              <w:rPr>
                <w:sz w:val="20"/>
                <w:szCs w:val="20"/>
                <w:color w:val="auto"/>
              </w:rPr>
            </w:pPr>
            <w:r>
              <w:rPr>
                <w:rFonts w:ascii="Arial" w:cs="Arial" w:eastAsia="Arial" w:hAnsi="Arial"/>
                <w:sz w:val="18"/>
                <w:szCs w:val="18"/>
                <w:color w:val="auto"/>
              </w:rPr>
              <w:t>101.PRE</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40" w:lineRule="exact"/>
        <w:rPr>
          <w:sz w:val="20"/>
          <w:szCs w:val="20"/>
          <w:color w:val="auto"/>
        </w:rPr>
      </w:pPr>
    </w:p>
    <w:p>
      <w:pPr>
        <w:ind w:left="1520" w:right="620" w:hanging="1485"/>
        <w:spacing w:after="0" w:line="277" w:lineRule="auto"/>
        <w:tabs>
          <w:tab w:leader="none" w:pos="1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cover page of the Company’s Quarterly report on Form 10-Q for the quarter ended June 29, 2019, formatted in Inline XBRL (included within the Exhibit 101 attachments)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08"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National Vision Holdings, Inc.</w:t>
      </w:r>
    </w:p>
    <w:p>
      <w:pPr>
        <w:spacing w:after="0" w:line="333"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Dated: August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67"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Dated: August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67"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125" w:right="439" w:bottom="1440" w:gutter="0" w:footer="0" w:header="0"/>
        </w:sectPr>
      </w:pPr>
    </w:p>
    <w:bookmarkStart w:id="49" w:name="page50"/>
    <w:bookmarkEnd w:id="49"/>
    <w:p>
      <w:pPr>
        <w:jc w:val="right"/>
        <w:spacing w:after="0"/>
        <w:rPr>
          <w:sz w:val="20"/>
          <w:szCs w:val="20"/>
          <w:color w:val="auto"/>
        </w:rPr>
      </w:pPr>
      <w:r>
        <w:rPr>
          <w:rFonts w:ascii="Arial" w:cs="Arial" w:eastAsia="Arial" w:hAnsi="Arial"/>
          <w:sz w:val="20"/>
          <w:szCs w:val="20"/>
          <w:b w:val="1"/>
          <w:bCs w:val="1"/>
          <w:color w:val="auto"/>
        </w:rPr>
        <w:t>Exhibit 10.1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JOINDER AND AMENDMENT AND RESTATEMENT AGREEMENT</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7"/>
          <w:szCs w:val="17"/>
          <w:color w:val="auto"/>
        </w:rPr>
        <w:t>JOINDER AND AMENDMENT AND RESTATEMENT AGREEMENT, dated as of July 18, 2019 (this “</w:t>
      </w:r>
      <w:r>
        <w:rPr>
          <w:rFonts w:ascii="Arial" w:cs="Arial" w:eastAsia="Arial" w:hAnsi="Arial"/>
          <w:sz w:val="17"/>
          <w:szCs w:val="17"/>
          <w:b w:val="1"/>
          <w:bCs w:val="1"/>
          <w:color w:val="auto"/>
        </w:rPr>
        <w:t>Restatement Agreement</w:t>
      </w:r>
      <w:r>
        <w:rPr>
          <w:rFonts w:ascii="Arial" w:cs="Arial" w:eastAsia="Arial" w:hAnsi="Arial"/>
          <w:sz w:val="17"/>
          <w:szCs w:val="17"/>
          <w:color w:val="auto"/>
        </w:rPr>
        <w:t>”), by and among the New Lenders (as defined below) party hereto, the Letter of Credit Issuers party hereto, NAUTILUS ACQUISITION HOLDINGS, INC., a Delaware corporation (“</w:t>
      </w:r>
      <w:r>
        <w:rPr>
          <w:rFonts w:ascii="Arial" w:cs="Arial" w:eastAsia="Arial" w:hAnsi="Arial"/>
          <w:sz w:val="17"/>
          <w:szCs w:val="17"/>
          <w:b w:val="1"/>
          <w:bCs w:val="1"/>
          <w:color w:val="auto"/>
        </w:rPr>
        <w:t>Holdings</w:t>
      </w:r>
      <w:r>
        <w:rPr>
          <w:rFonts w:ascii="Arial" w:cs="Arial" w:eastAsia="Arial" w:hAnsi="Arial"/>
          <w:sz w:val="17"/>
          <w:szCs w:val="17"/>
          <w:color w:val="auto"/>
        </w:rPr>
        <w:t>”), NATIONAL VISION, INC., a Georgia corporation (the “</w:t>
      </w:r>
      <w:r>
        <w:rPr>
          <w:rFonts w:ascii="Arial" w:cs="Arial" w:eastAsia="Arial" w:hAnsi="Arial"/>
          <w:sz w:val="17"/>
          <w:szCs w:val="17"/>
          <w:b w:val="1"/>
          <w:bCs w:val="1"/>
          <w:color w:val="auto"/>
        </w:rPr>
        <w:t>Borrower</w:t>
      </w:r>
      <w:r>
        <w:rPr>
          <w:rFonts w:ascii="Arial" w:cs="Arial" w:eastAsia="Arial" w:hAnsi="Arial"/>
          <w:sz w:val="17"/>
          <w:szCs w:val="17"/>
          <w:color w:val="auto"/>
        </w:rPr>
        <w:t>”), the subsidiaries of the Borrower party hereto, as guarantors (together with Holdings, the “</w:t>
      </w:r>
      <w:r>
        <w:rPr>
          <w:rFonts w:ascii="Arial" w:cs="Arial" w:eastAsia="Arial" w:hAnsi="Arial"/>
          <w:sz w:val="17"/>
          <w:szCs w:val="17"/>
          <w:b w:val="1"/>
          <w:bCs w:val="1"/>
          <w:color w:val="auto"/>
        </w:rPr>
        <w:t>Guarantors</w:t>
      </w:r>
      <w:r>
        <w:rPr>
          <w:rFonts w:ascii="Arial" w:cs="Arial" w:eastAsia="Arial" w:hAnsi="Arial"/>
          <w:sz w:val="17"/>
          <w:szCs w:val="17"/>
          <w:color w:val="auto"/>
        </w:rPr>
        <w:t>”), the Former Agent (as defined below) and Bank of America, N.A. (“</w:t>
      </w:r>
      <w:r>
        <w:rPr>
          <w:rFonts w:ascii="Arial" w:cs="Arial" w:eastAsia="Arial" w:hAnsi="Arial"/>
          <w:sz w:val="17"/>
          <w:szCs w:val="17"/>
          <w:b w:val="1"/>
          <w:bCs w:val="1"/>
          <w:color w:val="auto"/>
        </w:rPr>
        <w:t>Bank of America</w:t>
      </w:r>
      <w:r>
        <w:rPr>
          <w:rFonts w:ascii="Arial" w:cs="Arial" w:eastAsia="Arial" w:hAnsi="Arial"/>
          <w:sz w:val="17"/>
          <w:szCs w:val="17"/>
          <w:color w:val="auto"/>
        </w:rPr>
        <w:t>”) in its capacity as administrative agent and collateral agent on and after the Restatement Effective Date (as defined below) (the “</w:t>
      </w:r>
      <w:r>
        <w:rPr>
          <w:rFonts w:ascii="Arial" w:cs="Arial" w:eastAsia="Arial" w:hAnsi="Arial"/>
          <w:sz w:val="17"/>
          <w:szCs w:val="17"/>
          <w:b w:val="1"/>
          <w:bCs w:val="1"/>
          <w:color w:val="auto"/>
        </w:rPr>
        <w:t>Administrative Agent</w:t>
      </w:r>
      <w:r>
        <w:rPr>
          <w:rFonts w:ascii="Arial" w:cs="Arial" w:eastAsia="Arial" w:hAnsi="Arial"/>
          <w:sz w:val="17"/>
          <w:szCs w:val="17"/>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WHEREAS, reference is hereby made to that certain First Lien Credit Agreement dated as of March 13, 2014 (as amended, restated, amended and restated, supplemented or otherwise modified prior to the date hereof, the “</w:t>
      </w:r>
      <w:r>
        <w:rPr>
          <w:rFonts w:ascii="Arial" w:cs="Arial" w:eastAsia="Arial" w:hAnsi="Arial"/>
          <w:sz w:val="18"/>
          <w:szCs w:val="18"/>
          <w:b w:val="1"/>
          <w:bCs w:val="1"/>
          <w:color w:val="auto"/>
        </w:rPr>
        <w:t>Credit Agreement</w:t>
      </w:r>
      <w:r>
        <w:rPr>
          <w:rFonts w:ascii="Arial" w:cs="Arial" w:eastAsia="Arial" w:hAnsi="Arial"/>
          <w:sz w:val="18"/>
          <w:szCs w:val="18"/>
          <w:color w:val="auto"/>
        </w:rPr>
        <w:t>” and, as further amended by this Restatement Agreement, the “</w:t>
      </w:r>
      <w:r>
        <w:rPr>
          <w:rFonts w:ascii="Arial" w:cs="Arial" w:eastAsia="Arial" w:hAnsi="Arial"/>
          <w:sz w:val="18"/>
          <w:szCs w:val="18"/>
          <w:b w:val="1"/>
          <w:bCs w:val="1"/>
          <w:color w:val="auto"/>
        </w:rPr>
        <w:t>Amended and Restated Credit Agreement</w:t>
      </w:r>
      <w:r>
        <w:rPr>
          <w:rFonts w:ascii="Arial" w:cs="Arial" w:eastAsia="Arial" w:hAnsi="Arial"/>
          <w:sz w:val="18"/>
          <w:szCs w:val="18"/>
          <w:color w:val="auto"/>
        </w:rPr>
        <w:t>”) among Holdings, the Borrower, the lending institutions from time to time parties thereto and Goldman Sachs Bank USA (“</w:t>
      </w:r>
      <w:r>
        <w:rPr>
          <w:rFonts w:ascii="Arial" w:cs="Arial" w:eastAsia="Arial" w:hAnsi="Arial"/>
          <w:sz w:val="18"/>
          <w:szCs w:val="18"/>
          <w:b w:val="1"/>
          <w:bCs w:val="1"/>
          <w:color w:val="auto"/>
        </w:rPr>
        <w:t>GS Bank</w:t>
      </w:r>
      <w:r>
        <w:rPr>
          <w:rFonts w:ascii="Arial" w:cs="Arial" w:eastAsia="Arial" w:hAnsi="Arial"/>
          <w:sz w:val="18"/>
          <w:szCs w:val="18"/>
          <w:color w:val="auto"/>
        </w:rPr>
        <w:t>”), in its capacity as administrative agent and collateral agent (capitalized terms used but not defined herein having the meaning provided in the Amended and Restated Credit Agreement);</w:t>
      </w:r>
    </w:p>
    <w:p>
      <w:pPr>
        <w:spacing w:after="0" w:line="184"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subject to the terms and conditions of the Credit Agreement, the Borrower may establish New Term Loan Commitments and New</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Commitments by, among other things, entering into one or more Joinder Agreements with New Term Loan Lenders and New Revolving Loan Lenders, as applicable;</w:t>
      </w:r>
    </w:p>
    <w:p>
      <w:pPr>
        <w:spacing w:after="0" w:line="18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WHEREAS, the Borrower has requested that the Credit Agreement be amended pursuant to Section 2.14 of the Credit Agreement to, among other things, (i) establish commitments for the Term A Loans in an aggregate principal amount of $420,000,000 (the “</w:t>
      </w:r>
      <w:r>
        <w:rPr>
          <w:rFonts w:ascii="Arial" w:cs="Arial" w:eastAsia="Arial" w:hAnsi="Arial"/>
          <w:sz w:val="18"/>
          <w:szCs w:val="18"/>
          <w:b w:val="1"/>
          <w:bCs w:val="1"/>
          <w:color w:val="auto"/>
        </w:rPr>
        <w:t>Term A Loan Facility</w:t>
      </w:r>
      <w:r>
        <w:rPr>
          <w:rFonts w:ascii="Arial" w:cs="Arial" w:eastAsia="Arial" w:hAnsi="Arial"/>
          <w:sz w:val="18"/>
          <w:szCs w:val="18"/>
          <w:color w:val="auto"/>
        </w:rPr>
        <w:t>” and such commitments, the “</w:t>
      </w:r>
      <w:r>
        <w:rPr>
          <w:rFonts w:ascii="Arial" w:cs="Arial" w:eastAsia="Arial" w:hAnsi="Arial"/>
          <w:sz w:val="18"/>
          <w:szCs w:val="18"/>
          <w:b w:val="1"/>
          <w:bCs w:val="1"/>
          <w:color w:val="auto"/>
        </w:rPr>
        <w:t>Term A Loan Commitments</w:t>
      </w:r>
      <w:r>
        <w:rPr>
          <w:rFonts w:ascii="Arial" w:cs="Arial" w:eastAsia="Arial" w:hAnsi="Arial"/>
          <w:sz w:val="18"/>
          <w:szCs w:val="18"/>
          <w:color w:val="auto"/>
        </w:rPr>
        <w:t>”) and (ii) establish a new Revolving Credit Facility in an aggregate principal amount of up to $300,000,000 (the “</w:t>
      </w:r>
      <w:r>
        <w:rPr>
          <w:rFonts w:ascii="Arial" w:cs="Arial" w:eastAsia="Arial" w:hAnsi="Arial"/>
          <w:sz w:val="18"/>
          <w:szCs w:val="18"/>
          <w:b w:val="1"/>
          <w:bCs w:val="1"/>
          <w:color w:val="auto"/>
        </w:rPr>
        <w:t>Revolving Credit Facility</w:t>
      </w:r>
      <w:r>
        <w:rPr>
          <w:rFonts w:ascii="Arial" w:cs="Arial" w:eastAsia="Arial" w:hAnsi="Arial"/>
          <w:sz w:val="18"/>
          <w:szCs w:val="18"/>
          <w:color w:val="auto"/>
        </w:rPr>
        <w:t>” and such commitments, the “</w:t>
      </w:r>
      <w:r>
        <w:rPr>
          <w:rFonts w:ascii="Arial" w:cs="Arial" w:eastAsia="Arial" w:hAnsi="Arial"/>
          <w:sz w:val="18"/>
          <w:szCs w:val="18"/>
          <w:b w:val="1"/>
          <w:bCs w:val="1"/>
          <w:color w:val="auto"/>
        </w:rPr>
        <w:t>Revolving Credit Commitments</w:t>
      </w:r>
      <w:r>
        <w:rPr>
          <w:rFonts w:ascii="Arial" w:cs="Arial" w:eastAsia="Arial" w:hAnsi="Arial"/>
          <w:sz w:val="18"/>
          <w:szCs w:val="18"/>
          <w:color w:val="auto"/>
        </w:rPr>
        <w:t>”); the term “</w:t>
      </w:r>
      <w:r>
        <w:rPr>
          <w:rFonts w:ascii="Arial" w:cs="Arial" w:eastAsia="Arial" w:hAnsi="Arial"/>
          <w:sz w:val="18"/>
          <w:szCs w:val="18"/>
          <w:b w:val="1"/>
          <w:bCs w:val="1"/>
          <w:color w:val="auto"/>
        </w:rPr>
        <w:t>New Facilities</w:t>
      </w:r>
      <w:r>
        <w:rPr>
          <w:rFonts w:ascii="Arial" w:cs="Arial" w:eastAsia="Arial" w:hAnsi="Arial"/>
          <w:sz w:val="18"/>
          <w:szCs w:val="18"/>
          <w:color w:val="auto"/>
        </w:rPr>
        <w:t>” means the Term A Facility and the Revolving Credit Facility;</w:t>
      </w:r>
    </w:p>
    <w:p>
      <w:pPr>
        <w:spacing w:after="0" w:line="188"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WHEREAS, the proceeds of the New Facilities will be used (i) to repay all principal, interest fees and other amounts outstanding (other than contingent obligations for which no claim has been asserted) under the Credit Agreement immediately prior to the Restatement Effective Date, and to permanently terminate all Commitments (as defined in the Credit Agreement) (the “</w:t>
      </w:r>
      <w:r>
        <w:rPr>
          <w:rFonts w:ascii="Arial" w:cs="Arial" w:eastAsia="Arial" w:hAnsi="Arial"/>
          <w:sz w:val="16"/>
          <w:szCs w:val="16"/>
          <w:b w:val="1"/>
          <w:bCs w:val="1"/>
          <w:color w:val="auto"/>
        </w:rPr>
        <w:t>Existing Commitments</w:t>
      </w:r>
      <w:r>
        <w:rPr>
          <w:rFonts w:ascii="Arial" w:cs="Arial" w:eastAsia="Arial" w:hAnsi="Arial"/>
          <w:sz w:val="16"/>
          <w:szCs w:val="16"/>
          <w:color w:val="auto"/>
        </w:rPr>
        <w:t>”) in connection therewith, (ii) to pay fees and expenses incurred in connection with the transactions contemplated hereby and (iii) for general corporate purposes (collectively, the “</w:t>
      </w:r>
      <w:r>
        <w:rPr>
          <w:rFonts w:ascii="Arial" w:cs="Arial" w:eastAsia="Arial" w:hAnsi="Arial"/>
          <w:sz w:val="16"/>
          <w:szCs w:val="16"/>
          <w:b w:val="1"/>
          <w:bCs w:val="1"/>
          <w:color w:val="auto"/>
        </w:rPr>
        <w:t>Transactions</w:t>
      </w:r>
      <w:r>
        <w:rPr>
          <w:rFonts w:ascii="Arial" w:cs="Arial" w:eastAsia="Arial" w:hAnsi="Arial"/>
          <w:sz w:val="16"/>
          <w:szCs w:val="16"/>
          <w:color w:val="auto"/>
        </w:rPr>
        <w:t>”);</w:t>
      </w:r>
    </w:p>
    <w:p>
      <w:pPr>
        <w:spacing w:after="0" w:line="150"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 xml:space="preserve">WHEREAS, each financial institution listed on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of the Amended and Restated Credit Agreement (each a “</w:t>
      </w:r>
      <w:r>
        <w:rPr>
          <w:rFonts w:ascii="Arial" w:cs="Arial" w:eastAsia="Arial" w:hAnsi="Arial"/>
          <w:sz w:val="18"/>
          <w:szCs w:val="18"/>
          <w:b w:val="1"/>
          <w:bCs w:val="1"/>
          <w:color w:val="auto"/>
        </w:rPr>
        <w:t>New Lender</w:t>
      </w:r>
      <w:r>
        <w:rPr>
          <w:rFonts w:ascii="Arial" w:cs="Arial" w:eastAsia="Arial" w:hAnsi="Arial"/>
          <w:sz w:val="18"/>
          <w:szCs w:val="18"/>
          <w:color w:val="auto"/>
        </w:rPr>
        <w:t xml:space="preserve">”) has agreed to provide a Term A Loan Commitment and/or a Revolving Credit Commitment, in the amount(s) set forth opposite such New Lender’s name on such </w:t>
      </w:r>
      <w:r>
        <w:rPr>
          <w:rFonts w:ascii="Arial" w:cs="Arial" w:eastAsia="Arial" w:hAnsi="Arial"/>
          <w:sz w:val="18"/>
          <w:szCs w:val="18"/>
          <w:u w:val="single" w:color="auto"/>
          <w:color w:val="auto"/>
        </w:rPr>
        <w:t>Schedule</w:t>
      </w:r>
      <w:r>
        <w:rPr>
          <w:rFonts w:ascii="Arial" w:cs="Arial" w:eastAsia="Arial" w:hAnsi="Arial"/>
          <w:sz w:val="18"/>
          <w:szCs w:val="18"/>
          <w:color w:val="auto"/>
        </w:rPr>
        <w:t>;</w:t>
      </w:r>
    </w:p>
    <w:p>
      <w:pPr>
        <w:spacing w:after="0" w:line="180"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WHEREAS, each of the parties hereto hereby agrees that (i) on the Restatement Effective Date, GS Bank will resign as Administrative Agent and Collateral Agent under the Credit Agreement and the Credit Documents (in such capacities, the “</w:t>
      </w:r>
      <w:r>
        <w:rPr>
          <w:rFonts w:ascii="Arial" w:cs="Arial" w:eastAsia="Arial" w:hAnsi="Arial"/>
          <w:sz w:val="16"/>
          <w:szCs w:val="16"/>
          <w:b w:val="1"/>
          <w:bCs w:val="1"/>
          <w:color w:val="auto"/>
        </w:rPr>
        <w:t>Former Agent</w:t>
      </w:r>
      <w:r>
        <w:rPr>
          <w:rFonts w:ascii="Arial" w:cs="Arial" w:eastAsia="Arial" w:hAnsi="Arial"/>
          <w:sz w:val="16"/>
          <w:szCs w:val="16"/>
          <w:color w:val="auto"/>
        </w:rPr>
        <w:t>”) and (ii) from and after the Restatement</w:t>
      </w:r>
    </w:p>
    <w:p>
      <w:pPr>
        <w:spacing w:after="0" w:line="12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Effective Date, Bank of America will act as the successor Administrative Agent and Collateral Agent under the Amended and Restated Credit Agreement and the other Credit Documents; and</w:t>
      </w:r>
    </w:p>
    <w:p>
      <w:pPr>
        <w:sectPr>
          <w:pgSz w:w="11900" w:h="16838" w:orient="portrait"/>
          <w:cols w:equalWidth="0" w:num="1">
            <w:col w:w="11420"/>
          </w:cols>
          <w:pgMar w:left="240" w:top="805" w:right="239" w:bottom="1440" w:gutter="0" w:footer="0" w:header="0"/>
        </w:sectPr>
      </w:pPr>
    </w:p>
    <w:bookmarkStart w:id="50" w:name="page51"/>
    <w:bookmarkEnd w:id="50"/>
    <w:p>
      <w:pPr>
        <w:ind w:left="660"/>
        <w:spacing w:after="0"/>
        <w:rPr>
          <w:sz w:val="20"/>
          <w:szCs w:val="20"/>
          <w:color w:val="auto"/>
        </w:rPr>
      </w:pPr>
      <w:r>
        <w:rPr>
          <w:rFonts w:ascii="Arial" w:cs="Arial" w:eastAsia="Arial" w:hAnsi="Arial"/>
          <w:sz w:val="16"/>
          <w:szCs w:val="16"/>
          <w:color w:val="auto"/>
        </w:rPr>
        <w:t>NOW, THEREFORE, in consideration of the premises and agreements, provisions and covenants herein contained, the parties hereto hereby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8" w:lineRule="exact"/>
        <w:rPr>
          <w:sz w:val="20"/>
          <w:szCs w:val="20"/>
          <w:color w:val="auto"/>
        </w:rPr>
      </w:pPr>
    </w:p>
    <w:p>
      <w:pPr>
        <w:ind w:right="320" w:firstLine="648"/>
        <w:spacing w:after="0" w:line="32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 and Restatement of the Credit Agreement, Exhibits and Schedules; Establishment of New Loans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Commitments</w:t>
      </w:r>
      <w:r>
        <w:rPr>
          <w:rFonts w:ascii="Arial" w:cs="Arial" w:eastAsia="Arial" w:hAnsi="Arial"/>
          <w:sz w:val="18"/>
          <w:szCs w:val="18"/>
          <w:color w:val="auto"/>
        </w:rPr>
        <w:t>.</w:t>
      </w:r>
    </w:p>
    <w:p>
      <w:pPr>
        <w:spacing w:after="0" w:line="143" w:lineRule="exact"/>
        <w:rPr>
          <w:sz w:val="20"/>
          <w:szCs w:val="20"/>
          <w:color w:val="auto"/>
        </w:rPr>
      </w:pPr>
    </w:p>
    <w:p>
      <w:pPr>
        <w:ind w:right="40" w:firstLine="656"/>
        <w:spacing w:after="0" w:line="264" w:lineRule="auto"/>
        <w:tabs>
          <w:tab w:leader="none" w:pos="102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Credit Agreement is, effective as of the Restatement Effective Date, hereby amended and restated in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Additionally, the schedules and exhibits to the Credit Agreement are hereby amended and restated in the form attached to the Amended and Restated Credit Agreement.</w:t>
      </w:r>
    </w:p>
    <w:p>
      <w:pPr>
        <w:spacing w:after="0" w:line="181" w:lineRule="exact"/>
        <w:rPr>
          <w:rFonts w:ascii="Arial" w:cs="Arial" w:eastAsia="Arial" w:hAnsi="Arial"/>
          <w:sz w:val="18"/>
          <w:szCs w:val="18"/>
          <w:color w:val="auto"/>
        </w:rPr>
      </w:pPr>
    </w:p>
    <w:p>
      <w:pPr>
        <w:ind w:left="1040" w:hanging="384"/>
        <w:spacing w:after="0"/>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As of the Restatement Effective Date, the schedules to the Security Agreement are hereby amended and restated in the form attached as </w:t>
      </w:r>
      <w:r>
        <w:rPr>
          <w:rFonts w:ascii="Arial" w:cs="Arial" w:eastAsia="Arial" w:hAnsi="Arial"/>
          <w:sz w:val="16"/>
          <w:szCs w:val="16"/>
          <w:u w:val="single" w:color="auto"/>
          <w:color w:val="auto"/>
        </w:rPr>
        <w:t>Exhibit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B</w:t>
      </w:r>
      <w:r>
        <w:rPr>
          <w:rFonts w:ascii="Arial" w:cs="Arial" w:eastAsia="Arial" w:hAnsi="Arial"/>
          <w:sz w:val="18"/>
          <w:szCs w:val="18"/>
          <w:color w:val="auto"/>
        </w:rPr>
        <w:t xml:space="preserve"> hereto.</w:t>
      </w:r>
    </w:p>
    <w:p>
      <w:pPr>
        <w:spacing w:after="0" w:line="210" w:lineRule="exact"/>
        <w:rPr>
          <w:rFonts w:ascii="Arial" w:cs="Arial" w:eastAsia="Arial" w:hAnsi="Arial"/>
          <w:sz w:val="16"/>
          <w:szCs w:val="16"/>
          <w:color w:val="auto"/>
        </w:rPr>
      </w:pPr>
    </w:p>
    <w:p>
      <w:pPr>
        <w:ind w:right="400" w:firstLine="656"/>
        <w:spacing w:after="0" w:line="308" w:lineRule="auto"/>
        <w:tabs>
          <w:tab w:leader="none" w:pos="1028"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Each party hereto acknowledges and agrees that, effective as of the Restatement Effective Date, the Commitments under the Term A Loan Facility and the Revolving Credit Facility will be set forth on </w:t>
      </w:r>
      <w:r>
        <w:rPr>
          <w:rFonts w:ascii="Arial" w:cs="Arial" w:eastAsia="Arial" w:hAnsi="Arial"/>
          <w:sz w:val="17"/>
          <w:szCs w:val="17"/>
          <w:u w:val="single" w:color="auto"/>
          <w:color w:val="auto"/>
        </w:rPr>
        <w:t>Schedule 1.1(b)</w:t>
      </w:r>
      <w:r>
        <w:rPr>
          <w:rFonts w:ascii="Arial" w:cs="Arial" w:eastAsia="Arial" w:hAnsi="Arial"/>
          <w:sz w:val="17"/>
          <w:szCs w:val="17"/>
          <w:color w:val="auto"/>
        </w:rPr>
        <w:t xml:space="preserve"> of the Amended and Restated Credit Agreement.</w:t>
      </w:r>
    </w:p>
    <w:p>
      <w:pPr>
        <w:spacing w:after="0" w:line="146" w:lineRule="exact"/>
        <w:rPr>
          <w:rFonts w:ascii="Arial" w:cs="Arial" w:eastAsia="Arial" w:hAnsi="Arial"/>
          <w:sz w:val="17"/>
          <w:szCs w:val="17"/>
          <w:color w:val="auto"/>
        </w:rPr>
      </w:pPr>
    </w:p>
    <w:p>
      <w:pPr>
        <w:ind w:right="760" w:firstLine="656"/>
        <w:spacing w:after="0" w:line="277" w:lineRule="auto"/>
        <w:tabs>
          <w:tab w:leader="none" w:pos="1038"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Each New Lender party hereto hereby agrees to commit to provide its respective Term A Loan Commitment and/or Revolving Credit Commitment in the amount(s) set forth on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of the Amended and Restated Credit Agreement.</w:t>
      </w:r>
    </w:p>
    <w:p>
      <w:pPr>
        <w:spacing w:after="0" w:line="170" w:lineRule="exact"/>
        <w:rPr>
          <w:rFonts w:ascii="Arial" w:cs="Arial" w:eastAsia="Arial" w:hAnsi="Arial"/>
          <w:sz w:val="18"/>
          <w:szCs w:val="18"/>
          <w:color w:val="auto"/>
        </w:rPr>
      </w:pPr>
    </w:p>
    <w:p>
      <w:pPr>
        <w:ind w:right="40" w:firstLine="656"/>
        <w:spacing w:after="0" w:line="270" w:lineRule="auto"/>
        <w:tabs>
          <w:tab w:leader="none" w:pos="1028" w:val="left"/>
        </w:tabs>
        <w:numPr>
          <w:ilvl w:val="0"/>
          <w:numId w:val="26"/>
        </w:numPr>
        <w:rPr>
          <w:rFonts w:ascii="Arial" w:cs="Arial" w:eastAsia="Arial" w:hAnsi="Arial"/>
          <w:sz w:val="17"/>
          <w:szCs w:val="17"/>
          <w:color w:val="auto"/>
        </w:rPr>
      </w:pPr>
      <w:r>
        <w:rPr>
          <w:rFonts w:ascii="Arial" w:cs="Arial" w:eastAsia="Arial" w:hAnsi="Arial"/>
          <w:sz w:val="17"/>
          <w:szCs w:val="17"/>
          <w:color w:val="auto"/>
        </w:rPr>
        <w:t>Each New Lender (i) confirms that it has received a copy of the Amended and Restated Credit Agreement and the other Credit Documents and the exhibits thereto, together with copies of the financial statements referred to therein and such other documents and information as it has deemed appropriate to make its own credit analysis and decision to enter into this Restatement Agreement; (ii) agrees that it will, independently and without reliance upon the Administrative Agent, the Collateral Agent, the Former Agent, any other New Lender or any other Lender or Agent and based on such documents and information as it shall deem appropriate at the time, continue to make its own credit decisions in taking or not taking action under the Amended and Restated Credit Agreement; (iii) appoints and authorizes the Administrative Agent and the Collateral Agent to take such action as agent on its behalf and to exercise such powers under the Amended and Restated Credit Agreement and the other Credit Documents as are delegated to the Administrative Agent or the Collateral Agent, as the case may be, by the terms thereof, together with such powers as are reasonably incidental thereto; and (iv) agrees that it will perform in accordance with their terms all of the obligations which by the terms of the Amended and Restated Credit Agreement are required to be performed by it as a Lender.</w:t>
      </w:r>
    </w:p>
    <w:p>
      <w:pPr>
        <w:spacing w:after="0" w:line="177" w:lineRule="exact"/>
        <w:rPr>
          <w:rFonts w:ascii="Arial" w:cs="Arial" w:eastAsia="Arial" w:hAnsi="Arial"/>
          <w:sz w:val="17"/>
          <w:szCs w:val="17"/>
          <w:color w:val="auto"/>
        </w:rPr>
      </w:pPr>
    </w:p>
    <w:p>
      <w:pPr>
        <w:ind w:right="40" w:firstLine="656"/>
        <w:spacing w:after="0" w:line="264" w:lineRule="auto"/>
        <w:tabs>
          <w:tab w:leader="none" w:pos="99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obligations in respect of the New Facilities established hereby shall (i) constitute Obligations and have all of the benefits thereof, (ii) be guaranteed by the Guarantors pursuant to the Guarantee and (iii) be secured by the Liens granted to the Collateral Agent for the benefit of the Secured Parties under the Security Documents.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Resignation and Appointment of Administrative Agent; Consents</w:t>
      </w:r>
      <w:r>
        <w:rPr>
          <w:rFonts w:ascii="Arial" w:cs="Arial" w:eastAsia="Arial" w:hAnsi="Arial"/>
          <w:sz w:val="17"/>
          <w:szCs w:val="17"/>
          <w:color w:val="auto"/>
        </w:rPr>
        <w:t>. Effective as of the Restatement Effective Date, each of the parties hereto hereby consents to (i) the resignation of GS Bank as Administrative Agent and Collateral Agent under the Credit Agreement and the Credit Documents effective as of the Restatement Effective Date and (ii) the appointment of Bank of America as successor Administrative Agent and Collateral Agent under the Amended and Restated Credit Agreement and the other Credit Documents effective as of the Restatement Effective Date.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68" w:right="259" w:bottom="1440" w:gutter="0" w:footer="0" w:header="0"/>
        </w:sectPr>
      </w:pPr>
    </w:p>
    <w:bookmarkStart w:id="51" w:name="page52"/>
    <w:bookmarkEnd w:id="51"/>
    <w:p>
      <w:pPr>
        <w:ind w:left="660"/>
        <w:spacing w:after="0"/>
        <w:tabs>
          <w:tab w:leader="none" w:pos="17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Reference to and Effect on the Credit Documents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9" w:lineRule="auto"/>
        <w:tabs>
          <w:tab w:leader="none" w:pos="1028"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 and after the Restatement Effective Date, each reference in the Credit Agreement to “this Credit Agreement,” “hereunder,” “hereof” or words of like import referring to the Credit Agreement, and each reference in the other Credit Documents to “the Credit Agreement,” “thereunder,” “thereof” or words of like import referring to the “Credit Agreement,” shall mean and be a reference to the Amended and Restated Credit Agreement, and any reference to “Obligations” shall mean and be a reference to the “Obligations” under the Amended and Restated Credit Agreement.</w:t>
      </w:r>
    </w:p>
    <w:p>
      <w:pPr>
        <w:spacing w:after="0" w:line="171" w:lineRule="exact"/>
        <w:rPr>
          <w:rFonts w:ascii="Arial" w:cs="Arial" w:eastAsia="Arial" w:hAnsi="Arial"/>
          <w:sz w:val="17"/>
          <w:szCs w:val="17"/>
          <w:color w:val="auto"/>
        </w:rPr>
      </w:pPr>
    </w:p>
    <w:p>
      <w:pPr>
        <w:ind w:right="140" w:firstLine="656"/>
        <w:spacing w:after="0" w:line="259" w:lineRule="auto"/>
        <w:tabs>
          <w:tab w:leader="none" w:pos="1038"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and after the Restatement Effective Date, the Credit Agreement, as specifically amended and restated by this Restatement Agreement, and the other Credit Documents are, and shall continue to be, in full force and effect, and are hereby in all respects ratified and confirmed (including the Guarantee and all Liens and security interests granted thereunder, which shall continue to secure the Obligations in effect after giving effect to this Restatement Agreement).</w:t>
      </w:r>
    </w:p>
    <w:p>
      <w:pPr>
        <w:spacing w:after="0" w:line="186" w:lineRule="exact"/>
        <w:rPr>
          <w:rFonts w:ascii="Arial" w:cs="Arial" w:eastAsia="Arial" w:hAnsi="Arial"/>
          <w:sz w:val="18"/>
          <w:szCs w:val="18"/>
          <w:color w:val="auto"/>
        </w:rPr>
      </w:pPr>
    </w:p>
    <w:p>
      <w:pPr>
        <w:ind w:right="380" w:firstLine="656"/>
        <w:spacing w:after="0" w:line="277" w:lineRule="auto"/>
        <w:tabs>
          <w:tab w:leader="none" w:pos="10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From and after the Restatement Effective Date, this Restatement Agreement shall be deemed a Credit Document for all purposes under the Amended and Restated Credit Agreement and the other Credit Documents.</w:t>
      </w:r>
    </w:p>
    <w:p>
      <w:pPr>
        <w:spacing w:after="0" w:line="170" w:lineRule="exact"/>
        <w:rPr>
          <w:rFonts w:ascii="Arial" w:cs="Arial" w:eastAsia="Arial" w:hAnsi="Arial"/>
          <w:sz w:val="18"/>
          <w:szCs w:val="18"/>
          <w:color w:val="auto"/>
        </w:rPr>
      </w:pPr>
    </w:p>
    <w:p>
      <w:pPr>
        <w:ind w:right="140" w:firstLine="656"/>
        <w:spacing w:after="0" w:line="264" w:lineRule="auto"/>
        <w:tabs>
          <w:tab w:leader="none" w:pos="10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parties hereto acknowledge and agree that the amendment and restatement of the Credit Agreement pursuant to this Restatement Agreement and all other Credit Documents amended and/or executed and delivered in connection herewith shall not constitute a novation of the Obligations or the Credit Agreement and the other Credit Documents as in effect prior to the Restatement Effective Date.</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Conditions of Effectiveness</w:t>
      </w:r>
      <w:r>
        <w:rPr>
          <w:rFonts w:ascii="Arial" w:cs="Arial" w:eastAsia="Arial" w:hAnsi="Arial"/>
          <w:sz w:val="18"/>
          <w:szCs w:val="18"/>
          <w:color w:val="auto"/>
        </w:rPr>
        <w:t>. This Restatement Agreement and the obligations of the parties hereunder and under the Amended and Restated Credit Agreement shall become effective upon the satisfaction of each of the conditions set forth in Section 6.1 of the Amended and Restated Credit Agreement.</w:t>
      </w:r>
    </w:p>
    <w:p>
      <w:pPr>
        <w:spacing w:after="0" w:line="18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Borrower hereby represents and warrants to the Administrative Agent and the Lenders as of the Restatement Effective Date that the representations and warranties of each Credit Party contained in Section 8 of the Amended and Restated Credit Agreement and in the other Credit Documents are true and correct in all material respects (provided that any such representations and warranties which are qualified by materiality, material adverse effect or similar language shall be true and correct in all respects) on and as of the Restatement Effective Date after giving effect to the transactions contemplated by this Restatement Agreement (except where such representations and warranties expressly relate to an earlier date, in which case such representations and warranties shall have been true and correct in all material respects (provided that any such representations and warranties which are qualified by materiality, material adverse effect or similar language shall be true and correct in all respects) as of such earlier date.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68" w:right="259" w:bottom="1440" w:gutter="0" w:footer="0" w:header="0"/>
        </w:sectPr>
      </w:pPr>
    </w:p>
    <w:bookmarkStart w:id="52" w:name="page53"/>
    <w:bookmarkEnd w:id="52"/>
    <w:p>
      <w:pPr>
        <w:ind w:right="160" w:firstLine="648"/>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Liens Unimpaired</w:t>
      </w:r>
      <w:r>
        <w:rPr>
          <w:rFonts w:ascii="Arial" w:cs="Arial" w:eastAsia="Arial" w:hAnsi="Arial"/>
          <w:sz w:val="18"/>
          <w:szCs w:val="18"/>
          <w:color w:val="auto"/>
        </w:rPr>
        <w:t>. As of the date hereof, each Credit Party reaffirms its obligations under the Credit Documents to which it is party and its prior grant and the validity of the Liens granted by it pursuant to the Security Documents, and after giving effect to this Restatement Agreement, except as specifically modified by this Restatement Agreement, the Credit Documents (and the Liens and security interests granted pursuant thereto) shall remain in full force and effect and are hereby ratified and confirmed in all respects. After giving effect to this Restatement Agreement, neither the modification of the Credit Agreement effected pursuant to this Restatement Agreement nor the execution, delivery, performance or effectiveness of this Restatement Agreement:</w:t>
      </w:r>
    </w:p>
    <w:p>
      <w:pPr>
        <w:spacing w:after="0" w:line="220" w:lineRule="exact"/>
        <w:rPr>
          <w:sz w:val="20"/>
          <w:szCs w:val="20"/>
          <w:color w:val="auto"/>
        </w:rPr>
      </w:pPr>
    </w:p>
    <w:p>
      <w:pPr>
        <w:ind w:left="660" w:firstLine="645"/>
        <w:spacing w:after="0" w:line="324" w:lineRule="auto"/>
        <w:tabs>
          <w:tab w:leader="none" w:pos="2156"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impairs the validity, effectiveness or priority of the Liens granted pursuant to any Credit Document, and such Liens continue unimpaired with the same priority to secure repayment of all Obligations, whether heretofore or hereafter incurred; or</w:t>
      </w:r>
    </w:p>
    <w:p>
      <w:pPr>
        <w:spacing w:after="0" w:line="143" w:lineRule="exact"/>
        <w:rPr>
          <w:rFonts w:ascii="Arial" w:cs="Arial" w:eastAsia="Arial" w:hAnsi="Arial"/>
          <w:sz w:val="18"/>
          <w:szCs w:val="18"/>
          <w:color w:val="auto"/>
        </w:rPr>
      </w:pPr>
    </w:p>
    <w:p>
      <w:pPr>
        <w:ind w:left="660" w:right="20" w:firstLine="645"/>
        <w:spacing w:after="0" w:line="277" w:lineRule="auto"/>
        <w:tabs>
          <w:tab w:leader="none" w:pos="17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requires that any new filings be made or other action taken to perfect or to maintain the perfection of such Liens, other than such UCC financing statements amendments necessary to effectuate the assignment referred to in Section 7.</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Resignation, Appointment, Assignment; Covenants of Former Agent</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69" w:lineRule="auto"/>
        <w:tabs>
          <w:tab w:leader="none" w:pos="1025"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The Former Agent hereby resigns as Administrative Agent and Collateral Agent under the Credit Agreement and the other Credit Documents effective upon the Restatement Effective Date. The parties hereto hereby agree that the resignation of GS Bank as the Administrative Agent and as the Collateral Agent under the Credit Documents shall become effective as of the Restatement Effective Date. On the Restatement Effective Date, the Former Agent’s rights, powers, duties and obligations (other than such rights, powers, duties and obligations expressly provided herein) as Administrative Agent and Collateral Agent shall be terminated, without any further act or deed on the part of the Former Agent, the Lenders or any of the other parties to the Credit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Former Agent and any of its Related Parties shall retain their rights to expense reimbursement, indemnification and other similar obligations or contingent obligations and any other provisions of the Credit Documents pertaining to GS Bank in its capacity as Administrative Agent and Collateral Agent that survive its resignation and/or that survive the satisfaction of the Obligations to the extent expressly provided for under the Credit Documents. The resignation by the Former Agent hereunder shall also constitute its resignation as Swingline Lender and as an Letter of Credit Issuer, and the resigning Letter of Credit Issuer and resigning Swingline Lender shall not be required to issue any further Letters of Credit or extend any further Swingline Loans under the Credit Agreement.</w:t>
      </w:r>
    </w:p>
    <w:p>
      <w:pPr>
        <w:spacing w:after="0" w:line="183"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Each of the parties hereto waive any notice and eligibility requirements of, and any inconsistency or conflict with, the provisions of any of the Credit Documents with respect to the resignation of GS Bank as Administrative Agent, Collateral Agent, Swingline Lender and Letter of Credit Issuer.</w:t>
      </w:r>
    </w:p>
    <w:p>
      <w:pPr>
        <w:spacing w:after="0" w:line="147" w:lineRule="exact"/>
        <w:rPr>
          <w:sz w:val="20"/>
          <w:szCs w:val="20"/>
          <w:color w:val="auto"/>
        </w:rPr>
      </w:pPr>
    </w:p>
    <w:p>
      <w:pPr>
        <w:ind w:firstLine="656"/>
        <w:spacing w:after="0" w:line="270" w:lineRule="auto"/>
        <w:tabs>
          <w:tab w:leader="none" w:pos="1038" w:val="left"/>
        </w:tabs>
        <w:numPr>
          <w:ilvl w:val="0"/>
          <w:numId w:val="30"/>
        </w:numPr>
        <w:rPr>
          <w:rFonts w:ascii="Arial" w:cs="Arial" w:eastAsia="Arial" w:hAnsi="Arial"/>
          <w:sz w:val="17"/>
          <w:szCs w:val="17"/>
          <w:color w:val="auto"/>
        </w:rPr>
      </w:pPr>
      <w:r>
        <w:rPr>
          <w:rFonts w:ascii="Arial" w:cs="Arial" w:eastAsia="Arial" w:hAnsi="Arial"/>
          <w:sz w:val="17"/>
          <w:szCs w:val="17"/>
          <w:color w:val="auto"/>
        </w:rPr>
        <w:t>Effective as of the Restatement Effective Date, (i) Bank of America is hereby appointed as the Administrative Agent and the Collateral Agent under the Amended and Restated Credit Agreement and the other Credit Documents, (ii) Bank of America hereby accepts its appointment as the Administrative Agent and Collateral Agent under the Amended and Restated Credit Agreement and any other Credit Documents, (iii) the parties hereto hereby consent to the appointment of Bank of America as Administrative Agent and Collateral Agent, and (iv) Bank of America, shall succeed to, and be vested with, all of the rights, powers, privileges and duties of the Administrative Agent and the Collateral Agent under the Amended and Restated Credit Agreement and the other Credit Documents (except for the continuing rights of the Former Agent as contemplated above). Immediately upon the Restatement Effective Date (i) Bank of America or its Affiliate shall succeed to and become vested with all of the rights, powers, privileges and duties of the retiring Letter of Credit Issuer and Swingline Lender and (ii) the retiring Letter of Credit Issuer and Swingline Lender shall be discharged from all of their respective duties and obligations hereunder or under the other Credit Documents.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53" w:name="page54"/>
    <w:bookmarkEnd w:id="53"/>
    <w:p>
      <w:pPr>
        <w:ind w:left="-20" w:firstLine="656"/>
        <w:spacing w:after="0" w:line="285" w:lineRule="auto"/>
        <w:tabs>
          <w:tab w:leader="none" w:pos="100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Former Agent, from and after the Restatement Effective Date, assigns (without recourse, representation or warranty of any kind) to Bank of America, as the Administrative Agent and Collateral Agent for the benefit of the Secured Parties, all Liens, security interests, mortgages and powers of attorney under the Security Documents and the other Credit Documents and all of its rights, titles, interests, indemnities, privileges, claims and demands of the Former Agent as secured party, mortgagee, beneficiary or Lien holder under or in connection with any and all Security Documents and the other Credit Documents and all other Liens of record (including Uniform Commercial Code financing statements or other financing statements) filed in favor of the Former Agent pursuant to the Credit Documents and all Liens granted pursuant to the Credit Documents with respect to Intellectual Property (as defined in the Security Agreement) filed with the United States Patent and Trademark Office or the United States Copyright Office (if any), and Bank of America, as the Administrative Agent and Collateral Agent on behalf of the Secured Parties, hereby assumes all such Liens, security interests and mortgages, for its benefit and for the benefit of the other Secured Parties, and all such rights, titles, interests, indemnities, privileges, claims and demands of the Former Agent as secured party, mortgagee, beneficiary or Lien holder under or in connection with the Security Documents and the other Credit Documents and such financing statements and other Liens. All of such Liens and security interests shall in all respects be continuing and in full force and effect following execution and delivery of this Restatement Agreement. Without limiting the generality of the foregoing, any and all references to GS Bank on any publicly filed document, to the extent such filing relates to Liens and security interests assigned to the Administrative Agent and Collateral Agent hereby and until such filing is modified to reflect the interest of Bank of America, as Administrative Agent and Collateral Agent, shall, with respect to such Liens and security interests, constitute a reference to the Former Agent as collateral representative of the Administrative Agent and Collateral Agent (provided, that the parties hereto agree that the Former Agent’s role as such collateral representative shall impose no duties, obligations, or liabilities on the Former Agent, including, without limitation, any duty to take any type of direction regarding any action to be taken against such Collateral, whether such direction comes from the Administrative Agent, the Lenders, or otherwise and the Former Agent shall be entitled to all the benefits of the Administrative Agent and Collateral Agent under the Credit Documents with respect to all actions taken or omitted to be taken in such capacity).</w:t>
      </w:r>
    </w:p>
    <w:p>
      <w:pPr>
        <w:spacing w:after="0" w:line="170" w:lineRule="exact"/>
        <w:rPr>
          <w:rFonts w:ascii="Arial" w:cs="Arial" w:eastAsia="Arial" w:hAnsi="Arial"/>
          <w:sz w:val="16"/>
          <w:szCs w:val="16"/>
          <w:color w:val="auto"/>
        </w:rPr>
      </w:pPr>
    </w:p>
    <w:p>
      <w:pPr>
        <w:ind w:left="-20" w:right="80" w:firstLine="656"/>
        <w:spacing w:after="0" w:line="259" w:lineRule="auto"/>
        <w:tabs>
          <w:tab w:leader="none" w:pos="10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Borrower represents and warrants that (i) executed copies of each Credit Document to which the Former Agent is a party, together with all exhibits and schedules thereto, have been delivered to the Administrative Agent (or its counsel) on or prior to the date hereof, and (ii) as of the date hereof, there have been no amendments, supplements or consents to the Credit Documents to which the Former Agent is a party, except as otherwise provided to the successor Administrative Agent.</w:t>
      </w:r>
    </w:p>
    <w:p>
      <w:pPr>
        <w:spacing w:after="0" w:line="186" w:lineRule="exact"/>
        <w:rPr>
          <w:rFonts w:ascii="Arial" w:cs="Arial" w:eastAsia="Arial" w:hAnsi="Arial"/>
          <w:sz w:val="18"/>
          <w:szCs w:val="18"/>
          <w:color w:val="auto"/>
        </w:rPr>
      </w:pPr>
    </w:p>
    <w:p>
      <w:pPr>
        <w:jc w:val="both"/>
        <w:ind w:left="-20" w:right="20" w:firstLine="656"/>
        <w:spacing w:after="0" w:line="259" w:lineRule="auto"/>
        <w:tabs>
          <w:tab w:leader="none" w:pos="10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Former Agent covenants and agrees that it will, in each case at the Borrower’s or the Lenders’ sole expense deliver to Collateral Agent, on or about the Restatement Effective Date, the possessory collateral described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which have been delivered by the Credit Parties to the Former Agent. The Credit Parties hereby consent to all actions taken by the Former Agent and the Administrative Agent pursuant to and in accordance with this Section 7.</w:t>
      </w:r>
    </w:p>
    <w:p>
      <w:pPr>
        <w:spacing w:after="0" w:line="186" w:lineRule="exact"/>
        <w:rPr>
          <w:rFonts w:ascii="Arial" w:cs="Arial" w:eastAsia="Arial" w:hAnsi="Arial"/>
          <w:sz w:val="18"/>
          <w:szCs w:val="18"/>
          <w:color w:val="auto"/>
        </w:rPr>
      </w:pPr>
    </w:p>
    <w:p>
      <w:pPr>
        <w:ind w:left="-20" w:right="60" w:firstLine="656"/>
        <w:spacing w:after="0" w:line="286" w:lineRule="auto"/>
        <w:tabs>
          <w:tab w:leader="none" w:pos="98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Former Agent agrees that to further effectuate the purposes of this Restatement Agreement, it shall, in each case at the Borrower’s sole expense, upon the Administrative Agent’s or Collateral Agent’s reasonable written request, use commercially reasonable efforts to (i) furnish additional releases, assignments, termination statements and such other documents, instruments and agreements as are customary in order to effect and evidence more fully the matters covered hereby, (ii) deliver to Collateral Agent any original instruments, promissory notes and other property that the Former Agent holds in its capacity as Administrative Agent or Collateral Agent for the Secured Parties and (iii) execute any additional documents and take such further actions that are reasonably necessary to effect the purposes hereof (including executing any documents relating to any Credit Document reasonably necessary to vest in the Administrative Agent and the Collateral Agent all of the powers and rights of the Former Agent). The Former Agent agrees that the Collateral Agent is authorized as it may reasonably deem necessary or appropriate to file such UCC financing statements and amendments under the Uniform Commercial Code as the Administrative Agent reasonably deems necessary to effectuate the matters referred to herein. The Credit Parties further agree that the Collateral Agent is authorized as it may reasonably deem necessary or appropriate to file initial financing statements, assignments of financing statements, financing change statements, and amended financing statements, to make any and all filings with the United States Patent and Trademark Office, the United States Copyright Office, and to make any amendment, assignment or other filings with respect to any real property covered by mortgages in any United States (including in any state thereof), in each instance covering any of the applicable Collateral in order to (i) effectuate the matters referred to herein or (ii) continue the perfection of the Liens granted or purported to be granted by the Security Documents.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368" w:right="239" w:bottom="1440" w:gutter="0" w:footer="0" w:header="0"/>
        </w:sectPr>
      </w:pPr>
    </w:p>
    <w:bookmarkStart w:id="54" w:name="page55"/>
    <w:bookmarkEnd w:id="54"/>
    <w:p>
      <w:pPr>
        <w:ind w:left="-40" w:right="100" w:firstLine="656"/>
        <w:spacing w:after="0" w:line="270" w:lineRule="auto"/>
        <w:tabs>
          <w:tab w:leader="none" w:pos="99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Former Agent may, but shall have no obligation to, disclose to, share with or otherwise exchange with the Administrative Agent information and documents under this Section 7 that is otherwise protected against disclosure by privilege, doctrine or rule of confidentiality (such information and documents, “</w:t>
      </w:r>
      <w:r>
        <w:rPr>
          <w:rFonts w:ascii="Arial" w:cs="Arial" w:eastAsia="Arial" w:hAnsi="Arial"/>
          <w:sz w:val="17"/>
          <w:szCs w:val="17"/>
          <w:b w:val="1"/>
          <w:bCs w:val="1"/>
          <w:color w:val="auto"/>
        </w:rPr>
        <w:t>Privileged Information</w:t>
      </w:r>
      <w:r>
        <w:rPr>
          <w:rFonts w:ascii="Arial" w:cs="Arial" w:eastAsia="Arial" w:hAnsi="Arial"/>
          <w:sz w:val="17"/>
          <w:szCs w:val="17"/>
          <w:color w:val="auto"/>
        </w:rPr>
        <w:t>”) and the disclosure, sharing or other exchange of any Privileged Information by the Former Agent shall in no way give rise to, or be deemed to give rise to, any duty, obligation or liability of any kind or nature on the part of the Former Agent in connection therewith (including, without limitation, any duty or obligation to disclose, share or exchange any other or further Privileged Information or any liability for any failure to do so). In connection with the foregoing, it is the intention and understanding of the Former Agent and the Administrative Agent that any disclosure, sharing or other exchange of Privileged Information will not (i) waive any applicable privilege, doctrine or rule of protection from disclosure, (ii) diminish the confidentiality of the Privileged Information or (iii) be asserted as a waiver of any such privilege, doctrine or rule by the Former Agent or the Administrative Agent. If requested by the Former Agent, the Administrative Agent will thereupon enter into any agreement or agreements as the Former Agent may reasonably request in order to further effectuate the intentions set forth in the foregoing sentence.</w:t>
      </w:r>
    </w:p>
    <w:p>
      <w:pPr>
        <w:spacing w:after="0" w:line="177" w:lineRule="exact"/>
        <w:rPr>
          <w:rFonts w:ascii="Arial" w:cs="Arial" w:eastAsia="Arial" w:hAnsi="Arial"/>
          <w:sz w:val="17"/>
          <w:szCs w:val="17"/>
          <w:color w:val="auto"/>
        </w:rPr>
      </w:pPr>
    </w:p>
    <w:p>
      <w:pPr>
        <w:ind w:left="-40" w:firstLine="656"/>
        <w:spacing w:after="0" w:line="271" w:lineRule="auto"/>
        <w:tabs>
          <w:tab w:leader="none" w:pos="998"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Notwithstanding anything in this Restatement Agreement or in the Credit Documents to the contrary, the provisions of Section 12, Section 13.5 and Section 13.6 of the Credit Agreement shall continue in effect for the benefit of the Former Agent and its sub-agents, in each case, in their capacity as administrative agent, collateral agent, sub-agent or Former Agent, as applicable, in connection with or as a result of the execution or delivery of this Restatement Agreement or any other Credit Document, or any amendment, amendment and restatement, modification or waiver of the provisions hereof or thereof, or any agreement or instrument contemplated hereby or thereby, the performance by the parties hereto of their respective obligations hereunder or thereunder (including without limitation for any actions taken or omitted to be taken by any of them in connection with any of the foregoing while the Former Agent was acting as administrative agent and collateral agent under the Credit Documents and while the Former Agent was acting as bailee or sub-agent for the Administrative Agent) or the consummation of the transactions contemplated hereby or thereby.</w:t>
      </w:r>
    </w:p>
    <w:p>
      <w:pPr>
        <w:spacing w:after="0" w:line="178" w:lineRule="exact"/>
        <w:rPr>
          <w:rFonts w:ascii="Arial" w:cs="Arial" w:eastAsia="Arial" w:hAnsi="Arial"/>
          <w:sz w:val="17"/>
          <w:szCs w:val="17"/>
          <w:color w:val="auto"/>
        </w:rPr>
      </w:pPr>
    </w:p>
    <w:p>
      <w:pPr>
        <w:ind w:left="-40" w:firstLine="656"/>
        <w:spacing w:after="0" w:line="288" w:lineRule="auto"/>
        <w:tabs>
          <w:tab w:leader="none" w:pos="958"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Notwithstanding anything in this Restatement Agreement or in the Credit Documents to the contrary, all parties hereto agree that the knowledge of the Former Agent under the Credit Agreement and the other Credit Documents in effect immediately prior to the date hereof shall not be imputed to the Administrative Agent or the Collateral Agent. Bank of America shall have no responsibility or liability for any actions taken or omitted to be taken by GS Bank in its capacity as the Former Agent or as bailee or sub-agent hereunder or for any other action taken or omitted to be taken by the Former Agent or any of its Related Parties in any way related to the Credit Documents (including any actions taken or omitted to be taken by the Former Agent under this Restatement Agreement) or otherwise contemplated by any Credit Document or any agreement contemplated by any Credit Document. GS Bank shall have no responsibility or liability for any actions taken or omitted to be taken by Bank of America in its capacity as Administrative Agent or the Collateral Agent or for any other action taken or omitted to be taken by the Administrative Agent or the Collateral Agent or any of their Related Parties in any way related to the Credit Documents (including any actions taken or omitted to be taken by the Administrative Agent or Collateral Agent under this Restatement Agreement) or otherwise contemplated by any Credit Document or any agreement contemplated by any Credit Document.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80" w:top="368" w:right="279" w:bottom="1440" w:gutter="0" w:footer="0" w:header="0"/>
        </w:sectPr>
      </w:pPr>
    </w:p>
    <w:bookmarkStart w:id="55" w:name="page56"/>
    <w:bookmarkEnd w:id="55"/>
    <w:p>
      <w:pPr>
        <w:jc w:val="both"/>
        <w:ind w:right="100" w:firstLine="648"/>
        <w:spacing w:after="0" w:line="286"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Release of Former Agent</w:t>
      </w:r>
      <w:r>
        <w:rPr>
          <w:rFonts w:ascii="Arial" w:cs="Arial" w:eastAsia="Arial" w:hAnsi="Arial"/>
          <w:sz w:val="17"/>
          <w:szCs w:val="17"/>
          <w:color w:val="auto"/>
        </w:rPr>
        <w:t>. The Borrower (on behalf of itself and the other Credit Parties), the Administrative Agent and the Former Agent hereby agree that neither the Former Agent, nor any of its affiliates, nor any of its and their respective officers, directors, employees, representatives, agents or affiliates, shall bear any responsibility or liability for any actions taken or omitted to be taken by the Administrative Agent.</w:t>
      </w:r>
    </w:p>
    <w:p>
      <w:pPr>
        <w:spacing w:after="0" w:line="166"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Amendment, Modification and Waiver</w:t>
      </w:r>
      <w:r>
        <w:rPr>
          <w:rFonts w:ascii="Arial" w:cs="Arial" w:eastAsia="Arial" w:hAnsi="Arial"/>
          <w:sz w:val="18"/>
          <w:szCs w:val="18"/>
          <w:color w:val="auto"/>
        </w:rPr>
        <w:t>. This Restatement Agreement may not be amended, modified or waived except by an instrument or instruments in writing signed and delivered on behalf of each of the parties hereto.</w:t>
      </w:r>
    </w:p>
    <w:p>
      <w:pPr>
        <w:spacing w:after="0" w:line="170"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RESTATEMENT AGREEMENT AND THE RIGHTS AND OBLIGATIONS OF THE PARTIES HEREUNDER SHALL BE GOVERNED BY, AND CONSTRUED AND INTERPRETED IN ACCORDANCE WITH, THE LAW OF THE STATE OF NEW YORK. Sections 13.13 and 13.15 of the Credit Agreement are incorporated herein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Restatement Agreement which is invalid or unenforceable in any jurisdiction shall, as to that jurisdiction, be ineffective to the extent of such invalidity or unenforceability without rendering invalid or unenforceable the remaining terms and provisions of this Restatement Agreement or affecting the validity or enforceability of any of the terms or provisions of this Restatement Agreement in any other jurisdiction. If any provision of this Restatement Agreement is so broad as to be unenforceable, the provision shall be interpreted to be only so broad as would be enforceable.</w:t>
      </w:r>
    </w:p>
    <w:p>
      <w:pPr>
        <w:spacing w:after="0" w:line="188" w:lineRule="exact"/>
        <w:rPr>
          <w:sz w:val="20"/>
          <w:szCs w:val="20"/>
          <w:color w:val="auto"/>
        </w:rPr>
      </w:pPr>
    </w:p>
    <w:p>
      <w:pPr>
        <w:ind w:right="880" w:firstLine="648"/>
        <w:spacing w:after="0" w:line="308"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Counterparts</w:t>
      </w:r>
      <w:r>
        <w:rPr>
          <w:rFonts w:ascii="Arial" w:cs="Arial" w:eastAsia="Arial" w:hAnsi="Arial"/>
          <w:sz w:val="17"/>
          <w:szCs w:val="17"/>
          <w:color w:val="auto"/>
        </w:rPr>
        <w:t>. This Restatement Agreement may be executed in counterparts (including by facsimile or other electronic transmission), each of which shall be deemed to be an original, but all of which shall constitute one and the same agreement.</w:t>
      </w: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368" w:right="339" w:bottom="1440" w:gutter="0" w:footer="0" w:header="0"/>
        </w:sectPr>
      </w:pPr>
    </w:p>
    <w:bookmarkStart w:id="56" w:name="page57"/>
    <w:bookmarkEnd w:id="56"/>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this Restatement Agreement to be executed by their respective authorized officers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first above written.</w:t>
      </w:r>
    </w:p>
    <w:p>
      <w:pPr>
        <w:spacing w:after="0" w:line="162"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NAUTILUS ACQUISITION HOLDINGS, INC.</w:t>
      </w:r>
      <w:r>
        <w:rPr>
          <w:rFonts w:ascii="Arial" w:cs="Arial" w:eastAsia="Arial" w:hAnsi="Arial"/>
          <w:sz w:val="18"/>
          <w:szCs w:val="18"/>
          <w:color w:val="auto"/>
        </w:rPr>
        <w:t>, as Holdings</w:t>
      </w:r>
    </w:p>
    <w:p>
      <w:pPr>
        <w:spacing w:after="0" w:line="200" w:lineRule="exact"/>
        <w:rPr>
          <w:sz w:val="20"/>
          <w:szCs w:val="20"/>
          <w:color w:val="auto"/>
        </w:rPr>
      </w:pPr>
    </w:p>
    <w:p>
      <w:pPr>
        <w:spacing w:after="0" w:line="245" w:lineRule="exact"/>
        <w:rPr>
          <w:sz w:val="20"/>
          <w:szCs w:val="20"/>
          <w:color w:val="auto"/>
        </w:rPr>
      </w:pPr>
    </w:p>
    <w:p>
      <w:pPr>
        <w:jc w:val="center"/>
        <w:ind w:right="440"/>
        <w:spacing w:after="0"/>
        <w:tabs>
          <w:tab w:leader="none" w:pos="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3166110</wp:posOffset>
            </wp:positionH>
            <wp:positionV relativeFrom="paragraph">
              <wp:posOffset>-10160</wp:posOffset>
            </wp:positionV>
            <wp:extent cx="1155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55700" cy="8890"/>
                    </a:xfrm>
                    <a:prstGeom prst="rect">
                      <a:avLst/>
                    </a:prstGeom>
                    <a:noFill/>
                  </pic:spPr>
                </pic:pic>
              </a:graphicData>
            </a:graphic>
          </wp:anchor>
        </w:drawing>
      </w:r>
    </w:p>
    <w:p>
      <w:pPr>
        <w:spacing w:after="0" w:line="3"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Name: Patrick R. Moore</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7"/>
          <w:szCs w:val="17"/>
          <w:color w:val="auto"/>
        </w:rPr>
        <w:t>Title: Senior Vice President and</w:t>
      </w:r>
    </w:p>
    <w:p>
      <w:pPr>
        <w:spacing w:after="0" w:line="21"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NATIONAL VISION, INC.</w:t>
      </w:r>
      <w:r>
        <w:rPr>
          <w:rFonts w:ascii="Arial" w:cs="Arial" w:eastAsia="Arial" w:hAnsi="Arial"/>
          <w:sz w:val="18"/>
          <w:szCs w:val="18"/>
          <w:color w:val="auto"/>
        </w:rPr>
        <w:t>, as Borrower</w:t>
      </w:r>
    </w:p>
    <w:p>
      <w:pPr>
        <w:spacing w:after="0" w:line="200" w:lineRule="exact"/>
        <w:rPr>
          <w:sz w:val="20"/>
          <w:szCs w:val="20"/>
          <w:color w:val="auto"/>
        </w:rPr>
      </w:pPr>
    </w:p>
    <w:p>
      <w:pPr>
        <w:spacing w:after="0" w:line="245" w:lineRule="exact"/>
        <w:rPr>
          <w:sz w:val="20"/>
          <w:szCs w:val="20"/>
          <w:color w:val="auto"/>
        </w:rPr>
      </w:pPr>
    </w:p>
    <w:p>
      <w:pPr>
        <w:jc w:val="center"/>
        <w:ind w:right="440"/>
        <w:spacing w:after="0"/>
        <w:tabs>
          <w:tab w:leader="none" w:pos="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3166110</wp:posOffset>
            </wp:positionH>
            <wp:positionV relativeFrom="paragraph">
              <wp:posOffset>-10160</wp:posOffset>
            </wp:positionV>
            <wp:extent cx="1155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155700" cy="8890"/>
                    </a:xfrm>
                    <a:prstGeom prst="rect">
                      <a:avLst/>
                    </a:prstGeom>
                    <a:noFill/>
                  </pic:spPr>
                </pic:pic>
              </a:graphicData>
            </a:graphic>
          </wp:anchor>
        </w:drawing>
      </w:r>
    </w:p>
    <w:p>
      <w:pPr>
        <w:spacing w:after="0" w:line="3"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Name: Patrick R. Moore</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7"/>
          <w:szCs w:val="17"/>
          <w:color w:val="auto"/>
        </w:rPr>
        <w:t>Title: Senior Vice President and</w:t>
      </w:r>
    </w:p>
    <w:p>
      <w:pPr>
        <w:spacing w:after="0" w:line="21"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OPTI-VISION FINANCE SERVICES, LLC</w:t>
      </w:r>
      <w:r>
        <w:rPr>
          <w:rFonts w:ascii="Arial" w:cs="Arial" w:eastAsia="Arial" w:hAnsi="Arial"/>
          <w:sz w:val="18"/>
          <w:szCs w:val="18"/>
          <w:color w:val="auto"/>
        </w:rPr>
        <w:t>, as Subsidiary Guarantor</w:t>
      </w:r>
    </w:p>
    <w:p>
      <w:pPr>
        <w:spacing w:after="0" w:line="200" w:lineRule="exact"/>
        <w:rPr>
          <w:sz w:val="20"/>
          <w:szCs w:val="20"/>
          <w:color w:val="auto"/>
        </w:rPr>
      </w:pPr>
    </w:p>
    <w:p>
      <w:pPr>
        <w:spacing w:after="0" w:line="245" w:lineRule="exact"/>
        <w:rPr>
          <w:sz w:val="20"/>
          <w:szCs w:val="20"/>
          <w:color w:val="auto"/>
        </w:rPr>
      </w:pPr>
    </w:p>
    <w:p>
      <w:pPr>
        <w:jc w:val="center"/>
        <w:ind w:right="440"/>
        <w:spacing w:after="0"/>
        <w:tabs>
          <w:tab w:leader="none" w:pos="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3166110</wp:posOffset>
            </wp:positionH>
            <wp:positionV relativeFrom="paragraph">
              <wp:posOffset>-10160</wp:posOffset>
            </wp:positionV>
            <wp:extent cx="1155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155700" cy="8890"/>
                    </a:xfrm>
                    <a:prstGeom prst="rect">
                      <a:avLst/>
                    </a:prstGeom>
                    <a:noFill/>
                  </pic:spPr>
                </pic:pic>
              </a:graphicData>
            </a:graphic>
          </wp:anchor>
        </w:drawing>
      </w:r>
    </w:p>
    <w:p>
      <w:pPr>
        <w:spacing w:after="0" w:line="3"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Name: Patrick R. Moore</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7"/>
          <w:szCs w:val="17"/>
          <w:color w:val="auto"/>
        </w:rPr>
        <w:t>Title: Senior Vice President and</w:t>
      </w:r>
    </w:p>
    <w:p>
      <w:pPr>
        <w:spacing w:after="0" w:line="21"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ARLINGTON CONTACT LENS SERVICE, INC.</w:t>
      </w:r>
      <w:r>
        <w:rPr>
          <w:rFonts w:ascii="Arial" w:cs="Arial" w:eastAsia="Arial" w:hAnsi="Arial"/>
          <w:sz w:val="18"/>
          <w:szCs w:val="18"/>
          <w:color w:val="auto"/>
        </w:rPr>
        <w:t>, as Subsidiary Guarantor</w:t>
      </w:r>
    </w:p>
    <w:p>
      <w:pPr>
        <w:spacing w:after="0" w:line="200" w:lineRule="exact"/>
        <w:rPr>
          <w:sz w:val="20"/>
          <w:szCs w:val="20"/>
          <w:color w:val="auto"/>
        </w:rPr>
      </w:pPr>
    </w:p>
    <w:p>
      <w:pPr>
        <w:spacing w:after="0" w:line="245" w:lineRule="exact"/>
        <w:rPr>
          <w:sz w:val="20"/>
          <w:szCs w:val="20"/>
          <w:color w:val="auto"/>
        </w:rPr>
      </w:pPr>
    </w:p>
    <w:p>
      <w:pPr>
        <w:jc w:val="center"/>
        <w:ind w:right="440"/>
        <w:spacing w:after="0"/>
        <w:tabs>
          <w:tab w:leader="none" w:pos="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3166110</wp:posOffset>
            </wp:positionH>
            <wp:positionV relativeFrom="paragraph">
              <wp:posOffset>-10160</wp:posOffset>
            </wp:positionV>
            <wp:extent cx="1155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155700" cy="8890"/>
                    </a:xfrm>
                    <a:prstGeom prst="rect">
                      <a:avLst/>
                    </a:prstGeom>
                    <a:noFill/>
                  </pic:spPr>
                </pic:pic>
              </a:graphicData>
            </a:graphic>
          </wp:anchor>
        </w:drawing>
      </w:r>
    </w:p>
    <w:p>
      <w:pPr>
        <w:spacing w:after="0" w:line="3"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Name: Patrick R. Moore</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7"/>
          <w:szCs w:val="17"/>
          <w:color w:val="auto"/>
        </w:rPr>
        <w:t>Title: Senior Vice President and</w:t>
      </w:r>
    </w:p>
    <w:p>
      <w:pPr>
        <w:spacing w:after="0" w:line="21"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VC IV, LLC</w:t>
      </w:r>
      <w:r>
        <w:rPr>
          <w:rFonts w:ascii="Arial" w:cs="Arial" w:eastAsia="Arial" w:hAnsi="Arial"/>
          <w:sz w:val="18"/>
          <w:szCs w:val="18"/>
          <w:color w:val="auto"/>
        </w:rPr>
        <w:t>, as Subsidiary Guarantor</w:t>
      </w:r>
    </w:p>
    <w:p>
      <w:pPr>
        <w:spacing w:after="0" w:line="200" w:lineRule="exact"/>
        <w:rPr>
          <w:sz w:val="20"/>
          <w:szCs w:val="20"/>
          <w:color w:val="auto"/>
        </w:rPr>
      </w:pPr>
    </w:p>
    <w:p>
      <w:pPr>
        <w:spacing w:after="0" w:line="245" w:lineRule="exact"/>
        <w:rPr>
          <w:sz w:val="20"/>
          <w:szCs w:val="20"/>
          <w:color w:val="auto"/>
        </w:rPr>
      </w:pPr>
    </w:p>
    <w:p>
      <w:pPr>
        <w:jc w:val="center"/>
        <w:ind w:right="440"/>
        <w:spacing w:after="0"/>
        <w:tabs>
          <w:tab w:leader="none" w:pos="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3166110</wp:posOffset>
            </wp:positionH>
            <wp:positionV relativeFrom="paragraph">
              <wp:posOffset>-10160</wp:posOffset>
            </wp:positionV>
            <wp:extent cx="1155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155700" cy="8890"/>
                    </a:xfrm>
                    <a:prstGeom prst="rect">
                      <a:avLst/>
                    </a:prstGeom>
                    <a:noFill/>
                  </pic:spPr>
                </pic:pic>
              </a:graphicData>
            </a:graphic>
          </wp:anchor>
        </w:drawing>
      </w:r>
    </w:p>
    <w:p>
      <w:pPr>
        <w:spacing w:after="0" w:line="3"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Name: Patrick R. Moore</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7"/>
          <w:szCs w:val="17"/>
          <w:color w:val="auto"/>
        </w:rPr>
        <w:t>Title: Senior Vice President and</w:t>
      </w:r>
    </w:p>
    <w:p>
      <w:pPr>
        <w:spacing w:after="0" w:line="21"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NVAL HEALTHCARE SYSTEMS, INC.</w:t>
      </w:r>
      <w:r>
        <w:rPr>
          <w:rFonts w:ascii="Arial" w:cs="Arial" w:eastAsia="Arial" w:hAnsi="Arial"/>
          <w:sz w:val="18"/>
          <w:szCs w:val="18"/>
          <w:color w:val="auto"/>
        </w:rPr>
        <w:t>, as Subsidiary Guarantor</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to Restatement Agreement]</w:t>
      </w:r>
    </w:p>
    <w:p>
      <w:pPr>
        <w:sectPr>
          <w:pgSz w:w="11900" w:h="16838" w:orient="portrait"/>
          <w:cols w:equalWidth="0" w:num="1">
            <w:col w:w="11420"/>
          </w:cols>
          <w:pgMar w:left="240" w:top="810" w:right="239" w:bottom="1440" w:gutter="0" w:footer="0" w:header="0"/>
        </w:sectPr>
      </w:pPr>
    </w:p>
    <w:bookmarkStart w:id="57" w:name="page58"/>
    <w:bookmarkEnd w:id="57"/>
    <w:p>
      <w:pPr>
        <w:ind w:left="3340"/>
        <w:spacing w:after="0"/>
        <w:tabs>
          <w:tab w:leader="none" w:pos="3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2404110</wp:posOffset>
            </wp:positionH>
            <wp:positionV relativeFrom="paragraph">
              <wp:posOffset>-10160</wp:posOffset>
            </wp:positionV>
            <wp:extent cx="1155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1155700" cy="8890"/>
                    </a:xfrm>
                    <a:prstGeom prst="rect">
                      <a:avLst/>
                    </a:prstGeom>
                    <a:noFill/>
                  </pic:spPr>
                </pic:pic>
              </a:graphicData>
            </a:graphic>
          </wp:anchor>
        </w:drawing>
      </w:r>
    </w:p>
    <w:p>
      <w:pPr>
        <w:spacing w:after="0" w:line="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Name: Patrick R. Moore</w:t>
      </w:r>
    </w:p>
    <w:p>
      <w:pPr>
        <w:spacing w:after="0" w:line="9" w:lineRule="exact"/>
        <w:rPr>
          <w:sz w:val="20"/>
          <w:szCs w:val="20"/>
          <w:color w:val="auto"/>
        </w:rPr>
      </w:pPr>
    </w:p>
    <w:p>
      <w:pPr>
        <w:ind w:left="7720"/>
        <w:spacing w:after="0"/>
        <w:rPr>
          <w:sz w:val="20"/>
          <w:szCs w:val="20"/>
          <w:color w:val="auto"/>
        </w:rPr>
      </w:pPr>
      <w:r>
        <w:rPr>
          <w:rFonts w:ascii="Arial" w:cs="Arial" w:eastAsia="Arial" w:hAnsi="Arial"/>
          <w:sz w:val="16"/>
          <w:szCs w:val="16"/>
          <w:color w:val="auto"/>
        </w:rPr>
        <w:t>Title: Senior Vice President and</w:t>
      </w:r>
    </w:p>
    <w:p>
      <w:pPr>
        <w:spacing w:after="0" w:line="32"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INTERNATIONAL VISION ASSOCIATES, LTD</w:t>
      </w:r>
      <w:r>
        <w:rPr>
          <w:rFonts w:ascii="Arial" w:cs="Arial" w:eastAsia="Arial" w:hAnsi="Arial"/>
          <w:sz w:val="18"/>
          <w:szCs w:val="18"/>
          <w:color w:val="auto"/>
        </w:rPr>
        <w:t>, as Subsidiary Guarantor</w:t>
      </w:r>
    </w:p>
    <w:p>
      <w:pPr>
        <w:spacing w:after="0" w:line="200" w:lineRule="exact"/>
        <w:rPr>
          <w:sz w:val="20"/>
          <w:szCs w:val="20"/>
          <w:color w:val="auto"/>
        </w:rPr>
      </w:pPr>
    </w:p>
    <w:p>
      <w:pPr>
        <w:spacing w:after="0" w:line="245" w:lineRule="exact"/>
        <w:rPr>
          <w:sz w:val="20"/>
          <w:szCs w:val="20"/>
          <w:color w:val="auto"/>
        </w:rPr>
      </w:pPr>
    </w:p>
    <w:p>
      <w:pPr>
        <w:ind w:left="3340"/>
        <w:spacing w:after="0"/>
        <w:tabs>
          <w:tab w:leader="none" w:pos="3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2404110</wp:posOffset>
            </wp:positionH>
            <wp:positionV relativeFrom="paragraph">
              <wp:posOffset>-10160</wp:posOffset>
            </wp:positionV>
            <wp:extent cx="1155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1155700" cy="8890"/>
                    </a:xfrm>
                    <a:prstGeom prst="rect">
                      <a:avLst/>
                    </a:prstGeom>
                    <a:noFill/>
                  </pic:spPr>
                </pic:pic>
              </a:graphicData>
            </a:graphic>
          </wp:anchor>
        </w:drawing>
      </w:r>
    </w:p>
    <w:p>
      <w:pPr>
        <w:spacing w:after="0" w:line="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Name: Patrick R. Moore</w:t>
      </w:r>
    </w:p>
    <w:p>
      <w:pPr>
        <w:spacing w:after="0" w:line="9" w:lineRule="exact"/>
        <w:rPr>
          <w:sz w:val="20"/>
          <w:szCs w:val="20"/>
          <w:color w:val="auto"/>
        </w:rPr>
      </w:pPr>
    </w:p>
    <w:p>
      <w:pPr>
        <w:ind w:left="7720"/>
        <w:spacing w:after="0"/>
        <w:rPr>
          <w:sz w:val="20"/>
          <w:szCs w:val="20"/>
          <w:color w:val="auto"/>
        </w:rPr>
      </w:pPr>
      <w:r>
        <w:rPr>
          <w:rFonts w:ascii="Arial" w:cs="Arial" w:eastAsia="Arial" w:hAnsi="Arial"/>
          <w:sz w:val="16"/>
          <w:szCs w:val="16"/>
          <w:color w:val="auto"/>
        </w:rPr>
        <w:t>Title: Senior Vice President and</w:t>
      </w:r>
    </w:p>
    <w:p>
      <w:pPr>
        <w:spacing w:after="0" w:line="3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5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[Signature Page to Restatement Agreement]</w:t>
      </w:r>
    </w:p>
    <w:p>
      <w:pPr>
        <w:sectPr>
          <w:pgSz w:w="11900" w:h="16838" w:orient="portrait"/>
          <w:cols w:equalWidth="0" w:num="1">
            <w:col w:w="10020"/>
          </w:cols>
          <w:pgMar w:left="1440" w:top="1246" w:right="439" w:bottom="1440" w:gutter="0" w:footer="0" w:header="0"/>
        </w:sectPr>
      </w:pPr>
    </w:p>
    <w:bookmarkStart w:id="58" w:name="page59"/>
    <w:bookmarkEnd w:id="58"/>
    <w:p>
      <w:pPr>
        <w:jc w:val="center"/>
        <w:ind w:right="-219"/>
        <w:spacing w:after="0"/>
        <w:rPr>
          <w:sz w:val="20"/>
          <w:szCs w:val="20"/>
          <w:color w:val="auto"/>
        </w:rPr>
      </w:pPr>
      <w:r>
        <w:rPr>
          <w:rFonts w:ascii="Arial" w:cs="Arial" w:eastAsia="Arial" w:hAnsi="Arial"/>
          <w:sz w:val="17"/>
          <w:szCs w:val="17"/>
          <w:b w:val="1"/>
          <w:bCs w:val="1"/>
          <w:color w:val="auto"/>
        </w:rPr>
        <w:t>GOLDMAN SACHS BANK USA</w:t>
      </w:r>
      <w:r>
        <w:rPr>
          <w:rFonts w:ascii="Arial" w:cs="Arial" w:eastAsia="Arial" w:hAnsi="Arial"/>
          <w:sz w:val="17"/>
          <w:szCs w:val="17"/>
          <w:color w:val="auto"/>
        </w:rPr>
        <w:t>, as Former Agent</w:t>
      </w:r>
    </w:p>
    <w:p>
      <w:pPr>
        <w:spacing w:after="0" w:line="200" w:lineRule="exact"/>
        <w:rPr>
          <w:sz w:val="20"/>
          <w:szCs w:val="20"/>
          <w:color w:val="auto"/>
        </w:rPr>
      </w:pPr>
    </w:p>
    <w:p>
      <w:pPr>
        <w:spacing w:after="0" w:line="257"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Annie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762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62000" cy="8890"/>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Annie Carr</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Title: Authorized Signatory</w:t>
      </w: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Restatement Agreement]</w:t>
      </w:r>
    </w:p>
    <w:p>
      <w:pPr>
        <w:sectPr>
          <w:pgSz w:w="11900" w:h="16838" w:orient="portrait"/>
          <w:cols w:equalWidth="0" w:num="1">
            <w:col w:w="9060"/>
          </w:cols>
          <w:pgMar w:left="1440" w:top="1026" w:right="1399" w:bottom="1440" w:gutter="0" w:footer="0" w:header="0"/>
        </w:sectPr>
      </w:pPr>
    </w:p>
    <w:bookmarkStart w:id="59" w:name="page60"/>
    <w:bookmarkEnd w:id="59"/>
    <w:p>
      <w:pPr>
        <w:ind w:left="270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 Administrative Agent and Collateral Agent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M. Truette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9544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954405" cy="8890"/>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Eric M. Truette</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3" w:lineRule="exact"/>
        <w:rPr>
          <w:sz w:val="20"/>
          <w:szCs w:val="20"/>
          <w:color w:val="auto"/>
        </w:rPr>
      </w:pPr>
    </w:p>
    <w:p>
      <w:pPr>
        <w:ind w:left="2700"/>
        <w:spacing w:after="0" w:line="282" w:lineRule="auto"/>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 a Term A Lender, a Revolving Credit Lender and a Letter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Issuer</w:t>
      </w:r>
    </w:p>
    <w:p>
      <w:pPr>
        <w:spacing w:after="0" w:line="382"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Charlie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9334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Charlie Hart</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Title: Vice President</w:t>
      </w:r>
    </w:p>
    <w:p>
      <w:pPr>
        <w:spacing w:after="0" w:line="23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[Signature Page to Restatement Agreement]</w:t>
      </w:r>
    </w:p>
    <w:p>
      <w:pPr>
        <w:sectPr>
          <w:pgSz w:w="11900" w:h="16838" w:orient="portrait"/>
          <w:cols w:equalWidth="0" w:num="1">
            <w:col w:w="10220"/>
          </w:cols>
          <w:pgMar w:left="1440" w:top="810" w:right="239" w:bottom="1440" w:gutter="0" w:footer="0" w:header="0"/>
        </w:sectPr>
      </w:pPr>
    </w:p>
    <w:bookmarkStart w:id="60" w:name="page61"/>
    <w:bookmarkEnd w:id="60"/>
    <w:p>
      <w:pPr>
        <w:ind w:left="2700"/>
        <w:spacing w:after="0" w:line="282" w:lineRule="auto"/>
        <w:rPr>
          <w:sz w:val="20"/>
          <w:szCs w:val="20"/>
          <w:color w:val="auto"/>
        </w:rPr>
      </w:pPr>
      <w:r>
        <w:rPr>
          <w:rFonts w:ascii="Arial" w:cs="Arial" w:eastAsia="Arial" w:hAnsi="Arial"/>
          <w:sz w:val="18"/>
          <w:szCs w:val="18"/>
          <w:b w:val="1"/>
          <w:bCs w:val="1"/>
          <w:color w:val="auto"/>
        </w:rPr>
        <w:t>JPMorgan Chase Bank, NA</w:t>
      </w:r>
      <w:r>
        <w:rPr>
          <w:rFonts w:ascii="Arial" w:cs="Arial" w:eastAsia="Arial" w:hAnsi="Arial"/>
          <w:sz w:val="18"/>
          <w:szCs w:val="18"/>
          <w:color w:val="auto"/>
        </w:rPr>
        <w:t>, as a Term A Lender, a Revolving Credit Lender, and a Letter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Issuer</w:t>
      </w:r>
    </w:p>
    <w:p>
      <w:pPr>
        <w:spacing w:after="0" w:line="382"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0668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Andrew Rossman</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Title: Vice President</w:t>
      </w:r>
    </w:p>
    <w:p>
      <w:pPr>
        <w:spacing w:after="0" w:line="23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[Signature Page to Restatement Agreement]</w:t>
      </w:r>
    </w:p>
    <w:p>
      <w:pPr>
        <w:sectPr>
          <w:pgSz w:w="11900" w:h="16838" w:orient="portrait"/>
          <w:cols w:equalWidth="0" w:num="1">
            <w:col w:w="10200"/>
          </w:cols>
          <w:pgMar w:left="1440" w:top="810" w:right="259" w:bottom="1440" w:gutter="0" w:footer="0" w:header="0"/>
        </w:sectPr>
      </w:pPr>
    </w:p>
    <w:bookmarkStart w:id="61" w:name="page62"/>
    <w:bookmarkEnd w:id="61"/>
    <w:p>
      <w:pPr>
        <w:ind w:left="2700"/>
        <w:spacing w:after="0" w:line="282" w:lineRule="auto"/>
        <w:rPr>
          <w:sz w:val="20"/>
          <w:szCs w:val="20"/>
          <w:color w:val="auto"/>
        </w:rPr>
      </w:pPr>
      <w:r>
        <w:rPr>
          <w:rFonts w:ascii="Arial" w:cs="Arial" w:eastAsia="Arial" w:hAnsi="Arial"/>
          <w:sz w:val="18"/>
          <w:szCs w:val="18"/>
          <w:b w:val="1"/>
          <w:bCs w:val="1"/>
          <w:color w:val="auto"/>
        </w:rPr>
        <w:t>WELLS FARGO BANK, N.A.</w:t>
      </w:r>
      <w:r>
        <w:rPr>
          <w:rFonts w:ascii="Arial" w:cs="Arial" w:eastAsia="Arial" w:hAnsi="Arial"/>
          <w:sz w:val="18"/>
          <w:szCs w:val="18"/>
          <w:color w:val="auto"/>
        </w:rPr>
        <w:t>, as a Term A Lender, a Revolving Credit Lender and a Letter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Issuer</w:t>
      </w:r>
    </w:p>
    <w:p>
      <w:pPr>
        <w:spacing w:after="0" w:line="382"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Maribelle Villaseñor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1931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1193165" cy="8890"/>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Maribelle Villaseñor</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Title: Director</w:t>
      </w:r>
    </w:p>
    <w:p>
      <w:pPr>
        <w:spacing w:after="0" w:line="23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[Signature Page to Restatement Agreement]</w:t>
      </w:r>
    </w:p>
    <w:p>
      <w:pPr>
        <w:sectPr>
          <w:pgSz w:w="11900" w:h="16838" w:orient="portrait"/>
          <w:cols w:equalWidth="0" w:num="1">
            <w:col w:w="10220"/>
          </w:cols>
          <w:pgMar w:left="1440" w:top="810" w:right="239" w:bottom="1440" w:gutter="0" w:footer="0" w:header="0"/>
        </w:sectPr>
      </w:pPr>
    </w:p>
    <w:bookmarkStart w:id="62" w:name="page63"/>
    <w:bookmarkEnd w:id="62"/>
    <w:p>
      <w:pPr>
        <w:ind w:left="2700"/>
        <w:spacing w:after="0"/>
        <w:rPr>
          <w:sz w:val="20"/>
          <w:szCs w:val="20"/>
          <w:color w:val="auto"/>
        </w:rPr>
      </w:pPr>
      <w:r>
        <w:rPr>
          <w:rFonts w:ascii="Arial" w:cs="Arial" w:eastAsia="Arial" w:hAnsi="Arial"/>
          <w:sz w:val="18"/>
          <w:szCs w:val="18"/>
          <w:b w:val="1"/>
          <w:bCs w:val="1"/>
          <w:color w:val="auto"/>
        </w:rPr>
        <w:t>Fifth Third Bank</w:t>
      </w:r>
      <w:r>
        <w:rPr>
          <w:rFonts w:ascii="Arial" w:cs="Arial" w:eastAsia="Arial" w:hAnsi="Arial"/>
          <w:sz w:val="18"/>
          <w:szCs w:val="18"/>
          <w:color w:val="auto"/>
        </w:rPr>
        <w:t>, as a Term A Lender, and a Revolving Credit Lender</w:t>
      </w:r>
    </w:p>
    <w:p>
      <w:pPr>
        <w:spacing w:after="0" w:line="200" w:lineRule="exact"/>
        <w:rPr>
          <w:sz w:val="20"/>
          <w:szCs w:val="20"/>
          <w:color w:val="auto"/>
        </w:rPr>
      </w:pPr>
    </w:p>
    <w:p>
      <w:pPr>
        <w:spacing w:after="0" w:line="24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Mary J Ramsey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9683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Mary J Ramsey</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Title: Senior Vice President</w:t>
      </w: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Restatement Agreement]</w:t>
      </w:r>
    </w:p>
    <w:p>
      <w:pPr>
        <w:sectPr>
          <w:pgSz w:w="11900" w:h="16838" w:orient="portrait"/>
          <w:cols w:equalWidth="0" w:num="1">
            <w:col w:w="9060"/>
          </w:cols>
          <w:pgMar w:left="1440" w:top="810" w:right="1399" w:bottom="1440" w:gutter="0" w:footer="0" w:header="0"/>
        </w:sectPr>
      </w:pPr>
    </w:p>
    <w:bookmarkStart w:id="63" w:name="page64"/>
    <w:bookmarkEnd w:id="63"/>
    <w:p>
      <w:pPr>
        <w:ind w:left="2700"/>
        <w:spacing w:after="0"/>
        <w:rPr>
          <w:sz w:val="20"/>
          <w:szCs w:val="20"/>
          <w:color w:val="auto"/>
        </w:rPr>
      </w:pPr>
      <w:r>
        <w:rPr>
          <w:rFonts w:ascii="Arial" w:cs="Arial" w:eastAsia="Arial" w:hAnsi="Arial"/>
          <w:sz w:val="18"/>
          <w:szCs w:val="18"/>
          <w:b w:val="1"/>
          <w:bCs w:val="1"/>
          <w:color w:val="auto"/>
        </w:rPr>
        <w:t>SUNTRUST BANK</w:t>
      </w:r>
      <w:r>
        <w:rPr>
          <w:rFonts w:ascii="Arial" w:cs="Arial" w:eastAsia="Arial" w:hAnsi="Arial"/>
          <w:sz w:val="18"/>
          <w:szCs w:val="18"/>
          <w:color w:val="auto"/>
        </w:rPr>
        <w:t>, as a Term A Lender, and a Revolving Credit Lender</w:t>
      </w:r>
    </w:p>
    <w:p>
      <w:pPr>
        <w:spacing w:after="0" w:line="200" w:lineRule="exact"/>
        <w:rPr>
          <w:sz w:val="20"/>
          <w:szCs w:val="20"/>
          <w:color w:val="auto"/>
        </w:rPr>
      </w:pPr>
    </w:p>
    <w:p>
      <w:pPr>
        <w:spacing w:after="0" w:line="24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tab/>
        <w:t>/s/ Will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7639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63905" cy="8890"/>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Will Miller</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Title: Vice President</w:t>
      </w: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Restatement Agreement]</w:t>
      </w:r>
    </w:p>
    <w:p>
      <w:pPr>
        <w:sectPr>
          <w:pgSz w:w="11900" w:h="16838" w:orient="portrait"/>
          <w:cols w:equalWidth="0" w:num="1">
            <w:col w:w="9019"/>
          </w:cols>
          <w:pgMar w:left="1440" w:top="1026" w:right="1440" w:bottom="1440" w:gutter="0" w:footer="0" w:header="0"/>
        </w:sectPr>
      </w:pPr>
    </w:p>
    <w:bookmarkStart w:id="64" w:name="page65"/>
    <w:bookmarkEnd w:id="64"/>
    <w:p>
      <w:pPr>
        <w:ind w:left="2700"/>
        <w:spacing w:after="0"/>
        <w:rPr>
          <w:sz w:val="20"/>
          <w:szCs w:val="20"/>
          <w:color w:val="auto"/>
        </w:rPr>
      </w:pPr>
      <w:r>
        <w:rPr>
          <w:rFonts w:ascii="Arial" w:cs="Arial" w:eastAsia="Arial" w:hAnsi="Arial"/>
          <w:sz w:val="16"/>
          <w:szCs w:val="16"/>
          <w:b w:val="1"/>
          <w:bCs w:val="1"/>
          <w:color w:val="auto"/>
        </w:rPr>
        <w:t>GOLDMAN SACHS BANK USA</w:t>
      </w:r>
      <w:r>
        <w:rPr>
          <w:rFonts w:ascii="Arial" w:cs="Arial" w:eastAsia="Arial" w:hAnsi="Arial"/>
          <w:sz w:val="16"/>
          <w:szCs w:val="16"/>
          <w:color w:val="auto"/>
        </w:rPr>
        <w:t>, as a Revolving Credit Lender and a Letter of Credit Issuer</w:t>
      </w:r>
    </w:p>
    <w:p>
      <w:pPr>
        <w:spacing w:after="0" w:line="200" w:lineRule="exact"/>
        <w:rPr>
          <w:sz w:val="20"/>
          <w:szCs w:val="20"/>
          <w:color w:val="auto"/>
        </w:rPr>
      </w:pPr>
    </w:p>
    <w:p>
      <w:pPr>
        <w:spacing w:after="0" w:line="268"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Annie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7620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62000" cy="8890"/>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Annie Carr</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5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[Signature Page to Restatement Agreement]</w:t>
      </w:r>
    </w:p>
    <w:p>
      <w:pPr>
        <w:sectPr>
          <w:pgSz w:w="11900" w:h="16838" w:orient="portrait"/>
          <w:cols w:equalWidth="0" w:num="1">
            <w:col w:w="9560"/>
          </w:cols>
          <w:pgMar w:left="1440" w:top="810" w:right="899" w:bottom="1440" w:gutter="0" w:footer="0" w:header="0"/>
        </w:sectPr>
      </w:pPr>
    </w:p>
    <w:bookmarkStart w:id="65" w:name="page66"/>
    <w:bookmarkEnd w:id="65"/>
    <w:p>
      <w:pPr>
        <w:jc w:val="center"/>
        <w:ind w:right="299"/>
        <w:spacing w:after="0"/>
        <w:rPr>
          <w:sz w:val="20"/>
          <w:szCs w:val="20"/>
          <w:color w:val="auto"/>
        </w:rPr>
      </w:pPr>
      <w:r>
        <w:rPr>
          <w:rFonts w:ascii="Arial" w:cs="Arial" w:eastAsia="Arial" w:hAnsi="Arial"/>
          <w:sz w:val="16"/>
          <w:szCs w:val="16"/>
          <w:b w:val="1"/>
          <w:bCs w:val="1"/>
          <w:color w:val="auto"/>
        </w:rPr>
        <w:t>Citibank, N.A.</w:t>
      </w:r>
      <w:r>
        <w:rPr>
          <w:rFonts w:ascii="Arial" w:cs="Arial" w:eastAsia="Arial" w:hAnsi="Arial"/>
          <w:sz w:val="16"/>
          <w:szCs w:val="16"/>
          <w:color w:val="auto"/>
        </w:rPr>
        <w:t>, as a Revolving Credit Lender</w:t>
      </w:r>
    </w:p>
    <w:p>
      <w:pPr>
        <w:spacing w:after="0" w:line="200" w:lineRule="exact"/>
        <w:rPr>
          <w:sz w:val="20"/>
          <w:szCs w:val="20"/>
          <w:color w:val="auto"/>
        </w:rPr>
      </w:pPr>
    </w:p>
    <w:p>
      <w:pPr>
        <w:spacing w:after="0" w:line="268"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Alvaro De Velasco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1137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1113790" cy="8890"/>
                    </a:xfrm>
                    <a:prstGeom prst="rect">
                      <a:avLst/>
                    </a:prstGeom>
                    <a:noFill/>
                  </pic:spPr>
                </pic:pic>
              </a:graphicData>
            </a:graphic>
          </wp:anchor>
        </w:drawing>
      </w:r>
    </w:p>
    <w:p>
      <w:pPr>
        <w:spacing w:after="0" w:line="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Name: Alvaro De Velasco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Restatement Agreement]</w:t>
      </w:r>
    </w:p>
    <w:p>
      <w:pPr>
        <w:sectPr>
          <w:pgSz w:w="11900" w:h="16838" w:orient="portrait"/>
          <w:cols w:equalWidth="0" w:num="1">
            <w:col w:w="9019"/>
          </w:cols>
          <w:pgMar w:left="1440" w:top="810" w:right="1440" w:bottom="1440" w:gutter="0" w:footer="0" w:header="0"/>
        </w:sectPr>
      </w:pPr>
    </w:p>
    <w:bookmarkStart w:id="66" w:name="page67"/>
    <w:bookmarkEnd w:id="66"/>
    <w:p>
      <w:pPr>
        <w:ind w:left="2700"/>
        <w:spacing w:after="0"/>
        <w:rPr>
          <w:sz w:val="20"/>
          <w:szCs w:val="20"/>
          <w:color w:val="auto"/>
        </w:rPr>
      </w:pPr>
      <w:r>
        <w:rPr>
          <w:rFonts w:ascii="Arial" w:cs="Arial" w:eastAsia="Arial" w:hAnsi="Arial"/>
          <w:sz w:val="18"/>
          <w:szCs w:val="18"/>
          <w:b w:val="1"/>
          <w:bCs w:val="1"/>
          <w:color w:val="auto"/>
        </w:rPr>
        <w:t>Barclays Bank PLC</w:t>
      </w:r>
      <w:r>
        <w:rPr>
          <w:rFonts w:ascii="Arial" w:cs="Arial" w:eastAsia="Arial" w:hAnsi="Arial"/>
          <w:sz w:val="18"/>
          <w:szCs w:val="18"/>
          <w:color w:val="auto"/>
        </w:rPr>
        <w:t>, as a Term A Lender and a Revolving Credit Lender</w:t>
      </w:r>
    </w:p>
    <w:p>
      <w:pPr>
        <w:spacing w:after="0" w:line="200" w:lineRule="exact"/>
        <w:rPr>
          <w:sz w:val="20"/>
          <w:szCs w:val="20"/>
          <w:color w:val="auto"/>
        </w:rPr>
      </w:pPr>
    </w:p>
    <w:p>
      <w:pPr>
        <w:spacing w:after="0" w:line="24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Ritam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8572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3" w:lineRule="exact"/>
        <w:rPr>
          <w:sz w:val="20"/>
          <w:szCs w:val="20"/>
          <w:color w:val="auto"/>
        </w:rPr>
      </w:pPr>
    </w:p>
    <w:p>
      <w:pPr>
        <w:jc w:val="right"/>
        <w:ind w:right="459"/>
        <w:spacing w:after="0"/>
        <w:rPr>
          <w:sz w:val="20"/>
          <w:szCs w:val="20"/>
          <w:color w:val="auto"/>
        </w:rPr>
      </w:pPr>
      <w:r>
        <w:rPr>
          <w:rFonts w:ascii="Arial" w:cs="Arial" w:eastAsia="Arial" w:hAnsi="Arial"/>
          <w:sz w:val="18"/>
          <w:szCs w:val="18"/>
          <w:color w:val="auto"/>
        </w:rPr>
        <w:t>Name: Ritam Bhalla</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Restatement Agreement]</w:t>
      </w:r>
    </w:p>
    <w:p>
      <w:pPr>
        <w:sectPr>
          <w:pgSz w:w="11900" w:h="16838" w:orient="portrait"/>
          <w:cols w:equalWidth="0" w:num="1">
            <w:col w:w="9019"/>
          </w:cols>
          <w:pgMar w:left="1440" w:top="810" w:right="1440" w:bottom="1440" w:gutter="0" w:footer="0" w:header="0"/>
        </w:sectPr>
      </w:pPr>
    </w:p>
    <w:bookmarkStart w:id="67" w:name="page68"/>
    <w:bookmarkEnd w:id="67"/>
    <w:p>
      <w:pPr>
        <w:ind w:left="2700"/>
        <w:spacing w:after="0" w:line="282" w:lineRule="auto"/>
        <w:rPr>
          <w:sz w:val="20"/>
          <w:szCs w:val="20"/>
          <w:color w:val="auto"/>
        </w:rPr>
      </w:pPr>
      <w:r>
        <w:rPr>
          <w:rFonts w:ascii="Arial" w:cs="Arial" w:eastAsia="Arial" w:hAnsi="Arial"/>
          <w:sz w:val="18"/>
          <w:szCs w:val="18"/>
          <w:b w:val="1"/>
          <w:bCs w:val="1"/>
          <w:color w:val="auto"/>
        </w:rPr>
        <w:t>MORGAN STANLEY SENIOR FUNDING, INC.</w:t>
      </w:r>
      <w:r>
        <w:rPr>
          <w:rFonts w:ascii="Arial" w:cs="Arial" w:eastAsia="Arial" w:hAnsi="Arial"/>
          <w:sz w:val="18"/>
          <w:szCs w:val="18"/>
          <w:color w:val="auto"/>
        </w:rPr>
        <w:t>, as a Term A Lender and a Revolving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Lender</w:t>
      </w:r>
    </w:p>
    <w:p>
      <w:pPr>
        <w:spacing w:after="0" w:line="382"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882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Michael King</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[Signature Page to Restatement Agreement]</w:t>
      </w:r>
    </w:p>
    <w:p>
      <w:pPr>
        <w:sectPr>
          <w:pgSz w:w="11900" w:h="16838" w:orient="portrait"/>
          <w:cols w:equalWidth="0" w:num="1">
            <w:col w:w="10220"/>
          </w:cols>
          <w:pgMar w:left="1440" w:top="810" w:right="239" w:bottom="1440" w:gutter="0" w:footer="0" w:header="0"/>
        </w:sectPr>
      </w:pPr>
    </w:p>
    <w:bookmarkStart w:id="68" w:name="page69"/>
    <w:bookmarkEnd w:id="68"/>
    <w:p>
      <w:pPr>
        <w:ind w:left="2700"/>
        <w:spacing w:after="0"/>
        <w:rPr>
          <w:sz w:val="20"/>
          <w:szCs w:val="20"/>
          <w:color w:val="auto"/>
        </w:rPr>
      </w:pPr>
      <w:r>
        <w:rPr>
          <w:rFonts w:ascii="Arial" w:cs="Arial" w:eastAsia="Arial" w:hAnsi="Arial"/>
          <w:sz w:val="18"/>
          <w:szCs w:val="18"/>
          <w:b w:val="1"/>
          <w:bCs w:val="1"/>
          <w:color w:val="auto"/>
        </w:rPr>
        <w:t>Stifel Bank &amp; Trust</w:t>
      </w:r>
      <w:r>
        <w:rPr>
          <w:rFonts w:ascii="Arial" w:cs="Arial" w:eastAsia="Arial" w:hAnsi="Arial"/>
          <w:sz w:val="18"/>
          <w:szCs w:val="18"/>
          <w:color w:val="auto"/>
        </w:rPr>
        <w:t>, as a Term A Lender and a Revolving Credit Lender</w:t>
      </w:r>
    </w:p>
    <w:p>
      <w:pPr>
        <w:spacing w:after="0" w:line="200" w:lineRule="exact"/>
        <w:rPr>
          <w:sz w:val="20"/>
          <w:szCs w:val="20"/>
          <w:color w:val="auto"/>
        </w:rPr>
      </w:pPr>
    </w:p>
    <w:p>
      <w:pPr>
        <w:spacing w:after="0" w:line="24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Laura M. Roessler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0985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1098550" cy="8890"/>
                    </a:xfrm>
                    <a:prstGeom prst="rect">
                      <a:avLst/>
                    </a:prstGeom>
                    <a:noFill/>
                  </pic:spPr>
                </pic:pic>
              </a:graphicData>
            </a:graphic>
          </wp:anchor>
        </w:drawing>
      </w:r>
    </w:p>
    <w:p>
      <w:pPr>
        <w:spacing w:after="0" w:line="3"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Name: Laura M. Roessler</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Vice President</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Restatement Agreement]</w:t>
      </w:r>
    </w:p>
    <w:p>
      <w:pPr>
        <w:sectPr>
          <w:pgSz w:w="11900" w:h="16838" w:orient="portrait"/>
          <w:cols w:equalWidth="0" w:num="1">
            <w:col w:w="9019"/>
          </w:cols>
          <w:pgMar w:left="1440" w:top="810" w:right="1440" w:bottom="1440" w:gutter="0" w:footer="0" w:header="0"/>
        </w:sectPr>
      </w:pPr>
    </w:p>
    <w:bookmarkStart w:id="69" w:name="page70"/>
    <w:bookmarkEnd w:id="69"/>
    <w:p>
      <w:pPr>
        <w:ind w:left="2700"/>
        <w:spacing w:after="0"/>
        <w:rPr>
          <w:sz w:val="20"/>
          <w:szCs w:val="20"/>
          <w:color w:val="auto"/>
        </w:rPr>
      </w:pPr>
      <w:r>
        <w:rPr>
          <w:rFonts w:ascii="Arial" w:cs="Arial" w:eastAsia="Arial" w:hAnsi="Arial"/>
          <w:sz w:val="18"/>
          <w:szCs w:val="18"/>
          <w:b w:val="1"/>
          <w:bCs w:val="1"/>
          <w:color w:val="auto"/>
        </w:rPr>
        <w:t>Synovus Bank</w:t>
      </w:r>
      <w:r>
        <w:rPr>
          <w:rFonts w:ascii="Arial" w:cs="Arial" w:eastAsia="Arial" w:hAnsi="Arial"/>
          <w:sz w:val="18"/>
          <w:szCs w:val="18"/>
          <w:color w:val="auto"/>
        </w:rPr>
        <w:t>, as a Term A Lender, and a Revolving Credit Lender</w:t>
      </w:r>
    </w:p>
    <w:p>
      <w:pPr>
        <w:spacing w:after="0" w:line="200" w:lineRule="exact"/>
        <w:rPr>
          <w:sz w:val="20"/>
          <w:szCs w:val="20"/>
          <w:color w:val="auto"/>
        </w:rPr>
      </w:pPr>
    </w:p>
    <w:p>
      <w:pPr>
        <w:spacing w:after="0" w:line="24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Anne Lovette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8763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876300" cy="8890"/>
                    </a:xfrm>
                    <a:prstGeom prst="rect">
                      <a:avLst/>
                    </a:prstGeom>
                    <a:noFill/>
                  </pic:spPr>
                </pic:pic>
              </a:graphicData>
            </a:graphic>
          </wp:anchor>
        </w:drawing>
      </w:r>
    </w:p>
    <w:p>
      <w:pPr>
        <w:spacing w:after="0" w:line="3" w:lineRule="exact"/>
        <w:rPr>
          <w:sz w:val="20"/>
          <w:szCs w:val="20"/>
          <w:color w:val="auto"/>
        </w:rPr>
      </w:pPr>
    </w:p>
    <w:p>
      <w:pPr>
        <w:jc w:val="right"/>
        <w:ind w:right="439"/>
        <w:spacing w:after="0"/>
        <w:rPr>
          <w:sz w:val="20"/>
          <w:szCs w:val="20"/>
          <w:color w:val="auto"/>
        </w:rPr>
      </w:pPr>
      <w:r>
        <w:rPr>
          <w:rFonts w:ascii="Arial" w:cs="Arial" w:eastAsia="Arial" w:hAnsi="Arial"/>
          <w:sz w:val="18"/>
          <w:szCs w:val="18"/>
          <w:color w:val="auto"/>
        </w:rPr>
        <w:t>Name: Anne Lovette</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[Signature Page to Restatement Agreement]</w:t>
      </w:r>
    </w:p>
    <w:p>
      <w:pPr>
        <w:sectPr>
          <w:pgSz w:w="11900" w:h="16838" w:orient="portrait"/>
          <w:cols w:equalWidth="0" w:num="1">
            <w:col w:w="9019"/>
          </w:cols>
          <w:pgMar w:left="1440" w:top="810" w:right="1440" w:bottom="1440" w:gutter="0" w:footer="0" w:header="0"/>
        </w:sectPr>
      </w:pPr>
    </w:p>
    <w:bookmarkStart w:id="70" w:name="page71"/>
    <w:bookmarkEnd w:id="70"/>
    <w:p>
      <w:pPr>
        <w:ind w:left="2700"/>
        <w:spacing w:after="0"/>
        <w:rPr>
          <w:sz w:val="20"/>
          <w:szCs w:val="20"/>
          <w:color w:val="auto"/>
        </w:rPr>
      </w:pPr>
      <w:r>
        <w:rPr>
          <w:rFonts w:ascii="Arial" w:cs="Arial" w:eastAsia="Arial" w:hAnsi="Arial"/>
          <w:sz w:val="17"/>
          <w:szCs w:val="17"/>
          <w:b w:val="1"/>
          <w:bCs w:val="1"/>
          <w:color w:val="auto"/>
        </w:rPr>
        <w:t>HANCOCK WHITNEY BANK</w:t>
      </w:r>
      <w:r>
        <w:rPr>
          <w:rFonts w:ascii="Arial" w:cs="Arial" w:eastAsia="Arial" w:hAnsi="Arial"/>
          <w:sz w:val="17"/>
          <w:szCs w:val="17"/>
          <w:color w:val="auto"/>
        </w:rPr>
        <w:t>, as a Term A Lender and a Revolving Credit Lender</w:t>
      </w:r>
    </w:p>
    <w:p>
      <w:pPr>
        <w:spacing w:after="0" w:line="200" w:lineRule="exact"/>
        <w:rPr>
          <w:sz w:val="20"/>
          <w:szCs w:val="20"/>
          <w:color w:val="auto"/>
        </w:rPr>
      </w:pPr>
    </w:p>
    <w:p>
      <w:pPr>
        <w:spacing w:after="0" w:line="257"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Joshua N.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2255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Joshua N. Livingston</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Duly Authorized Signatory</w:t>
      </w:r>
    </w:p>
    <w:p>
      <w:pPr>
        <w:spacing w:after="0" w:line="23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[Signature Page to Restatement Agreement]</w:t>
      </w:r>
    </w:p>
    <w:p>
      <w:pPr>
        <w:sectPr>
          <w:pgSz w:w="11900" w:h="16838" w:orient="portrait"/>
          <w:cols w:equalWidth="0" w:num="1">
            <w:col w:w="9140"/>
          </w:cols>
          <w:pgMar w:left="1440" w:top="810" w:right="1319" w:bottom="1440" w:gutter="0" w:footer="0" w:header="0"/>
        </w:sectPr>
      </w:pPr>
    </w:p>
    <w:bookmarkStart w:id="71" w:name="page72"/>
    <w:bookmarkEnd w:id="71"/>
    <w:p>
      <w:pPr>
        <w:ind w:left="2700"/>
        <w:spacing w:after="0"/>
        <w:rPr>
          <w:sz w:val="20"/>
          <w:szCs w:val="20"/>
          <w:color w:val="auto"/>
        </w:rPr>
      </w:pPr>
      <w:r>
        <w:rPr>
          <w:rFonts w:ascii="Arial" w:cs="Arial" w:eastAsia="Arial" w:hAnsi="Arial"/>
          <w:sz w:val="17"/>
          <w:szCs w:val="17"/>
          <w:b w:val="1"/>
          <w:bCs w:val="1"/>
          <w:color w:val="auto"/>
        </w:rPr>
        <w:t>UNITED COMMUNITY BANK</w:t>
      </w:r>
      <w:r>
        <w:rPr>
          <w:rFonts w:ascii="Arial" w:cs="Arial" w:eastAsia="Arial" w:hAnsi="Arial"/>
          <w:sz w:val="17"/>
          <w:szCs w:val="17"/>
          <w:color w:val="auto"/>
        </w:rPr>
        <w:t>, as a Term A Lender and a Revolving Credit Lender</w:t>
      </w:r>
    </w:p>
    <w:p>
      <w:pPr>
        <w:spacing w:after="0" w:line="200" w:lineRule="exact"/>
        <w:rPr>
          <w:sz w:val="20"/>
          <w:szCs w:val="20"/>
          <w:color w:val="auto"/>
        </w:rPr>
      </w:pPr>
    </w:p>
    <w:p>
      <w:pPr>
        <w:spacing w:after="0" w:line="257"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7740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74065" cy="8890"/>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Jeff Wilson</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Vice President</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Restatement Agreement]</w:t>
      </w:r>
    </w:p>
    <w:p>
      <w:pPr>
        <w:sectPr>
          <w:pgSz w:w="11900" w:h="16838" w:orient="portrait"/>
          <w:cols w:equalWidth="0" w:num="1">
            <w:col w:w="9019"/>
          </w:cols>
          <w:pgMar w:left="1440" w:top="810" w:right="1440" w:bottom="1440" w:gutter="0" w:footer="0" w:header="0"/>
        </w:sectPr>
      </w:pPr>
    </w:p>
    <w:bookmarkStart w:id="72" w:name="page73"/>
    <w:bookmarkEnd w:id="72"/>
    <w:p>
      <w:pPr>
        <w:ind w:left="2700"/>
        <w:spacing w:after="0"/>
        <w:rPr>
          <w:sz w:val="20"/>
          <w:szCs w:val="20"/>
          <w:color w:val="auto"/>
        </w:rPr>
      </w:pPr>
      <w:r>
        <w:rPr>
          <w:rFonts w:ascii="Arial" w:cs="Arial" w:eastAsia="Arial" w:hAnsi="Arial"/>
          <w:sz w:val="18"/>
          <w:szCs w:val="18"/>
          <w:b w:val="1"/>
          <w:bCs w:val="1"/>
          <w:color w:val="auto"/>
        </w:rPr>
        <w:t>Atlantic Capital Bank, N.A.</w:t>
      </w:r>
      <w:r>
        <w:rPr>
          <w:rFonts w:ascii="Arial" w:cs="Arial" w:eastAsia="Arial" w:hAnsi="Arial"/>
          <w:sz w:val="18"/>
          <w:szCs w:val="18"/>
          <w:color w:val="auto"/>
        </w:rPr>
        <w:t>, as a Term A Lender and a Revolving Credit Lender</w:t>
      </w:r>
    </w:p>
    <w:p>
      <w:pPr>
        <w:spacing w:after="0" w:line="200" w:lineRule="exact"/>
        <w:rPr>
          <w:sz w:val="20"/>
          <w:szCs w:val="20"/>
          <w:color w:val="auto"/>
        </w:rPr>
      </w:pPr>
    </w:p>
    <w:p>
      <w:pPr>
        <w:spacing w:after="0" w:line="24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 Oglesby,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2941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Richard A. Oglesby, Jr</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E.V.P.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[Signature Page to Restatement Agreement]</w:t>
      </w:r>
    </w:p>
    <w:p>
      <w:pPr>
        <w:sectPr>
          <w:pgSz w:w="11900" w:h="16838" w:orient="portrait"/>
          <w:cols w:equalWidth="0" w:num="1">
            <w:col w:w="9240"/>
          </w:cols>
          <w:pgMar w:left="1440" w:top="810" w:right="1219" w:bottom="1440" w:gutter="0" w:footer="0" w:header="0"/>
        </w:sectPr>
      </w:pPr>
    </w:p>
    <w:bookmarkStart w:id="73" w:name="page74"/>
    <w:bookmarkEnd w:id="73"/>
    <w:p>
      <w:pPr>
        <w:ind w:left="4120"/>
        <w:spacing w:after="0"/>
        <w:rPr>
          <w:sz w:val="20"/>
          <w:szCs w:val="20"/>
          <w:color w:val="auto"/>
        </w:rPr>
      </w:pPr>
      <w:r>
        <w:rPr>
          <w:rFonts w:ascii="Arial" w:cs="Arial" w:eastAsia="Arial" w:hAnsi="Arial"/>
          <w:sz w:val="20"/>
          <w:szCs w:val="20"/>
          <w:color w:val="auto"/>
        </w:rPr>
        <w:t>Exhibit A</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Published CUSIP Number: 63845QAD1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Revolving Loan CUSIP Number: 63845QAE9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Term Loan CUSIP Number: 63845QAF6</w:t>
      </w:r>
    </w:p>
    <w:p>
      <w:pPr>
        <w:spacing w:after="0" w:line="200" w:lineRule="exact"/>
        <w:rPr>
          <w:sz w:val="20"/>
          <w:szCs w:val="20"/>
          <w:color w:val="auto"/>
        </w:rPr>
      </w:pPr>
    </w:p>
    <w:p>
      <w:pPr>
        <w:spacing w:after="0" w:line="24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AMENDED AND RESTATED CREDIT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July 18, 2019,</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NAUTILUS ACQUISITION HOLDINGS, INC.,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Holdings,</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NATIONAL VISION, INC.,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The Several Lenders</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from Time to Time Parties Hereto,</w:t>
      </w:r>
    </w:p>
    <w:p>
      <w:pPr>
        <w:spacing w:after="0" w:line="200" w:lineRule="exact"/>
        <w:rPr>
          <w:sz w:val="20"/>
          <w:szCs w:val="20"/>
          <w:color w:val="auto"/>
        </w:rPr>
      </w:pPr>
    </w:p>
    <w:p>
      <w:pPr>
        <w:spacing w:after="0" w:line="227"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as the Administrative Agent, the Collateral Agent, the Swingline Lender and a Lender,</w:t>
      </w:r>
    </w:p>
    <w:p>
      <w:pPr>
        <w:spacing w:after="0" w:line="23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Letter of Credit Issuers Parties Hereto,</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KKR CAPITAL MARKETS LLC,</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JPMORGAN CHASE BANK, N.A., and</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as Joint Lead Arrangers and Bookrunners,</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JPMORGAN CHASE BANK, N.A., and</w:t>
      </w:r>
    </w:p>
    <w:p>
      <w:pPr>
        <w:spacing w:after="0" w:line="23"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WELLS FARGO BANK, N.A., as</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Syndication Agents</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FIFTH THIRD BANK, and</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SUNTRUST BANK,</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as Documentation Agents</w:t>
      </w:r>
    </w:p>
    <w:p>
      <w:pPr>
        <w:sectPr>
          <w:pgSz w:w="11900" w:h="16838" w:orient="portrait"/>
          <w:cols w:equalWidth="0" w:num="1">
            <w:col w:w="10220"/>
          </w:cols>
          <w:pgMar w:left="1440" w:top="104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1"/>
                <w:szCs w:val="21"/>
                <w:color w:val="auto"/>
              </w:rPr>
            </w:pPr>
          </w:p>
        </w:tc>
        <w:tc>
          <w:tcPr>
            <w:tcW w:w="976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22"/>
                <w:szCs w:val="22"/>
                <w:b w:val="1"/>
                <w:bCs w:val="1"/>
                <w:color w:val="auto"/>
                <w:w w:val="79"/>
              </w:rPr>
              <w:t>Page</w:t>
            </w:r>
          </w:p>
        </w:tc>
      </w:tr>
      <w:tr>
        <w:trPr>
          <w:trHeight w:val="48"/>
        </w:trPr>
        <w:tc>
          <w:tcPr>
            <w:tcW w:w="1040" w:type="dxa"/>
            <w:vAlign w:val="bottom"/>
          </w:tcPr>
          <w:p>
            <w:pPr>
              <w:spacing w:after="0"/>
              <w:rPr>
                <w:sz w:val="4"/>
                <w:szCs w:val="4"/>
                <w:color w:val="auto"/>
              </w:rPr>
            </w:pPr>
          </w:p>
        </w:tc>
        <w:tc>
          <w:tcPr>
            <w:tcW w:w="976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Section 1</w:t>
            </w:r>
          </w:p>
        </w:tc>
        <w:tc>
          <w:tcPr>
            <w:tcW w:w="9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Definitions</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1.1</w:t>
            </w:r>
          </w:p>
        </w:tc>
        <w:tc>
          <w:tcPr>
            <w:tcW w:w="9760" w:type="dxa"/>
            <w:vAlign w:val="bottom"/>
          </w:tcPr>
          <w:p>
            <w:pPr>
              <w:ind w:left="260"/>
              <w:spacing w:after="0"/>
              <w:rPr>
                <w:sz w:val="20"/>
                <w:szCs w:val="20"/>
                <w:color w:val="auto"/>
              </w:rPr>
            </w:pPr>
            <w:r>
              <w:rPr>
                <w:rFonts w:ascii="Arial" w:cs="Arial" w:eastAsia="Arial" w:hAnsi="Arial"/>
                <w:sz w:val="20"/>
                <w:szCs w:val="20"/>
                <w:color w:val="auto"/>
              </w:rPr>
              <w:t>Defined Terms</w:t>
            </w: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1</w:t>
            </w:r>
          </w:p>
        </w:tc>
      </w:tr>
      <w:tr>
        <w:trPr>
          <w:trHeight w:val="23"/>
        </w:trPr>
        <w:tc>
          <w:tcPr>
            <w:tcW w:w="1040" w:type="dxa"/>
            <w:vAlign w:val="bottom"/>
          </w:tcPr>
          <w:p>
            <w:pPr>
              <w:spacing w:after="0"/>
              <w:rPr>
                <w:sz w:val="2"/>
                <w:szCs w:val="2"/>
                <w:color w:val="auto"/>
              </w:rPr>
            </w:pPr>
          </w:p>
        </w:tc>
        <w:tc>
          <w:tcPr>
            <w:tcW w:w="9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1.2</w:t>
            </w:r>
          </w:p>
        </w:tc>
        <w:tc>
          <w:tcPr>
            <w:tcW w:w="9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Other Interpretive Provisions</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60</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1.3</w:t>
            </w:r>
          </w:p>
        </w:tc>
        <w:tc>
          <w:tcPr>
            <w:tcW w:w="9760" w:type="dxa"/>
            <w:vAlign w:val="bottom"/>
          </w:tcPr>
          <w:p>
            <w:pPr>
              <w:ind w:left="260"/>
              <w:spacing w:after="0"/>
              <w:rPr>
                <w:sz w:val="20"/>
                <w:szCs w:val="20"/>
                <w:color w:val="auto"/>
              </w:rPr>
            </w:pPr>
            <w:r>
              <w:rPr>
                <w:rFonts w:ascii="Arial" w:cs="Arial" w:eastAsia="Arial" w:hAnsi="Arial"/>
                <w:sz w:val="20"/>
                <w:szCs w:val="20"/>
                <w:color w:val="auto"/>
              </w:rPr>
              <w:t>Accounting Terms</w:t>
            </w: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60</w:t>
            </w:r>
          </w:p>
        </w:tc>
      </w:tr>
      <w:tr>
        <w:trPr>
          <w:trHeight w:val="23"/>
        </w:trPr>
        <w:tc>
          <w:tcPr>
            <w:tcW w:w="1040" w:type="dxa"/>
            <w:vAlign w:val="bottom"/>
          </w:tcPr>
          <w:p>
            <w:pPr>
              <w:spacing w:after="0"/>
              <w:rPr>
                <w:sz w:val="2"/>
                <w:szCs w:val="2"/>
                <w:color w:val="auto"/>
              </w:rPr>
            </w:pPr>
          </w:p>
        </w:tc>
        <w:tc>
          <w:tcPr>
            <w:tcW w:w="9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1.4</w:t>
            </w:r>
          </w:p>
        </w:tc>
        <w:tc>
          <w:tcPr>
            <w:tcW w:w="9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Rounding</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61</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1.5</w:t>
            </w:r>
          </w:p>
        </w:tc>
        <w:tc>
          <w:tcPr>
            <w:tcW w:w="9760" w:type="dxa"/>
            <w:vAlign w:val="bottom"/>
          </w:tcPr>
          <w:p>
            <w:pPr>
              <w:ind w:left="260"/>
              <w:spacing w:after="0"/>
              <w:rPr>
                <w:sz w:val="20"/>
                <w:szCs w:val="20"/>
                <w:color w:val="auto"/>
              </w:rPr>
            </w:pPr>
            <w:r>
              <w:rPr>
                <w:rFonts w:ascii="Arial" w:cs="Arial" w:eastAsia="Arial" w:hAnsi="Arial"/>
                <w:sz w:val="20"/>
                <w:szCs w:val="20"/>
                <w:color w:val="auto"/>
              </w:rPr>
              <w:t>References to Agreements Laws, Etc</w:t>
            </w: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61</w:t>
            </w:r>
          </w:p>
        </w:tc>
      </w:tr>
      <w:tr>
        <w:trPr>
          <w:trHeight w:val="23"/>
        </w:trPr>
        <w:tc>
          <w:tcPr>
            <w:tcW w:w="1040" w:type="dxa"/>
            <w:vAlign w:val="bottom"/>
          </w:tcPr>
          <w:p>
            <w:pPr>
              <w:spacing w:after="0"/>
              <w:rPr>
                <w:sz w:val="2"/>
                <w:szCs w:val="2"/>
                <w:color w:val="auto"/>
              </w:rPr>
            </w:pPr>
          </w:p>
        </w:tc>
        <w:tc>
          <w:tcPr>
            <w:tcW w:w="9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1.6</w:t>
            </w:r>
          </w:p>
        </w:tc>
        <w:tc>
          <w:tcPr>
            <w:tcW w:w="9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Exchange Rates</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61</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1.7</w:t>
            </w:r>
          </w:p>
        </w:tc>
        <w:tc>
          <w:tcPr>
            <w:tcW w:w="9760" w:type="dxa"/>
            <w:vAlign w:val="bottom"/>
          </w:tcPr>
          <w:p>
            <w:pPr>
              <w:ind w:left="260"/>
              <w:spacing w:after="0"/>
              <w:rPr>
                <w:sz w:val="20"/>
                <w:szCs w:val="20"/>
                <w:color w:val="auto"/>
              </w:rPr>
            </w:pPr>
            <w:r>
              <w:rPr>
                <w:rFonts w:ascii="Arial" w:cs="Arial" w:eastAsia="Arial" w:hAnsi="Arial"/>
                <w:sz w:val="20"/>
                <w:szCs w:val="20"/>
                <w:color w:val="auto"/>
              </w:rPr>
              <w:t>Rates</w:t>
            </w: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61</w:t>
            </w:r>
          </w:p>
        </w:tc>
      </w:tr>
      <w:tr>
        <w:trPr>
          <w:trHeight w:val="23"/>
        </w:trPr>
        <w:tc>
          <w:tcPr>
            <w:tcW w:w="1040" w:type="dxa"/>
            <w:vAlign w:val="bottom"/>
          </w:tcPr>
          <w:p>
            <w:pPr>
              <w:spacing w:after="0"/>
              <w:rPr>
                <w:sz w:val="2"/>
                <w:szCs w:val="2"/>
                <w:color w:val="auto"/>
              </w:rPr>
            </w:pPr>
          </w:p>
        </w:tc>
        <w:tc>
          <w:tcPr>
            <w:tcW w:w="9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1.8</w:t>
            </w:r>
          </w:p>
        </w:tc>
        <w:tc>
          <w:tcPr>
            <w:tcW w:w="9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Times of Day</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61</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1.9</w:t>
            </w:r>
          </w:p>
        </w:tc>
        <w:tc>
          <w:tcPr>
            <w:tcW w:w="9760" w:type="dxa"/>
            <w:vAlign w:val="bottom"/>
          </w:tcPr>
          <w:p>
            <w:pPr>
              <w:ind w:left="260"/>
              <w:spacing w:after="0"/>
              <w:rPr>
                <w:sz w:val="20"/>
                <w:szCs w:val="20"/>
                <w:color w:val="auto"/>
              </w:rPr>
            </w:pPr>
            <w:r>
              <w:rPr>
                <w:rFonts w:ascii="Arial" w:cs="Arial" w:eastAsia="Arial" w:hAnsi="Arial"/>
                <w:sz w:val="20"/>
                <w:szCs w:val="20"/>
                <w:color w:val="auto"/>
              </w:rPr>
              <w:t>Timing of Payment or Performance</w:t>
            </w: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61</w:t>
            </w:r>
          </w:p>
        </w:tc>
      </w:tr>
      <w:tr>
        <w:trPr>
          <w:trHeight w:val="23"/>
        </w:trPr>
        <w:tc>
          <w:tcPr>
            <w:tcW w:w="1040" w:type="dxa"/>
            <w:vAlign w:val="bottom"/>
          </w:tcPr>
          <w:p>
            <w:pPr>
              <w:spacing w:after="0"/>
              <w:rPr>
                <w:sz w:val="2"/>
                <w:szCs w:val="2"/>
                <w:color w:val="auto"/>
              </w:rPr>
            </w:pPr>
          </w:p>
        </w:tc>
        <w:tc>
          <w:tcPr>
            <w:tcW w:w="9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1.10</w:t>
            </w:r>
          </w:p>
        </w:tc>
        <w:tc>
          <w:tcPr>
            <w:tcW w:w="9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Certifications</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61</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1.11</w:t>
            </w:r>
          </w:p>
        </w:tc>
        <w:tc>
          <w:tcPr>
            <w:tcW w:w="9760" w:type="dxa"/>
            <w:vAlign w:val="bottom"/>
          </w:tcPr>
          <w:p>
            <w:pPr>
              <w:ind w:left="260"/>
              <w:spacing w:after="0"/>
              <w:rPr>
                <w:sz w:val="20"/>
                <w:szCs w:val="20"/>
                <w:color w:val="auto"/>
              </w:rPr>
            </w:pPr>
            <w:r>
              <w:rPr>
                <w:rFonts w:ascii="Arial" w:cs="Arial" w:eastAsia="Arial" w:hAnsi="Arial"/>
                <w:sz w:val="20"/>
                <w:szCs w:val="20"/>
                <w:color w:val="auto"/>
              </w:rPr>
              <w:t>Compliance with Certain Sections</w:t>
            </w: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62</w:t>
            </w:r>
          </w:p>
        </w:tc>
      </w:tr>
      <w:tr>
        <w:trPr>
          <w:trHeight w:val="23"/>
        </w:trPr>
        <w:tc>
          <w:tcPr>
            <w:tcW w:w="1040" w:type="dxa"/>
            <w:vAlign w:val="bottom"/>
          </w:tcPr>
          <w:p>
            <w:pPr>
              <w:spacing w:after="0"/>
              <w:rPr>
                <w:sz w:val="2"/>
                <w:szCs w:val="2"/>
                <w:color w:val="auto"/>
              </w:rPr>
            </w:pPr>
          </w:p>
        </w:tc>
        <w:tc>
          <w:tcPr>
            <w:tcW w:w="9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1.12</w:t>
            </w:r>
          </w:p>
        </w:tc>
        <w:tc>
          <w:tcPr>
            <w:tcW w:w="9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Pro Forma and Other Calculations</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62</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1.13</w:t>
            </w:r>
          </w:p>
        </w:tc>
        <w:tc>
          <w:tcPr>
            <w:tcW w:w="9760" w:type="dxa"/>
            <w:vAlign w:val="bottom"/>
          </w:tcPr>
          <w:p>
            <w:pPr>
              <w:ind w:left="260"/>
              <w:spacing w:after="0"/>
              <w:rPr>
                <w:sz w:val="20"/>
                <w:szCs w:val="20"/>
                <w:color w:val="auto"/>
              </w:rPr>
            </w:pPr>
            <w:r>
              <w:rPr>
                <w:rFonts w:ascii="Arial" w:cs="Arial" w:eastAsia="Arial" w:hAnsi="Arial"/>
                <w:sz w:val="20"/>
                <w:szCs w:val="20"/>
                <w:color w:val="auto"/>
              </w:rPr>
              <w:t>Divisions</w:t>
            </w: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64</w:t>
            </w:r>
          </w:p>
        </w:tc>
      </w:tr>
      <w:tr>
        <w:trPr>
          <w:trHeight w:val="23"/>
        </w:trPr>
        <w:tc>
          <w:tcPr>
            <w:tcW w:w="1040" w:type="dxa"/>
            <w:vAlign w:val="bottom"/>
          </w:tcPr>
          <w:p>
            <w:pPr>
              <w:spacing w:after="0"/>
              <w:rPr>
                <w:sz w:val="2"/>
                <w:szCs w:val="2"/>
                <w:color w:val="auto"/>
              </w:rPr>
            </w:pPr>
          </w:p>
        </w:tc>
        <w:tc>
          <w:tcPr>
            <w:tcW w:w="9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1.14</w:t>
            </w:r>
          </w:p>
        </w:tc>
        <w:tc>
          <w:tcPr>
            <w:tcW w:w="9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Amendment and Restatement</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65</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Section 2</w:t>
            </w:r>
          </w:p>
        </w:tc>
        <w:tc>
          <w:tcPr>
            <w:tcW w:w="9760" w:type="dxa"/>
            <w:vAlign w:val="bottom"/>
          </w:tcPr>
          <w:p>
            <w:pPr>
              <w:ind w:left="260"/>
              <w:spacing w:after="0"/>
              <w:rPr>
                <w:sz w:val="20"/>
                <w:szCs w:val="20"/>
                <w:color w:val="auto"/>
              </w:rPr>
            </w:pPr>
            <w:r>
              <w:rPr>
                <w:rFonts w:ascii="Arial" w:cs="Arial" w:eastAsia="Arial" w:hAnsi="Arial"/>
                <w:sz w:val="20"/>
                <w:szCs w:val="20"/>
                <w:color w:val="auto"/>
              </w:rPr>
              <w:t>Amount and Terms of Credit</w:t>
            </w: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65</w:t>
            </w:r>
          </w:p>
        </w:tc>
      </w:tr>
      <w:tr>
        <w:trPr>
          <w:trHeight w:val="23"/>
        </w:trPr>
        <w:tc>
          <w:tcPr>
            <w:tcW w:w="1040" w:type="dxa"/>
            <w:vAlign w:val="bottom"/>
          </w:tcPr>
          <w:p>
            <w:pPr>
              <w:spacing w:after="0"/>
              <w:rPr>
                <w:sz w:val="2"/>
                <w:szCs w:val="2"/>
                <w:color w:val="auto"/>
              </w:rPr>
            </w:pPr>
          </w:p>
        </w:tc>
        <w:tc>
          <w:tcPr>
            <w:tcW w:w="9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2.1</w:t>
            </w:r>
          </w:p>
        </w:tc>
        <w:tc>
          <w:tcPr>
            <w:tcW w:w="9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Commitments</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65</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2.2</w:t>
            </w:r>
          </w:p>
        </w:tc>
        <w:tc>
          <w:tcPr>
            <w:tcW w:w="9760" w:type="dxa"/>
            <w:vAlign w:val="bottom"/>
          </w:tcPr>
          <w:p>
            <w:pPr>
              <w:ind w:left="260"/>
              <w:spacing w:after="0"/>
              <w:rPr>
                <w:sz w:val="20"/>
                <w:szCs w:val="20"/>
                <w:color w:val="auto"/>
              </w:rPr>
            </w:pPr>
            <w:r>
              <w:rPr>
                <w:rFonts w:ascii="Arial" w:cs="Arial" w:eastAsia="Arial" w:hAnsi="Arial"/>
                <w:sz w:val="20"/>
                <w:szCs w:val="20"/>
                <w:color w:val="auto"/>
              </w:rPr>
              <w:t>Minimum Amount of Each Borrowing; Maximum Number of Borrowings</w:t>
            </w: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67</w:t>
            </w:r>
          </w:p>
        </w:tc>
      </w:tr>
      <w:tr>
        <w:trPr>
          <w:trHeight w:val="23"/>
        </w:trPr>
        <w:tc>
          <w:tcPr>
            <w:tcW w:w="1040" w:type="dxa"/>
            <w:vAlign w:val="bottom"/>
          </w:tcPr>
          <w:p>
            <w:pPr>
              <w:spacing w:after="0"/>
              <w:rPr>
                <w:sz w:val="2"/>
                <w:szCs w:val="2"/>
                <w:color w:val="auto"/>
              </w:rPr>
            </w:pPr>
          </w:p>
        </w:tc>
        <w:tc>
          <w:tcPr>
            <w:tcW w:w="9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2.3</w:t>
            </w:r>
          </w:p>
        </w:tc>
        <w:tc>
          <w:tcPr>
            <w:tcW w:w="9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Notice of Borrowing</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67</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2.4</w:t>
            </w:r>
          </w:p>
        </w:tc>
        <w:tc>
          <w:tcPr>
            <w:tcW w:w="9760" w:type="dxa"/>
            <w:vAlign w:val="bottom"/>
          </w:tcPr>
          <w:p>
            <w:pPr>
              <w:ind w:left="260"/>
              <w:spacing w:after="0"/>
              <w:rPr>
                <w:sz w:val="20"/>
                <w:szCs w:val="20"/>
                <w:color w:val="auto"/>
              </w:rPr>
            </w:pPr>
            <w:r>
              <w:rPr>
                <w:rFonts w:ascii="Arial" w:cs="Arial" w:eastAsia="Arial" w:hAnsi="Arial"/>
                <w:sz w:val="20"/>
                <w:szCs w:val="20"/>
                <w:color w:val="auto"/>
              </w:rPr>
              <w:t>Disbursement of Funds</w:t>
            </w: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68</w:t>
            </w:r>
          </w:p>
        </w:tc>
      </w:tr>
      <w:tr>
        <w:trPr>
          <w:trHeight w:val="23"/>
        </w:trPr>
        <w:tc>
          <w:tcPr>
            <w:tcW w:w="1040" w:type="dxa"/>
            <w:vAlign w:val="bottom"/>
          </w:tcPr>
          <w:p>
            <w:pPr>
              <w:spacing w:after="0"/>
              <w:rPr>
                <w:sz w:val="2"/>
                <w:szCs w:val="2"/>
                <w:color w:val="auto"/>
              </w:rPr>
            </w:pPr>
          </w:p>
        </w:tc>
        <w:tc>
          <w:tcPr>
            <w:tcW w:w="9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2.5</w:t>
            </w:r>
          </w:p>
        </w:tc>
        <w:tc>
          <w:tcPr>
            <w:tcW w:w="9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Repayment of Loans; Evidence of Debt</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69</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2.6</w:t>
            </w:r>
          </w:p>
        </w:tc>
        <w:tc>
          <w:tcPr>
            <w:tcW w:w="9760" w:type="dxa"/>
            <w:vAlign w:val="bottom"/>
          </w:tcPr>
          <w:p>
            <w:pPr>
              <w:ind w:left="260"/>
              <w:spacing w:after="0"/>
              <w:rPr>
                <w:sz w:val="20"/>
                <w:szCs w:val="20"/>
                <w:color w:val="auto"/>
              </w:rPr>
            </w:pPr>
            <w:r>
              <w:rPr>
                <w:rFonts w:ascii="Arial" w:cs="Arial" w:eastAsia="Arial" w:hAnsi="Arial"/>
                <w:sz w:val="20"/>
                <w:szCs w:val="20"/>
                <w:color w:val="auto"/>
              </w:rPr>
              <w:t>Conversions and Continuations</w:t>
            </w: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71</w:t>
            </w:r>
          </w:p>
        </w:tc>
      </w:tr>
      <w:tr>
        <w:trPr>
          <w:trHeight w:val="23"/>
        </w:trPr>
        <w:tc>
          <w:tcPr>
            <w:tcW w:w="1040" w:type="dxa"/>
            <w:vAlign w:val="bottom"/>
          </w:tcPr>
          <w:p>
            <w:pPr>
              <w:spacing w:after="0"/>
              <w:rPr>
                <w:sz w:val="2"/>
                <w:szCs w:val="2"/>
                <w:color w:val="auto"/>
              </w:rPr>
            </w:pPr>
          </w:p>
        </w:tc>
        <w:tc>
          <w:tcPr>
            <w:tcW w:w="9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2.7</w:t>
            </w:r>
          </w:p>
        </w:tc>
        <w:tc>
          <w:tcPr>
            <w:tcW w:w="9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Pro Rata Borrowings</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72</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2.8</w:t>
            </w:r>
          </w:p>
        </w:tc>
        <w:tc>
          <w:tcPr>
            <w:tcW w:w="9760" w:type="dxa"/>
            <w:vAlign w:val="bottom"/>
          </w:tcPr>
          <w:p>
            <w:pPr>
              <w:ind w:left="260"/>
              <w:spacing w:after="0"/>
              <w:rPr>
                <w:sz w:val="20"/>
                <w:szCs w:val="20"/>
                <w:color w:val="auto"/>
              </w:rPr>
            </w:pPr>
            <w:r>
              <w:rPr>
                <w:rFonts w:ascii="Arial" w:cs="Arial" w:eastAsia="Arial" w:hAnsi="Arial"/>
                <w:sz w:val="20"/>
                <w:szCs w:val="20"/>
                <w:color w:val="auto"/>
              </w:rPr>
              <w:t>Interest</w:t>
            </w: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72</w:t>
            </w:r>
          </w:p>
        </w:tc>
      </w:tr>
      <w:tr>
        <w:trPr>
          <w:trHeight w:val="23"/>
        </w:trPr>
        <w:tc>
          <w:tcPr>
            <w:tcW w:w="1040" w:type="dxa"/>
            <w:vAlign w:val="bottom"/>
          </w:tcPr>
          <w:p>
            <w:pPr>
              <w:spacing w:after="0"/>
              <w:rPr>
                <w:sz w:val="2"/>
                <w:szCs w:val="2"/>
                <w:color w:val="auto"/>
              </w:rPr>
            </w:pPr>
          </w:p>
        </w:tc>
        <w:tc>
          <w:tcPr>
            <w:tcW w:w="9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2.9</w:t>
            </w:r>
          </w:p>
        </w:tc>
        <w:tc>
          <w:tcPr>
            <w:tcW w:w="9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Interest Periods</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73</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2.10</w:t>
            </w:r>
          </w:p>
        </w:tc>
        <w:tc>
          <w:tcPr>
            <w:tcW w:w="9760" w:type="dxa"/>
            <w:vAlign w:val="bottom"/>
          </w:tcPr>
          <w:p>
            <w:pPr>
              <w:ind w:left="260"/>
              <w:spacing w:after="0"/>
              <w:rPr>
                <w:sz w:val="20"/>
                <w:szCs w:val="20"/>
                <w:color w:val="auto"/>
              </w:rPr>
            </w:pPr>
            <w:r>
              <w:rPr>
                <w:rFonts w:ascii="Arial" w:cs="Arial" w:eastAsia="Arial" w:hAnsi="Arial"/>
                <w:sz w:val="20"/>
                <w:szCs w:val="20"/>
                <w:color w:val="auto"/>
              </w:rPr>
              <w:t>Increased Costs, Illegality, Etc</w:t>
            </w: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73</w:t>
            </w:r>
          </w:p>
        </w:tc>
      </w:tr>
      <w:tr>
        <w:trPr>
          <w:trHeight w:val="23"/>
        </w:trPr>
        <w:tc>
          <w:tcPr>
            <w:tcW w:w="1040" w:type="dxa"/>
            <w:vAlign w:val="bottom"/>
          </w:tcPr>
          <w:p>
            <w:pPr>
              <w:spacing w:after="0"/>
              <w:rPr>
                <w:sz w:val="2"/>
                <w:szCs w:val="2"/>
                <w:color w:val="auto"/>
              </w:rPr>
            </w:pPr>
          </w:p>
        </w:tc>
        <w:tc>
          <w:tcPr>
            <w:tcW w:w="9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2.11</w:t>
            </w:r>
          </w:p>
        </w:tc>
        <w:tc>
          <w:tcPr>
            <w:tcW w:w="9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Compensation</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75</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2.12</w:t>
            </w:r>
          </w:p>
        </w:tc>
        <w:tc>
          <w:tcPr>
            <w:tcW w:w="9760" w:type="dxa"/>
            <w:vAlign w:val="bottom"/>
          </w:tcPr>
          <w:p>
            <w:pPr>
              <w:ind w:left="260"/>
              <w:spacing w:after="0"/>
              <w:rPr>
                <w:sz w:val="20"/>
                <w:szCs w:val="20"/>
                <w:color w:val="auto"/>
              </w:rPr>
            </w:pPr>
            <w:r>
              <w:rPr>
                <w:rFonts w:ascii="Arial" w:cs="Arial" w:eastAsia="Arial" w:hAnsi="Arial"/>
                <w:sz w:val="20"/>
                <w:szCs w:val="20"/>
                <w:color w:val="auto"/>
              </w:rPr>
              <w:t>Change of Lending Office</w:t>
            </w: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76</w:t>
            </w:r>
          </w:p>
        </w:tc>
      </w:tr>
      <w:tr>
        <w:trPr>
          <w:trHeight w:val="23"/>
        </w:trPr>
        <w:tc>
          <w:tcPr>
            <w:tcW w:w="1040" w:type="dxa"/>
            <w:vAlign w:val="bottom"/>
          </w:tcPr>
          <w:p>
            <w:pPr>
              <w:spacing w:after="0"/>
              <w:rPr>
                <w:sz w:val="2"/>
                <w:szCs w:val="2"/>
                <w:color w:val="auto"/>
              </w:rPr>
            </w:pPr>
          </w:p>
        </w:tc>
        <w:tc>
          <w:tcPr>
            <w:tcW w:w="9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2.13</w:t>
            </w:r>
          </w:p>
        </w:tc>
        <w:tc>
          <w:tcPr>
            <w:tcW w:w="9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Notice of Certain Costs</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76</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2.14</w:t>
            </w:r>
          </w:p>
        </w:tc>
        <w:tc>
          <w:tcPr>
            <w:tcW w:w="9760" w:type="dxa"/>
            <w:vAlign w:val="bottom"/>
          </w:tcPr>
          <w:p>
            <w:pPr>
              <w:ind w:left="260"/>
              <w:spacing w:after="0"/>
              <w:rPr>
                <w:sz w:val="20"/>
                <w:szCs w:val="20"/>
                <w:color w:val="auto"/>
              </w:rPr>
            </w:pPr>
            <w:r>
              <w:rPr>
                <w:rFonts w:ascii="Arial" w:cs="Arial" w:eastAsia="Arial" w:hAnsi="Arial"/>
                <w:sz w:val="20"/>
                <w:szCs w:val="20"/>
                <w:color w:val="auto"/>
              </w:rPr>
              <w:t>Incremental Facilities</w:t>
            </w: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76</w:t>
            </w:r>
          </w:p>
        </w:tc>
      </w:tr>
      <w:tr>
        <w:trPr>
          <w:trHeight w:val="23"/>
        </w:trPr>
        <w:tc>
          <w:tcPr>
            <w:tcW w:w="1040" w:type="dxa"/>
            <w:vAlign w:val="bottom"/>
          </w:tcPr>
          <w:p>
            <w:pPr>
              <w:spacing w:after="0"/>
              <w:rPr>
                <w:sz w:val="2"/>
                <w:szCs w:val="2"/>
                <w:color w:val="auto"/>
              </w:rPr>
            </w:pPr>
          </w:p>
        </w:tc>
        <w:tc>
          <w:tcPr>
            <w:tcW w:w="9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2.15</w:t>
            </w:r>
          </w:p>
        </w:tc>
        <w:tc>
          <w:tcPr>
            <w:tcW w:w="9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[Reserved]</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81</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2.16</w:t>
            </w:r>
          </w:p>
        </w:tc>
        <w:tc>
          <w:tcPr>
            <w:tcW w:w="9760" w:type="dxa"/>
            <w:vAlign w:val="bottom"/>
          </w:tcPr>
          <w:p>
            <w:pPr>
              <w:ind w:left="260"/>
              <w:spacing w:after="0"/>
              <w:rPr>
                <w:sz w:val="20"/>
                <w:szCs w:val="20"/>
                <w:color w:val="auto"/>
              </w:rPr>
            </w:pPr>
            <w:r>
              <w:rPr>
                <w:rFonts w:ascii="Arial" w:cs="Arial" w:eastAsia="Arial" w:hAnsi="Arial"/>
                <w:sz w:val="20"/>
                <w:szCs w:val="20"/>
                <w:color w:val="auto"/>
              </w:rPr>
              <w:t>Defaulting Lenders</w:t>
            </w: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81</w:t>
            </w:r>
          </w:p>
        </w:tc>
      </w:tr>
      <w:tr>
        <w:trPr>
          <w:trHeight w:val="23"/>
        </w:trPr>
        <w:tc>
          <w:tcPr>
            <w:tcW w:w="1040" w:type="dxa"/>
            <w:vAlign w:val="bottom"/>
          </w:tcPr>
          <w:p>
            <w:pPr>
              <w:spacing w:after="0"/>
              <w:rPr>
                <w:sz w:val="2"/>
                <w:szCs w:val="2"/>
                <w:color w:val="auto"/>
              </w:rPr>
            </w:pPr>
          </w:p>
        </w:tc>
        <w:tc>
          <w:tcPr>
            <w:tcW w:w="9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Section 3</w:t>
            </w:r>
          </w:p>
        </w:tc>
        <w:tc>
          <w:tcPr>
            <w:tcW w:w="9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Letters of Credit</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83</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3.1</w:t>
            </w:r>
          </w:p>
        </w:tc>
        <w:tc>
          <w:tcPr>
            <w:tcW w:w="9760" w:type="dxa"/>
            <w:vAlign w:val="bottom"/>
          </w:tcPr>
          <w:p>
            <w:pPr>
              <w:ind w:left="260"/>
              <w:spacing w:after="0"/>
              <w:rPr>
                <w:sz w:val="20"/>
                <w:szCs w:val="20"/>
                <w:color w:val="auto"/>
              </w:rPr>
            </w:pPr>
            <w:r>
              <w:rPr>
                <w:rFonts w:ascii="Arial" w:cs="Arial" w:eastAsia="Arial" w:hAnsi="Arial"/>
                <w:sz w:val="20"/>
                <w:szCs w:val="20"/>
                <w:color w:val="auto"/>
              </w:rPr>
              <w:t>Letters of Credit</w:t>
            </w: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83</w:t>
            </w:r>
          </w:p>
        </w:tc>
      </w:tr>
      <w:tr>
        <w:trPr>
          <w:trHeight w:val="23"/>
        </w:trPr>
        <w:tc>
          <w:tcPr>
            <w:tcW w:w="1040" w:type="dxa"/>
            <w:vAlign w:val="bottom"/>
          </w:tcPr>
          <w:p>
            <w:pPr>
              <w:spacing w:after="0"/>
              <w:rPr>
                <w:sz w:val="2"/>
                <w:szCs w:val="2"/>
                <w:color w:val="auto"/>
              </w:rPr>
            </w:pPr>
          </w:p>
        </w:tc>
        <w:tc>
          <w:tcPr>
            <w:tcW w:w="9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3.2</w:t>
            </w:r>
          </w:p>
        </w:tc>
        <w:tc>
          <w:tcPr>
            <w:tcW w:w="9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Letter of Credit Requests</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85</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3.3</w:t>
            </w:r>
          </w:p>
        </w:tc>
        <w:tc>
          <w:tcPr>
            <w:tcW w:w="9760" w:type="dxa"/>
            <w:vAlign w:val="bottom"/>
          </w:tcPr>
          <w:p>
            <w:pPr>
              <w:ind w:left="260"/>
              <w:spacing w:after="0"/>
              <w:rPr>
                <w:sz w:val="20"/>
                <w:szCs w:val="20"/>
                <w:color w:val="auto"/>
              </w:rPr>
            </w:pPr>
            <w:r>
              <w:rPr>
                <w:rFonts w:ascii="Arial" w:cs="Arial" w:eastAsia="Arial" w:hAnsi="Arial"/>
                <w:sz w:val="20"/>
                <w:szCs w:val="20"/>
                <w:color w:val="auto"/>
              </w:rPr>
              <w:t>Letter of Credit Participations</w:t>
            </w: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86</w:t>
            </w: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420"/>
          </w:cols>
          <w:pgMar w:left="240" w:top="81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040" w:type="dxa"/>
            <w:vAlign w:val="bottom"/>
            <w:shd w:val="clear" w:color="auto" w:fill="CCEEFF"/>
          </w:tcPr>
          <w:p>
            <w:pPr>
              <w:ind w:left="40"/>
              <w:spacing w:after="0"/>
              <w:rPr>
                <w:sz w:val="20"/>
                <w:szCs w:val="20"/>
                <w:color w:val="auto"/>
              </w:rPr>
            </w:pPr>
            <w:r>
              <w:rPr>
                <w:rFonts w:ascii="Arial" w:cs="Arial" w:eastAsia="Arial" w:hAnsi="Arial"/>
                <w:sz w:val="20"/>
                <w:szCs w:val="20"/>
                <w:color w:val="auto"/>
              </w:rPr>
              <w:t>3.4</w:t>
            </w:r>
          </w:p>
        </w:tc>
        <w:tc>
          <w:tcPr>
            <w:tcW w:w="85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Agreement to Repay Letter of Credit Drawings</w:t>
            </w:r>
          </w:p>
        </w:tc>
        <w:tc>
          <w:tcPr>
            <w:tcW w:w="18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87</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3.5</w:t>
            </w:r>
          </w:p>
        </w:tc>
        <w:tc>
          <w:tcPr>
            <w:tcW w:w="8540" w:type="dxa"/>
            <w:vAlign w:val="bottom"/>
          </w:tcPr>
          <w:p>
            <w:pPr>
              <w:ind w:left="260"/>
              <w:spacing w:after="0"/>
              <w:rPr>
                <w:sz w:val="20"/>
                <w:szCs w:val="20"/>
                <w:color w:val="auto"/>
              </w:rPr>
            </w:pPr>
            <w:r>
              <w:rPr>
                <w:rFonts w:ascii="Arial" w:cs="Arial" w:eastAsia="Arial" w:hAnsi="Arial"/>
                <w:sz w:val="20"/>
                <w:szCs w:val="20"/>
                <w:color w:val="auto"/>
              </w:rPr>
              <w:t>Increased Costs</w:t>
            </w:r>
          </w:p>
        </w:tc>
        <w:tc>
          <w:tcPr>
            <w:tcW w:w="1840" w:type="dxa"/>
            <w:vAlign w:val="bottom"/>
          </w:tcPr>
          <w:p>
            <w:pPr>
              <w:jc w:val="right"/>
              <w:ind w:right="1"/>
              <w:spacing w:after="0"/>
              <w:rPr>
                <w:sz w:val="20"/>
                <w:szCs w:val="20"/>
                <w:color w:val="auto"/>
              </w:rPr>
            </w:pPr>
            <w:r>
              <w:rPr>
                <w:rFonts w:ascii="Arial" w:cs="Arial" w:eastAsia="Arial" w:hAnsi="Arial"/>
                <w:sz w:val="20"/>
                <w:szCs w:val="20"/>
                <w:color w:val="auto"/>
              </w:rPr>
              <w:t>90</w:t>
            </w:r>
          </w:p>
        </w:tc>
      </w:tr>
      <w:tr>
        <w:trPr>
          <w:trHeight w:val="23"/>
        </w:trPr>
        <w:tc>
          <w:tcPr>
            <w:tcW w:w="10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3.6</w:t>
            </w:r>
          </w:p>
        </w:tc>
        <w:tc>
          <w:tcPr>
            <w:tcW w:w="8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New or Successor Letter of Credit Issuer</w:t>
            </w:r>
          </w:p>
        </w:tc>
        <w:tc>
          <w:tcPr>
            <w:tcW w:w="1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90</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3.7</w:t>
            </w:r>
          </w:p>
        </w:tc>
        <w:tc>
          <w:tcPr>
            <w:tcW w:w="8540" w:type="dxa"/>
            <w:vAlign w:val="bottom"/>
          </w:tcPr>
          <w:p>
            <w:pPr>
              <w:ind w:left="260"/>
              <w:spacing w:after="0"/>
              <w:rPr>
                <w:sz w:val="20"/>
                <w:szCs w:val="20"/>
                <w:color w:val="auto"/>
              </w:rPr>
            </w:pPr>
            <w:r>
              <w:rPr>
                <w:rFonts w:ascii="Arial" w:cs="Arial" w:eastAsia="Arial" w:hAnsi="Arial"/>
                <w:sz w:val="20"/>
                <w:szCs w:val="20"/>
                <w:color w:val="auto"/>
              </w:rPr>
              <w:t>Role of Letter of Credit Issuer</w:t>
            </w:r>
          </w:p>
        </w:tc>
        <w:tc>
          <w:tcPr>
            <w:tcW w:w="1840" w:type="dxa"/>
            <w:vAlign w:val="bottom"/>
          </w:tcPr>
          <w:p>
            <w:pPr>
              <w:jc w:val="right"/>
              <w:ind w:right="1"/>
              <w:spacing w:after="0"/>
              <w:rPr>
                <w:sz w:val="20"/>
                <w:szCs w:val="20"/>
                <w:color w:val="auto"/>
              </w:rPr>
            </w:pPr>
            <w:r>
              <w:rPr>
                <w:rFonts w:ascii="Arial" w:cs="Arial" w:eastAsia="Arial" w:hAnsi="Arial"/>
                <w:sz w:val="20"/>
                <w:szCs w:val="20"/>
                <w:color w:val="auto"/>
              </w:rPr>
              <w:t>92</w:t>
            </w:r>
          </w:p>
        </w:tc>
      </w:tr>
      <w:tr>
        <w:trPr>
          <w:trHeight w:val="23"/>
        </w:trPr>
        <w:tc>
          <w:tcPr>
            <w:tcW w:w="10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3.8</w:t>
            </w:r>
          </w:p>
        </w:tc>
        <w:tc>
          <w:tcPr>
            <w:tcW w:w="8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Cash Collateral</w:t>
            </w:r>
          </w:p>
        </w:tc>
        <w:tc>
          <w:tcPr>
            <w:tcW w:w="1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93</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3.9</w:t>
            </w:r>
          </w:p>
        </w:tc>
        <w:tc>
          <w:tcPr>
            <w:tcW w:w="8540" w:type="dxa"/>
            <w:vAlign w:val="bottom"/>
          </w:tcPr>
          <w:p>
            <w:pPr>
              <w:ind w:left="260"/>
              <w:spacing w:after="0"/>
              <w:rPr>
                <w:sz w:val="20"/>
                <w:szCs w:val="20"/>
                <w:color w:val="auto"/>
              </w:rPr>
            </w:pPr>
            <w:r>
              <w:rPr>
                <w:rFonts w:ascii="Arial" w:cs="Arial" w:eastAsia="Arial" w:hAnsi="Arial"/>
                <w:sz w:val="20"/>
                <w:szCs w:val="20"/>
                <w:color w:val="auto"/>
              </w:rPr>
              <w:t>Applicability of ISP</w:t>
            </w:r>
          </w:p>
        </w:tc>
        <w:tc>
          <w:tcPr>
            <w:tcW w:w="1840" w:type="dxa"/>
            <w:vAlign w:val="bottom"/>
          </w:tcPr>
          <w:p>
            <w:pPr>
              <w:jc w:val="right"/>
              <w:ind w:right="1"/>
              <w:spacing w:after="0"/>
              <w:rPr>
                <w:sz w:val="20"/>
                <w:szCs w:val="20"/>
                <w:color w:val="auto"/>
              </w:rPr>
            </w:pPr>
            <w:r>
              <w:rPr>
                <w:rFonts w:ascii="Arial" w:cs="Arial" w:eastAsia="Arial" w:hAnsi="Arial"/>
                <w:sz w:val="20"/>
                <w:szCs w:val="20"/>
                <w:color w:val="auto"/>
              </w:rPr>
              <w:t>93</w:t>
            </w:r>
          </w:p>
        </w:tc>
      </w:tr>
      <w:tr>
        <w:trPr>
          <w:trHeight w:val="23"/>
        </w:trPr>
        <w:tc>
          <w:tcPr>
            <w:tcW w:w="10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3.10</w:t>
            </w:r>
          </w:p>
        </w:tc>
        <w:tc>
          <w:tcPr>
            <w:tcW w:w="8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Conflict with Issuer Documents</w:t>
            </w:r>
          </w:p>
        </w:tc>
        <w:tc>
          <w:tcPr>
            <w:tcW w:w="1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94</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3.11</w:t>
            </w:r>
          </w:p>
        </w:tc>
        <w:tc>
          <w:tcPr>
            <w:tcW w:w="8540" w:type="dxa"/>
            <w:vAlign w:val="bottom"/>
          </w:tcPr>
          <w:p>
            <w:pPr>
              <w:ind w:left="260"/>
              <w:spacing w:after="0"/>
              <w:rPr>
                <w:sz w:val="20"/>
                <w:szCs w:val="20"/>
                <w:color w:val="auto"/>
              </w:rPr>
            </w:pPr>
            <w:r>
              <w:rPr>
                <w:rFonts w:ascii="Arial" w:cs="Arial" w:eastAsia="Arial" w:hAnsi="Arial"/>
                <w:sz w:val="20"/>
                <w:szCs w:val="20"/>
                <w:color w:val="auto"/>
              </w:rPr>
              <w:t>Letters of Credit Issued for Restricted Subsidiaries</w:t>
            </w:r>
          </w:p>
        </w:tc>
        <w:tc>
          <w:tcPr>
            <w:tcW w:w="1840" w:type="dxa"/>
            <w:vAlign w:val="bottom"/>
          </w:tcPr>
          <w:p>
            <w:pPr>
              <w:jc w:val="right"/>
              <w:ind w:right="1"/>
              <w:spacing w:after="0"/>
              <w:rPr>
                <w:sz w:val="20"/>
                <w:szCs w:val="20"/>
                <w:color w:val="auto"/>
              </w:rPr>
            </w:pPr>
            <w:r>
              <w:rPr>
                <w:rFonts w:ascii="Arial" w:cs="Arial" w:eastAsia="Arial" w:hAnsi="Arial"/>
                <w:sz w:val="20"/>
                <w:szCs w:val="20"/>
                <w:color w:val="auto"/>
              </w:rPr>
              <w:t>94</w:t>
            </w:r>
          </w:p>
        </w:tc>
      </w:tr>
      <w:tr>
        <w:trPr>
          <w:trHeight w:val="23"/>
        </w:trPr>
        <w:tc>
          <w:tcPr>
            <w:tcW w:w="10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3.12</w:t>
            </w:r>
          </w:p>
        </w:tc>
        <w:tc>
          <w:tcPr>
            <w:tcW w:w="8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Provisions Related to Extended Revolving Credit Commitments</w:t>
            </w:r>
          </w:p>
        </w:tc>
        <w:tc>
          <w:tcPr>
            <w:tcW w:w="1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94</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Section 4</w:t>
            </w:r>
          </w:p>
        </w:tc>
        <w:tc>
          <w:tcPr>
            <w:tcW w:w="8540" w:type="dxa"/>
            <w:vAlign w:val="bottom"/>
          </w:tcPr>
          <w:p>
            <w:pPr>
              <w:ind w:left="260"/>
              <w:spacing w:after="0"/>
              <w:rPr>
                <w:sz w:val="20"/>
                <w:szCs w:val="20"/>
                <w:color w:val="auto"/>
              </w:rPr>
            </w:pPr>
            <w:r>
              <w:rPr>
                <w:rFonts w:ascii="Arial" w:cs="Arial" w:eastAsia="Arial" w:hAnsi="Arial"/>
                <w:sz w:val="20"/>
                <w:szCs w:val="20"/>
                <w:color w:val="auto"/>
              </w:rPr>
              <w:t>Fees</w:t>
            </w:r>
          </w:p>
        </w:tc>
        <w:tc>
          <w:tcPr>
            <w:tcW w:w="1840" w:type="dxa"/>
            <w:vAlign w:val="bottom"/>
          </w:tcPr>
          <w:p>
            <w:pPr>
              <w:jc w:val="right"/>
              <w:ind w:right="1"/>
              <w:spacing w:after="0"/>
              <w:rPr>
                <w:sz w:val="20"/>
                <w:szCs w:val="20"/>
                <w:color w:val="auto"/>
              </w:rPr>
            </w:pPr>
            <w:r>
              <w:rPr>
                <w:rFonts w:ascii="Arial" w:cs="Arial" w:eastAsia="Arial" w:hAnsi="Arial"/>
                <w:sz w:val="20"/>
                <w:szCs w:val="20"/>
                <w:color w:val="auto"/>
              </w:rPr>
              <w:t>94</w:t>
            </w:r>
          </w:p>
        </w:tc>
      </w:tr>
      <w:tr>
        <w:trPr>
          <w:trHeight w:val="23"/>
        </w:trPr>
        <w:tc>
          <w:tcPr>
            <w:tcW w:w="10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4.1</w:t>
            </w:r>
          </w:p>
        </w:tc>
        <w:tc>
          <w:tcPr>
            <w:tcW w:w="8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Fees</w:t>
            </w:r>
          </w:p>
        </w:tc>
        <w:tc>
          <w:tcPr>
            <w:tcW w:w="1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94</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4.2</w:t>
            </w:r>
          </w:p>
        </w:tc>
        <w:tc>
          <w:tcPr>
            <w:tcW w:w="8540" w:type="dxa"/>
            <w:vAlign w:val="bottom"/>
          </w:tcPr>
          <w:p>
            <w:pPr>
              <w:ind w:left="260"/>
              <w:spacing w:after="0"/>
              <w:rPr>
                <w:sz w:val="20"/>
                <w:szCs w:val="20"/>
                <w:color w:val="auto"/>
              </w:rPr>
            </w:pPr>
            <w:r>
              <w:rPr>
                <w:rFonts w:ascii="Arial" w:cs="Arial" w:eastAsia="Arial" w:hAnsi="Arial"/>
                <w:sz w:val="20"/>
                <w:szCs w:val="20"/>
                <w:color w:val="auto"/>
              </w:rPr>
              <w:t>Voluntary Reduction of Revolving Credit Commitments</w:t>
            </w:r>
          </w:p>
        </w:tc>
        <w:tc>
          <w:tcPr>
            <w:tcW w:w="1840" w:type="dxa"/>
            <w:vAlign w:val="bottom"/>
          </w:tcPr>
          <w:p>
            <w:pPr>
              <w:jc w:val="right"/>
              <w:ind w:right="1"/>
              <w:spacing w:after="0"/>
              <w:rPr>
                <w:sz w:val="20"/>
                <w:szCs w:val="20"/>
                <w:color w:val="auto"/>
              </w:rPr>
            </w:pPr>
            <w:r>
              <w:rPr>
                <w:rFonts w:ascii="Arial" w:cs="Arial" w:eastAsia="Arial" w:hAnsi="Arial"/>
                <w:sz w:val="20"/>
                <w:szCs w:val="20"/>
                <w:color w:val="auto"/>
              </w:rPr>
              <w:t>95</w:t>
            </w:r>
          </w:p>
        </w:tc>
      </w:tr>
      <w:tr>
        <w:trPr>
          <w:trHeight w:val="23"/>
        </w:trPr>
        <w:tc>
          <w:tcPr>
            <w:tcW w:w="10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4.3</w:t>
            </w:r>
          </w:p>
        </w:tc>
        <w:tc>
          <w:tcPr>
            <w:tcW w:w="8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Mandatory Termination of Commitments</w:t>
            </w:r>
          </w:p>
        </w:tc>
        <w:tc>
          <w:tcPr>
            <w:tcW w:w="1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95</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Section 5</w:t>
            </w:r>
          </w:p>
        </w:tc>
        <w:tc>
          <w:tcPr>
            <w:tcW w:w="8540" w:type="dxa"/>
            <w:vAlign w:val="bottom"/>
          </w:tcPr>
          <w:p>
            <w:pPr>
              <w:ind w:left="260"/>
              <w:spacing w:after="0"/>
              <w:rPr>
                <w:sz w:val="20"/>
                <w:szCs w:val="20"/>
                <w:color w:val="auto"/>
              </w:rPr>
            </w:pPr>
            <w:r>
              <w:rPr>
                <w:rFonts w:ascii="Arial" w:cs="Arial" w:eastAsia="Arial" w:hAnsi="Arial"/>
                <w:sz w:val="20"/>
                <w:szCs w:val="20"/>
                <w:color w:val="auto"/>
              </w:rPr>
              <w:t>Payments</w:t>
            </w:r>
          </w:p>
        </w:tc>
        <w:tc>
          <w:tcPr>
            <w:tcW w:w="1840" w:type="dxa"/>
            <w:vAlign w:val="bottom"/>
          </w:tcPr>
          <w:p>
            <w:pPr>
              <w:jc w:val="right"/>
              <w:ind w:right="1"/>
              <w:spacing w:after="0"/>
              <w:rPr>
                <w:sz w:val="20"/>
                <w:szCs w:val="20"/>
                <w:color w:val="auto"/>
              </w:rPr>
            </w:pPr>
            <w:r>
              <w:rPr>
                <w:rFonts w:ascii="Arial" w:cs="Arial" w:eastAsia="Arial" w:hAnsi="Arial"/>
                <w:sz w:val="20"/>
                <w:szCs w:val="20"/>
                <w:color w:val="auto"/>
              </w:rPr>
              <w:t>96</w:t>
            </w:r>
          </w:p>
        </w:tc>
      </w:tr>
      <w:tr>
        <w:trPr>
          <w:trHeight w:val="23"/>
        </w:trPr>
        <w:tc>
          <w:tcPr>
            <w:tcW w:w="10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5.1</w:t>
            </w:r>
          </w:p>
        </w:tc>
        <w:tc>
          <w:tcPr>
            <w:tcW w:w="8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Voluntary Prepayments</w:t>
            </w:r>
          </w:p>
        </w:tc>
        <w:tc>
          <w:tcPr>
            <w:tcW w:w="1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96</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5.2</w:t>
            </w:r>
          </w:p>
        </w:tc>
        <w:tc>
          <w:tcPr>
            <w:tcW w:w="8540" w:type="dxa"/>
            <w:vAlign w:val="bottom"/>
          </w:tcPr>
          <w:p>
            <w:pPr>
              <w:ind w:left="260"/>
              <w:spacing w:after="0"/>
              <w:rPr>
                <w:sz w:val="20"/>
                <w:szCs w:val="20"/>
                <w:color w:val="auto"/>
              </w:rPr>
            </w:pPr>
            <w:r>
              <w:rPr>
                <w:rFonts w:ascii="Arial" w:cs="Arial" w:eastAsia="Arial" w:hAnsi="Arial"/>
                <w:sz w:val="20"/>
                <w:szCs w:val="20"/>
                <w:color w:val="auto"/>
              </w:rPr>
              <w:t>Mandatory Prepayments</w:t>
            </w:r>
          </w:p>
        </w:tc>
        <w:tc>
          <w:tcPr>
            <w:tcW w:w="1840" w:type="dxa"/>
            <w:vAlign w:val="bottom"/>
          </w:tcPr>
          <w:p>
            <w:pPr>
              <w:jc w:val="right"/>
              <w:ind w:right="1"/>
              <w:spacing w:after="0"/>
              <w:rPr>
                <w:sz w:val="20"/>
                <w:szCs w:val="20"/>
                <w:color w:val="auto"/>
              </w:rPr>
            </w:pPr>
            <w:r>
              <w:rPr>
                <w:rFonts w:ascii="Arial" w:cs="Arial" w:eastAsia="Arial" w:hAnsi="Arial"/>
                <w:sz w:val="20"/>
                <w:szCs w:val="20"/>
                <w:color w:val="auto"/>
              </w:rPr>
              <w:t>96</w:t>
            </w:r>
          </w:p>
        </w:tc>
      </w:tr>
      <w:tr>
        <w:trPr>
          <w:trHeight w:val="23"/>
        </w:trPr>
        <w:tc>
          <w:tcPr>
            <w:tcW w:w="10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5.3</w:t>
            </w:r>
          </w:p>
        </w:tc>
        <w:tc>
          <w:tcPr>
            <w:tcW w:w="8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Method and Place of Payment</w:t>
            </w:r>
          </w:p>
        </w:tc>
        <w:tc>
          <w:tcPr>
            <w:tcW w:w="1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99</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5.4</w:t>
            </w:r>
          </w:p>
        </w:tc>
        <w:tc>
          <w:tcPr>
            <w:tcW w:w="8540" w:type="dxa"/>
            <w:vAlign w:val="bottom"/>
          </w:tcPr>
          <w:p>
            <w:pPr>
              <w:ind w:left="260"/>
              <w:spacing w:after="0"/>
              <w:rPr>
                <w:sz w:val="20"/>
                <w:szCs w:val="20"/>
                <w:color w:val="auto"/>
              </w:rPr>
            </w:pPr>
            <w:r>
              <w:rPr>
                <w:rFonts w:ascii="Arial" w:cs="Arial" w:eastAsia="Arial" w:hAnsi="Arial"/>
                <w:sz w:val="20"/>
                <w:szCs w:val="20"/>
                <w:color w:val="auto"/>
              </w:rPr>
              <w:t>Net Payments</w:t>
            </w:r>
          </w:p>
        </w:tc>
        <w:tc>
          <w:tcPr>
            <w:tcW w:w="1840" w:type="dxa"/>
            <w:vAlign w:val="bottom"/>
          </w:tcPr>
          <w:p>
            <w:pPr>
              <w:jc w:val="right"/>
              <w:ind w:right="1"/>
              <w:spacing w:after="0"/>
              <w:rPr>
                <w:sz w:val="20"/>
                <w:szCs w:val="20"/>
                <w:color w:val="auto"/>
              </w:rPr>
            </w:pPr>
            <w:r>
              <w:rPr>
                <w:rFonts w:ascii="Arial" w:cs="Arial" w:eastAsia="Arial" w:hAnsi="Arial"/>
                <w:sz w:val="20"/>
                <w:szCs w:val="20"/>
                <w:color w:val="auto"/>
              </w:rPr>
              <w:t>99</w:t>
            </w:r>
          </w:p>
        </w:tc>
      </w:tr>
      <w:tr>
        <w:trPr>
          <w:trHeight w:val="23"/>
        </w:trPr>
        <w:tc>
          <w:tcPr>
            <w:tcW w:w="10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5.5</w:t>
            </w:r>
          </w:p>
        </w:tc>
        <w:tc>
          <w:tcPr>
            <w:tcW w:w="8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Computations of Interest and Fees</w:t>
            </w:r>
          </w:p>
        </w:tc>
        <w:tc>
          <w:tcPr>
            <w:tcW w:w="1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103</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5.6</w:t>
            </w:r>
          </w:p>
        </w:tc>
        <w:tc>
          <w:tcPr>
            <w:tcW w:w="8540" w:type="dxa"/>
            <w:vAlign w:val="bottom"/>
          </w:tcPr>
          <w:p>
            <w:pPr>
              <w:ind w:left="260"/>
              <w:spacing w:after="0"/>
              <w:rPr>
                <w:sz w:val="20"/>
                <w:szCs w:val="20"/>
                <w:color w:val="auto"/>
              </w:rPr>
            </w:pPr>
            <w:r>
              <w:rPr>
                <w:rFonts w:ascii="Arial" w:cs="Arial" w:eastAsia="Arial" w:hAnsi="Arial"/>
                <w:sz w:val="20"/>
                <w:szCs w:val="20"/>
                <w:color w:val="auto"/>
              </w:rPr>
              <w:t>Limit on Rate of Interest</w:t>
            </w:r>
          </w:p>
        </w:tc>
        <w:tc>
          <w:tcPr>
            <w:tcW w:w="1840" w:type="dxa"/>
            <w:vAlign w:val="bottom"/>
          </w:tcPr>
          <w:p>
            <w:pPr>
              <w:jc w:val="right"/>
              <w:ind w:right="1"/>
              <w:spacing w:after="0"/>
              <w:rPr>
                <w:sz w:val="20"/>
                <w:szCs w:val="20"/>
                <w:color w:val="auto"/>
              </w:rPr>
            </w:pPr>
            <w:r>
              <w:rPr>
                <w:rFonts w:ascii="Arial" w:cs="Arial" w:eastAsia="Arial" w:hAnsi="Arial"/>
                <w:sz w:val="20"/>
                <w:szCs w:val="20"/>
                <w:color w:val="auto"/>
              </w:rPr>
              <w:t>103</w:t>
            </w:r>
          </w:p>
        </w:tc>
      </w:tr>
      <w:tr>
        <w:trPr>
          <w:trHeight w:val="23"/>
        </w:trPr>
        <w:tc>
          <w:tcPr>
            <w:tcW w:w="10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Section 6</w:t>
            </w:r>
          </w:p>
        </w:tc>
        <w:tc>
          <w:tcPr>
            <w:tcW w:w="8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Conditions Precedent to Initial Borrowing</w:t>
            </w:r>
          </w:p>
        </w:tc>
        <w:tc>
          <w:tcPr>
            <w:tcW w:w="1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104</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6.1</w:t>
            </w:r>
          </w:p>
        </w:tc>
        <w:tc>
          <w:tcPr>
            <w:tcW w:w="8540" w:type="dxa"/>
            <w:vAlign w:val="bottom"/>
          </w:tcPr>
          <w:p>
            <w:pPr>
              <w:ind w:left="260"/>
              <w:spacing w:after="0"/>
              <w:rPr>
                <w:sz w:val="20"/>
                <w:szCs w:val="20"/>
                <w:color w:val="auto"/>
              </w:rPr>
            </w:pPr>
            <w:r>
              <w:rPr>
                <w:rFonts w:ascii="Arial" w:cs="Arial" w:eastAsia="Arial" w:hAnsi="Arial"/>
                <w:sz w:val="20"/>
                <w:szCs w:val="20"/>
                <w:color w:val="auto"/>
              </w:rPr>
              <w:t>Credit Documents</w:t>
            </w:r>
          </w:p>
        </w:tc>
        <w:tc>
          <w:tcPr>
            <w:tcW w:w="1840" w:type="dxa"/>
            <w:vAlign w:val="bottom"/>
          </w:tcPr>
          <w:p>
            <w:pPr>
              <w:jc w:val="right"/>
              <w:ind w:right="1"/>
              <w:spacing w:after="0"/>
              <w:rPr>
                <w:sz w:val="20"/>
                <w:szCs w:val="20"/>
                <w:color w:val="auto"/>
              </w:rPr>
            </w:pPr>
            <w:r>
              <w:rPr>
                <w:rFonts w:ascii="Arial" w:cs="Arial" w:eastAsia="Arial" w:hAnsi="Arial"/>
                <w:sz w:val="20"/>
                <w:szCs w:val="20"/>
                <w:color w:val="auto"/>
              </w:rPr>
              <w:t>104</w:t>
            </w:r>
          </w:p>
        </w:tc>
      </w:tr>
      <w:tr>
        <w:trPr>
          <w:trHeight w:val="23"/>
        </w:trPr>
        <w:tc>
          <w:tcPr>
            <w:tcW w:w="10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6.2</w:t>
            </w:r>
          </w:p>
        </w:tc>
        <w:tc>
          <w:tcPr>
            <w:tcW w:w="8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Collateral</w:t>
            </w:r>
          </w:p>
        </w:tc>
        <w:tc>
          <w:tcPr>
            <w:tcW w:w="1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104</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6.3</w:t>
            </w:r>
          </w:p>
        </w:tc>
        <w:tc>
          <w:tcPr>
            <w:tcW w:w="8540" w:type="dxa"/>
            <w:vAlign w:val="bottom"/>
          </w:tcPr>
          <w:p>
            <w:pPr>
              <w:ind w:left="260"/>
              <w:spacing w:after="0"/>
              <w:rPr>
                <w:sz w:val="20"/>
                <w:szCs w:val="20"/>
                <w:color w:val="auto"/>
              </w:rPr>
            </w:pPr>
            <w:r>
              <w:rPr>
                <w:rFonts w:ascii="Arial" w:cs="Arial" w:eastAsia="Arial" w:hAnsi="Arial"/>
                <w:sz w:val="20"/>
                <w:szCs w:val="20"/>
                <w:color w:val="auto"/>
              </w:rPr>
              <w:t>Legal Opinions</w:t>
            </w:r>
          </w:p>
        </w:tc>
        <w:tc>
          <w:tcPr>
            <w:tcW w:w="1840" w:type="dxa"/>
            <w:vAlign w:val="bottom"/>
          </w:tcPr>
          <w:p>
            <w:pPr>
              <w:jc w:val="right"/>
              <w:ind w:right="1"/>
              <w:spacing w:after="0"/>
              <w:rPr>
                <w:sz w:val="20"/>
                <w:szCs w:val="20"/>
                <w:color w:val="auto"/>
              </w:rPr>
            </w:pPr>
            <w:r>
              <w:rPr>
                <w:rFonts w:ascii="Arial" w:cs="Arial" w:eastAsia="Arial" w:hAnsi="Arial"/>
                <w:sz w:val="20"/>
                <w:szCs w:val="20"/>
                <w:color w:val="auto"/>
              </w:rPr>
              <w:t>104</w:t>
            </w:r>
          </w:p>
        </w:tc>
      </w:tr>
      <w:tr>
        <w:trPr>
          <w:trHeight w:val="23"/>
        </w:trPr>
        <w:tc>
          <w:tcPr>
            <w:tcW w:w="10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6.4</w:t>
            </w:r>
          </w:p>
        </w:tc>
        <w:tc>
          <w:tcPr>
            <w:tcW w:w="8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Closing Certificates</w:t>
            </w:r>
          </w:p>
        </w:tc>
        <w:tc>
          <w:tcPr>
            <w:tcW w:w="1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105</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6.5</w:t>
            </w:r>
          </w:p>
        </w:tc>
        <w:tc>
          <w:tcPr>
            <w:tcW w:w="8540" w:type="dxa"/>
            <w:vAlign w:val="bottom"/>
          </w:tcPr>
          <w:p>
            <w:pPr>
              <w:ind w:left="260"/>
              <w:spacing w:after="0"/>
              <w:rPr>
                <w:sz w:val="20"/>
                <w:szCs w:val="20"/>
                <w:color w:val="auto"/>
              </w:rPr>
            </w:pPr>
            <w:r>
              <w:rPr>
                <w:rFonts w:ascii="Arial" w:cs="Arial" w:eastAsia="Arial" w:hAnsi="Arial"/>
                <w:sz w:val="20"/>
                <w:szCs w:val="20"/>
                <w:color w:val="auto"/>
              </w:rPr>
              <w:t>Authorization of Proceedings of the Credit Parties; Corporate Documents</w:t>
            </w:r>
          </w:p>
        </w:tc>
        <w:tc>
          <w:tcPr>
            <w:tcW w:w="1840" w:type="dxa"/>
            <w:vAlign w:val="bottom"/>
          </w:tcPr>
          <w:p>
            <w:pPr>
              <w:jc w:val="right"/>
              <w:ind w:right="1"/>
              <w:spacing w:after="0"/>
              <w:rPr>
                <w:sz w:val="20"/>
                <w:szCs w:val="20"/>
                <w:color w:val="auto"/>
              </w:rPr>
            </w:pPr>
            <w:r>
              <w:rPr>
                <w:rFonts w:ascii="Arial" w:cs="Arial" w:eastAsia="Arial" w:hAnsi="Arial"/>
                <w:sz w:val="20"/>
                <w:szCs w:val="20"/>
                <w:color w:val="auto"/>
              </w:rPr>
              <w:t>105</w:t>
            </w:r>
          </w:p>
        </w:tc>
      </w:tr>
      <w:tr>
        <w:trPr>
          <w:trHeight w:val="23"/>
        </w:trPr>
        <w:tc>
          <w:tcPr>
            <w:tcW w:w="10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6.6</w:t>
            </w:r>
          </w:p>
        </w:tc>
        <w:tc>
          <w:tcPr>
            <w:tcW w:w="8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Fees</w:t>
            </w:r>
          </w:p>
        </w:tc>
        <w:tc>
          <w:tcPr>
            <w:tcW w:w="1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105</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6.7</w:t>
            </w:r>
          </w:p>
        </w:tc>
        <w:tc>
          <w:tcPr>
            <w:tcW w:w="8540" w:type="dxa"/>
            <w:vAlign w:val="bottom"/>
          </w:tcPr>
          <w:p>
            <w:pPr>
              <w:ind w:left="260"/>
              <w:spacing w:after="0"/>
              <w:rPr>
                <w:sz w:val="20"/>
                <w:szCs w:val="20"/>
                <w:color w:val="auto"/>
              </w:rPr>
            </w:pPr>
            <w:r>
              <w:rPr>
                <w:rFonts w:ascii="Arial" w:cs="Arial" w:eastAsia="Arial" w:hAnsi="Arial"/>
                <w:sz w:val="20"/>
                <w:szCs w:val="20"/>
                <w:color w:val="auto"/>
              </w:rPr>
              <w:t>Representations and Warranties; No Default</w:t>
            </w:r>
          </w:p>
        </w:tc>
        <w:tc>
          <w:tcPr>
            <w:tcW w:w="1840" w:type="dxa"/>
            <w:vAlign w:val="bottom"/>
          </w:tcPr>
          <w:p>
            <w:pPr>
              <w:jc w:val="right"/>
              <w:ind w:right="1"/>
              <w:spacing w:after="0"/>
              <w:rPr>
                <w:sz w:val="20"/>
                <w:szCs w:val="20"/>
                <w:color w:val="auto"/>
              </w:rPr>
            </w:pPr>
            <w:r>
              <w:rPr>
                <w:rFonts w:ascii="Arial" w:cs="Arial" w:eastAsia="Arial" w:hAnsi="Arial"/>
                <w:sz w:val="20"/>
                <w:szCs w:val="20"/>
                <w:color w:val="auto"/>
              </w:rPr>
              <w:t>105</w:t>
            </w:r>
          </w:p>
        </w:tc>
      </w:tr>
      <w:tr>
        <w:trPr>
          <w:trHeight w:val="23"/>
        </w:trPr>
        <w:tc>
          <w:tcPr>
            <w:tcW w:w="10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6.8</w:t>
            </w:r>
          </w:p>
        </w:tc>
        <w:tc>
          <w:tcPr>
            <w:tcW w:w="8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Solvency Certificate</w:t>
            </w:r>
          </w:p>
        </w:tc>
        <w:tc>
          <w:tcPr>
            <w:tcW w:w="1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105</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6.9</w:t>
            </w:r>
          </w:p>
        </w:tc>
        <w:tc>
          <w:tcPr>
            <w:tcW w:w="8540" w:type="dxa"/>
            <w:vAlign w:val="bottom"/>
          </w:tcPr>
          <w:p>
            <w:pPr>
              <w:ind w:left="260"/>
              <w:spacing w:after="0"/>
              <w:rPr>
                <w:sz w:val="20"/>
                <w:szCs w:val="20"/>
                <w:color w:val="auto"/>
              </w:rPr>
            </w:pPr>
            <w:r>
              <w:rPr>
                <w:rFonts w:ascii="Arial" w:cs="Arial" w:eastAsia="Arial" w:hAnsi="Arial"/>
                <w:sz w:val="20"/>
                <w:szCs w:val="20"/>
                <w:color w:val="auto"/>
              </w:rPr>
              <w:t>KYC Information</w:t>
            </w:r>
          </w:p>
        </w:tc>
        <w:tc>
          <w:tcPr>
            <w:tcW w:w="1840" w:type="dxa"/>
            <w:vAlign w:val="bottom"/>
          </w:tcPr>
          <w:p>
            <w:pPr>
              <w:jc w:val="right"/>
              <w:ind w:right="1"/>
              <w:spacing w:after="0"/>
              <w:rPr>
                <w:sz w:val="20"/>
                <w:szCs w:val="20"/>
                <w:color w:val="auto"/>
              </w:rPr>
            </w:pPr>
            <w:r>
              <w:rPr>
                <w:rFonts w:ascii="Arial" w:cs="Arial" w:eastAsia="Arial" w:hAnsi="Arial"/>
                <w:sz w:val="20"/>
                <w:szCs w:val="20"/>
                <w:color w:val="auto"/>
              </w:rPr>
              <w:t>105</w:t>
            </w:r>
          </w:p>
        </w:tc>
      </w:tr>
      <w:tr>
        <w:trPr>
          <w:trHeight w:val="23"/>
        </w:trPr>
        <w:tc>
          <w:tcPr>
            <w:tcW w:w="10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6.10</w:t>
            </w:r>
          </w:p>
        </w:tc>
        <w:tc>
          <w:tcPr>
            <w:tcW w:w="8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Refinancing</w:t>
            </w:r>
          </w:p>
        </w:tc>
        <w:tc>
          <w:tcPr>
            <w:tcW w:w="1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105</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6.11</w:t>
            </w:r>
          </w:p>
        </w:tc>
        <w:tc>
          <w:tcPr>
            <w:tcW w:w="8540" w:type="dxa"/>
            <w:vAlign w:val="bottom"/>
          </w:tcPr>
          <w:p>
            <w:pPr>
              <w:ind w:left="260"/>
              <w:spacing w:after="0"/>
              <w:rPr>
                <w:sz w:val="20"/>
                <w:szCs w:val="20"/>
                <w:color w:val="auto"/>
              </w:rPr>
            </w:pPr>
            <w:r>
              <w:rPr>
                <w:rFonts w:ascii="Arial" w:cs="Arial" w:eastAsia="Arial" w:hAnsi="Arial"/>
                <w:sz w:val="20"/>
                <w:szCs w:val="20"/>
                <w:color w:val="auto"/>
              </w:rPr>
              <w:t>Notice of Term Loan Borrowing</w:t>
            </w:r>
          </w:p>
        </w:tc>
        <w:tc>
          <w:tcPr>
            <w:tcW w:w="1840" w:type="dxa"/>
            <w:vAlign w:val="bottom"/>
          </w:tcPr>
          <w:p>
            <w:pPr>
              <w:jc w:val="right"/>
              <w:ind w:right="1"/>
              <w:spacing w:after="0"/>
              <w:rPr>
                <w:sz w:val="20"/>
                <w:szCs w:val="20"/>
                <w:color w:val="auto"/>
              </w:rPr>
            </w:pPr>
            <w:r>
              <w:rPr>
                <w:rFonts w:ascii="Arial" w:cs="Arial" w:eastAsia="Arial" w:hAnsi="Arial"/>
                <w:sz w:val="20"/>
                <w:szCs w:val="20"/>
                <w:color w:val="auto"/>
              </w:rPr>
              <w:t>105</w:t>
            </w:r>
          </w:p>
        </w:tc>
      </w:tr>
      <w:tr>
        <w:trPr>
          <w:trHeight w:val="23"/>
        </w:trPr>
        <w:tc>
          <w:tcPr>
            <w:tcW w:w="10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Section 7</w:t>
            </w:r>
          </w:p>
        </w:tc>
        <w:tc>
          <w:tcPr>
            <w:tcW w:w="8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Conditions Precedent to All Credit Events on and after the Restatement Effective Date</w:t>
            </w:r>
          </w:p>
        </w:tc>
        <w:tc>
          <w:tcPr>
            <w:tcW w:w="1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106</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7.1</w:t>
            </w:r>
          </w:p>
        </w:tc>
        <w:tc>
          <w:tcPr>
            <w:tcW w:w="8540" w:type="dxa"/>
            <w:vAlign w:val="bottom"/>
          </w:tcPr>
          <w:p>
            <w:pPr>
              <w:ind w:left="260"/>
              <w:spacing w:after="0"/>
              <w:rPr>
                <w:sz w:val="20"/>
                <w:szCs w:val="20"/>
                <w:color w:val="auto"/>
              </w:rPr>
            </w:pPr>
            <w:r>
              <w:rPr>
                <w:rFonts w:ascii="Arial" w:cs="Arial" w:eastAsia="Arial" w:hAnsi="Arial"/>
                <w:sz w:val="20"/>
                <w:szCs w:val="20"/>
                <w:color w:val="auto"/>
              </w:rPr>
              <w:t>No Default; Representations and Warranties</w:t>
            </w:r>
          </w:p>
        </w:tc>
        <w:tc>
          <w:tcPr>
            <w:tcW w:w="1840" w:type="dxa"/>
            <w:vAlign w:val="bottom"/>
          </w:tcPr>
          <w:p>
            <w:pPr>
              <w:jc w:val="right"/>
              <w:ind w:right="1"/>
              <w:spacing w:after="0"/>
              <w:rPr>
                <w:sz w:val="20"/>
                <w:szCs w:val="20"/>
                <w:color w:val="auto"/>
              </w:rPr>
            </w:pPr>
            <w:r>
              <w:rPr>
                <w:rFonts w:ascii="Arial" w:cs="Arial" w:eastAsia="Arial" w:hAnsi="Arial"/>
                <w:sz w:val="20"/>
                <w:szCs w:val="20"/>
                <w:color w:val="auto"/>
              </w:rPr>
              <w:t>106</w:t>
            </w:r>
          </w:p>
        </w:tc>
      </w:tr>
      <w:tr>
        <w:trPr>
          <w:trHeight w:val="23"/>
        </w:trPr>
        <w:tc>
          <w:tcPr>
            <w:tcW w:w="10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7.2</w:t>
            </w:r>
          </w:p>
        </w:tc>
        <w:tc>
          <w:tcPr>
            <w:tcW w:w="8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Notice of Borrowing; Letter of Credit Request</w:t>
            </w:r>
          </w:p>
        </w:tc>
        <w:tc>
          <w:tcPr>
            <w:tcW w:w="1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106</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Section 8</w:t>
            </w:r>
          </w:p>
        </w:tc>
        <w:tc>
          <w:tcPr>
            <w:tcW w:w="8540" w:type="dxa"/>
            <w:vAlign w:val="bottom"/>
          </w:tcPr>
          <w:p>
            <w:pPr>
              <w:ind w:left="260"/>
              <w:spacing w:after="0"/>
              <w:rPr>
                <w:sz w:val="20"/>
                <w:szCs w:val="20"/>
                <w:color w:val="auto"/>
              </w:rPr>
            </w:pPr>
            <w:r>
              <w:rPr>
                <w:rFonts w:ascii="Arial" w:cs="Arial" w:eastAsia="Arial" w:hAnsi="Arial"/>
                <w:sz w:val="20"/>
                <w:szCs w:val="20"/>
                <w:color w:val="auto"/>
              </w:rPr>
              <w:t>Representations and Warranties</w:t>
            </w:r>
          </w:p>
        </w:tc>
        <w:tc>
          <w:tcPr>
            <w:tcW w:w="1840" w:type="dxa"/>
            <w:vAlign w:val="bottom"/>
          </w:tcPr>
          <w:p>
            <w:pPr>
              <w:jc w:val="right"/>
              <w:ind w:right="1"/>
              <w:spacing w:after="0"/>
              <w:rPr>
                <w:sz w:val="20"/>
                <w:szCs w:val="20"/>
                <w:color w:val="auto"/>
              </w:rPr>
            </w:pPr>
            <w:r>
              <w:rPr>
                <w:rFonts w:ascii="Arial" w:cs="Arial" w:eastAsia="Arial" w:hAnsi="Arial"/>
                <w:sz w:val="20"/>
                <w:szCs w:val="20"/>
                <w:color w:val="auto"/>
              </w:rPr>
              <w:t>106</w:t>
            </w:r>
          </w:p>
        </w:tc>
      </w:tr>
      <w:tr>
        <w:trPr>
          <w:trHeight w:val="23"/>
        </w:trPr>
        <w:tc>
          <w:tcPr>
            <w:tcW w:w="10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8.1</w:t>
            </w:r>
          </w:p>
        </w:tc>
        <w:tc>
          <w:tcPr>
            <w:tcW w:w="8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Corporate Status</w:t>
            </w:r>
          </w:p>
        </w:tc>
        <w:tc>
          <w:tcPr>
            <w:tcW w:w="1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107</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8.2</w:t>
            </w:r>
          </w:p>
        </w:tc>
        <w:tc>
          <w:tcPr>
            <w:tcW w:w="8540" w:type="dxa"/>
            <w:vAlign w:val="bottom"/>
          </w:tcPr>
          <w:p>
            <w:pPr>
              <w:ind w:left="260"/>
              <w:spacing w:after="0"/>
              <w:rPr>
                <w:sz w:val="20"/>
                <w:szCs w:val="20"/>
                <w:color w:val="auto"/>
              </w:rPr>
            </w:pPr>
            <w:r>
              <w:rPr>
                <w:rFonts w:ascii="Arial" w:cs="Arial" w:eastAsia="Arial" w:hAnsi="Arial"/>
                <w:sz w:val="20"/>
                <w:szCs w:val="20"/>
                <w:color w:val="auto"/>
              </w:rPr>
              <w:t>Corporate Power and Authority</w:t>
            </w:r>
          </w:p>
        </w:tc>
        <w:tc>
          <w:tcPr>
            <w:tcW w:w="1840" w:type="dxa"/>
            <w:vAlign w:val="bottom"/>
          </w:tcPr>
          <w:p>
            <w:pPr>
              <w:jc w:val="right"/>
              <w:ind w:right="1"/>
              <w:spacing w:after="0"/>
              <w:rPr>
                <w:sz w:val="20"/>
                <w:szCs w:val="20"/>
                <w:color w:val="auto"/>
              </w:rPr>
            </w:pPr>
            <w:r>
              <w:rPr>
                <w:rFonts w:ascii="Arial" w:cs="Arial" w:eastAsia="Arial" w:hAnsi="Arial"/>
                <w:sz w:val="20"/>
                <w:szCs w:val="20"/>
                <w:color w:val="auto"/>
              </w:rPr>
              <w:t>107</w:t>
            </w:r>
          </w:p>
        </w:tc>
      </w:tr>
      <w:tr>
        <w:trPr>
          <w:trHeight w:val="23"/>
        </w:trPr>
        <w:tc>
          <w:tcPr>
            <w:tcW w:w="10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4"/>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8.3</w:t>
            </w:r>
          </w:p>
        </w:tc>
        <w:tc>
          <w:tcPr>
            <w:tcW w:w="8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No Violation</w:t>
            </w:r>
          </w:p>
        </w:tc>
        <w:tc>
          <w:tcPr>
            <w:tcW w:w="1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107</w:t>
            </w: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auto"/>
              </w:rPr>
              <w:t>8.4</w:t>
            </w:r>
          </w:p>
        </w:tc>
        <w:tc>
          <w:tcPr>
            <w:tcW w:w="8540" w:type="dxa"/>
            <w:vAlign w:val="bottom"/>
          </w:tcPr>
          <w:p>
            <w:pPr>
              <w:ind w:left="260"/>
              <w:spacing w:after="0"/>
              <w:rPr>
                <w:sz w:val="20"/>
                <w:szCs w:val="20"/>
                <w:color w:val="auto"/>
              </w:rPr>
            </w:pPr>
            <w:r>
              <w:rPr>
                <w:rFonts w:ascii="Arial" w:cs="Arial" w:eastAsia="Arial" w:hAnsi="Arial"/>
                <w:sz w:val="20"/>
                <w:szCs w:val="20"/>
                <w:color w:val="auto"/>
              </w:rPr>
              <w:t>Litigation</w:t>
            </w:r>
          </w:p>
        </w:tc>
        <w:tc>
          <w:tcPr>
            <w:tcW w:w="1840" w:type="dxa"/>
            <w:vAlign w:val="bottom"/>
          </w:tcPr>
          <w:p>
            <w:pPr>
              <w:jc w:val="right"/>
              <w:ind w:right="1"/>
              <w:spacing w:after="0"/>
              <w:rPr>
                <w:sz w:val="20"/>
                <w:szCs w:val="20"/>
                <w:color w:val="auto"/>
              </w:rPr>
            </w:pPr>
            <w:r>
              <w:rPr>
                <w:rFonts w:ascii="Arial" w:cs="Arial" w:eastAsia="Arial" w:hAnsi="Arial"/>
                <w:sz w:val="20"/>
                <w:szCs w:val="20"/>
                <w:color w:val="auto"/>
              </w:rPr>
              <w:t>107</w:t>
            </w:r>
          </w:p>
        </w:tc>
      </w:tr>
    </w:tbl>
    <w:p>
      <w:pPr>
        <w:spacing w:after="0" w:line="200" w:lineRule="exact"/>
        <w:rPr>
          <w:sz w:val="20"/>
          <w:szCs w:val="20"/>
          <w:color w:val="auto"/>
        </w:rPr>
      </w:pPr>
    </w:p>
    <w:p>
      <w:pPr>
        <w:sectPr>
          <w:pgSz w:w="11900" w:h="16838" w:orient="portrait"/>
          <w:cols w:equalWidth="0" w:num="1">
            <w:col w:w="11420"/>
          </w:cols>
          <w:pgMar w:left="240" w:top="676" w:right="239" w:bottom="1440" w:gutter="0" w:footer="0" w:header="0"/>
        </w:sect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1420"/>
          </w:cols>
          <w:pgMar w:left="240" w:top="676" w:right="239" w:bottom="1440" w:gutter="0" w:footer="0" w:header="0"/>
          <w:type w:val="continuous"/>
        </w:sectPr>
      </w:pPr>
    </w:p>
    <w:bookmarkStart w:id="76" w:name="page77"/>
    <w:bookmarkEnd w:id="76"/>
    <w:p>
      <w:pPr>
        <w:jc w:val="right"/>
        <w:spacing w:after="0"/>
        <w:rPr>
          <w:sz w:val="20"/>
          <w:szCs w:val="20"/>
          <w:color w:val="auto"/>
        </w:rPr>
      </w:pPr>
      <w:r>
        <w:rPr>
          <w:rFonts w:ascii="Arial" w:cs="Arial" w:eastAsia="Arial" w:hAnsi="Arial"/>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080" w:type="dxa"/>
            <w:vAlign w:val="bottom"/>
            <w:shd w:val="clear" w:color="auto" w:fill="CCEEFF"/>
          </w:tcPr>
          <w:p>
            <w:pPr>
              <w:ind w:left="40"/>
              <w:spacing w:after="0"/>
              <w:rPr>
                <w:sz w:val="20"/>
                <w:szCs w:val="20"/>
                <w:color w:val="auto"/>
              </w:rPr>
            </w:pPr>
            <w:r>
              <w:rPr>
                <w:rFonts w:ascii="Arial" w:cs="Arial" w:eastAsia="Arial" w:hAnsi="Arial"/>
                <w:sz w:val="20"/>
                <w:szCs w:val="20"/>
                <w:color w:val="auto"/>
              </w:rPr>
              <w:t>8.5</w:t>
            </w:r>
          </w:p>
        </w:tc>
        <w:tc>
          <w:tcPr>
            <w:tcW w:w="78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Margin Regulations</w:t>
            </w:r>
          </w:p>
        </w:tc>
        <w:tc>
          <w:tcPr>
            <w:tcW w:w="25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107</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8.6</w:t>
            </w:r>
          </w:p>
        </w:tc>
        <w:tc>
          <w:tcPr>
            <w:tcW w:w="7820" w:type="dxa"/>
            <w:vAlign w:val="bottom"/>
          </w:tcPr>
          <w:p>
            <w:pPr>
              <w:ind w:left="220"/>
              <w:spacing w:after="0"/>
              <w:rPr>
                <w:sz w:val="20"/>
                <w:szCs w:val="20"/>
                <w:color w:val="auto"/>
              </w:rPr>
            </w:pPr>
            <w:r>
              <w:rPr>
                <w:rFonts w:ascii="Arial" w:cs="Arial" w:eastAsia="Arial" w:hAnsi="Arial"/>
                <w:sz w:val="20"/>
                <w:szCs w:val="20"/>
                <w:color w:val="auto"/>
              </w:rPr>
              <w:t>Governmental Approvals</w:t>
            </w:r>
          </w:p>
        </w:tc>
        <w:tc>
          <w:tcPr>
            <w:tcW w:w="2520" w:type="dxa"/>
            <w:vAlign w:val="bottom"/>
          </w:tcPr>
          <w:p>
            <w:pPr>
              <w:jc w:val="right"/>
              <w:ind w:right="1"/>
              <w:spacing w:after="0"/>
              <w:rPr>
                <w:sz w:val="20"/>
                <w:szCs w:val="20"/>
                <w:color w:val="auto"/>
              </w:rPr>
            </w:pPr>
            <w:r>
              <w:rPr>
                <w:rFonts w:ascii="Arial" w:cs="Arial" w:eastAsia="Arial" w:hAnsi="Arial"/>
                <w:sz w:val="20"/>
                <w:szCs w:val="20"/>
                <w:color w:val="auto"/>
              </w:rPr>
              <w:t>107</w:t>
            </w:r>
          </w:p>
        </w:tc>
      </w:tr>
      <w:tr>
        <w:trPr>
          <w:trHeight w:val="23"/>
        </w:trPr>
        <w:tc>
          <w:tcPr>
            <w:tcW w:w="10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8.7</w:t>
            </w:r>
          </w:p>
        </w:tc>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Investment Company Act</w:t>
            </w:r>
          </w:p>
        </w:tc>
        <w:tc>
          <w:tcPr>
            <w:tcW w:w="2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107</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8.8</w:t>
            </w:r>
          </w:p>
        </w:tc>
        <w:tc>
          <w:tcPr>
            <w:tcW w:w="7820" w:type="dxa"/>
            <w:vAlign w:val="bottom"/>
          </w:tcPr>
          <w:p>
            <w:pPr>
              <w:ind w:left="220"/>
              <w:spacing w:after="0"/>
              <w:rPr>
                <w:sz w:val="20"/>
                <w:szCs w:val="20"/>
                <w:color w:val="auto"/>
              </w:rPr>
            </w:pPr>
            <w:r>
              <w:rPr>
                <w:rFonts w:ascii="Arial" w:cs="Arial" w:eastAsia="Arial" w:hAnsi="Arial"/>
                <w:sz w:val="20"/>
                <w:szCs w:val="20"/>
                <w:color w:val="auto"/>
              </w:rPr>
              <w:t>True and Complete Disclosure</w:t>
            </w:r>
          </w:p>
        </w:tc>
        <w:tc>
          <w:tcPr>
            <w:tcW w:w="2520" w:type="dxa"/>
            <w:vAlign w:val="bottom"/>
          </w:tcPr>
          <w:p>
            <w:pPr>
              <w:jc w:val="right"/>
              <w:ind w:right="1"/>
              <w:spacing w:after="0"/>
              <w:rPr>
                <w:sz w:val="20"/>
                <w:szCs w:val="20"/>
                <w:color w:val="auto"/>
              </w:rPr>
            </w:pPr>
            <w:r>
              <w:rPr>
                <w:rFonts w:ascii="Arial" w:cs="Arial" w:eastAsia="Arial" w:hAnsi="Arial"/>
                <w:sz w:val="20"/>
                <w:szCs w:val="20"/>
                <w:color w:val="auto"/>
              </w:rPr>
              <w:t>107</w:t>
            </w:r>
          </w:p>
        </w:tc>
      </w:tr>
      <w:tr>
        <w:trPr>
          <w:trHeight w:val="23"/>
        </w:trPr>
        <w:tc>
          <w:tcPr>
            <w:tcW w:w="10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8.9</w:t>
            </w:r>
          </w:p>
        </w:tc>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Financial Condition; Financial Statements</w:t>
            </w:r>
          </w:p>
        </w:tc>
        <w:tc>
          <w:tcPr>
            <w:tcW w:w="2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108</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8.10</w:t>
            </w:r>
          </w:p>
        </w:tc>
        <w:tc>
          <w:tcPr>
            <w:tcW w:w="7820" w:type="dxa"/>
            <w:vAlign w:val="bottom"/>
          </w:tcPr>
          <w:p>
            <w:pPr>
              <w:ind w:left="220"/>
              <w:spacing w:after="0"/>
              <w:rPr>
                <w:sz w:val="20"/>
                <w:szCs w:val="20"/>
                <w:color w:val="auto"/>
              </w:rPr>
            </w:pPr>
            <w:r>
              <w:rPr>
                <w:rFonts w:ascii="Arial" w:cs="Arial" w:eastAsia="Arial" w:hAnsi="Arial"/>
                <w:sz w:val="20"/>
                <w:szCs w:val="20"/>
                <w:color w:val="auto"/>
              </w:rPr>
              <w:t>Compliance with Laws; No Default</w:t>
            </w:r>
          </w:p>
        </w:tc>
        <w:tc>
          <w:tcPr>
            <w:tcW w:w="2520" w:type="dxa"/>
            <w:vAlign w:val="bottom"/>
          </w:tcPr>
          <w:p>
            <w:pPr>
              <w:jc w:val="right"/>
              <w:ind w:right="1"/>
              <w:spacing w:after="0"/>
              <w:rPr>
                <w:sz w:val="20"/>
                <w:szCs w:val="20"/>
                <w:color w:val="auto"/>
              </w:rPr>
            </w:pPr>
            <w:r>
              <w:rPr>
                <w:rFonts w:ascii="Arial" w:cs="Arial" w:eastAsia="Arial" w:hAnsi="Arial"/>
                <w:sz w:val="20"/>
                <w:szCs w:val="20"/>
                <w:color w:val="auto"/>
              </w:rPr>
              <w:t>108</w:t>
            </w:r>
          </w:p>
        </w:tc>
      </w:tr>
      <w:tr>
        <w:trPr>
          <w:trHeight w:val="23"/>
        </w:trPr>
        <w:tc>
          <w:tcPr>
            <w:tcW w:w="10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8.11</w:t>
            </w:r>
          </w:p>
        </w:tc>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Anti-Corruption, Sanctions and Anti-Money Laundering Compliance</w:t>
            </w:r>
          </w:p>
        </w:tc>
        <w:tc>
          <w:tcPr>
            <w:tcW w:w="2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109</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8.12</w:t>
            </w:r>
          </w:p>
        </w:tc>
        <w:tc>
          <w:tcPr>
            <w:tcW w:w="7820" w:type="dxa"/>
            <w:vAlign w:val="bottom"/>
          </w:tcPr>
          <w:p>
            <w:pPr>
              <w:ind w:left="220"/>
              <w:spacing w:after="0"/>
              <w:rPr>
                <w:sz w:val="20"/>
                <w:szCs w:val="20"/>
                <w:color w:val="auto"/>
              </w:rPr>
            </w:pPr>
            <w:r>
              <w:rPr>
                <w:rFonts w:ascii="Arial" w:cs="Arial" w:eastAsia="Arial" w:hAnsi="Arial"/>
                <w:sz w:val="20"/>
                <w:szCs w:val="20"/>
                <w:color w:val="auto"/>
              </w:rPr>
              <w:t>Tax Matters</w:t>
            </w:r>
          </w:p>
        </w:tc>
        <w:tc>
          <w:tcPr>
            <w:tcW w:w="2520" w:type="dxa"/>
            <w:vAlign w:val="bottom"/>
          </w:tcPr>
          <w:p>
            <w:pPr>
              <w:jc w:val="right"/>
              <w:ind w:right="1"/>
              <w:spacing w:after="0"/>
              <w:rPr>
                <w:sz w:val="20"/>
                <w:szCs w:val="20"/>
                <w:color w:val="auto"/>
              </w:rPr>
            </w:pPr>
            <w:r>
              <w:rPr>
                <w:rFonts w:ascii="Arial" w:cs="Arial" w:eastAsia="Arial" w:hAnsi="Arial"/>
                <w:sz w:val="20"/>
                <w:szCs w:val="20"/>
                <w:color w:val="auto"/>
              </w:rPr>
              <w:t>109</w:t>
            </w:r>
          </w:p>
        </w:tc>
      </w:tr>
      <w:tr>
        <w:trPr>
          <w:trHeight w:val="23"/>
        </w:trPr>
        <w:tc>
          <w:tcPr>
            <w:tcW w:w="10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8.13</w:t>
            </w:r>
          </w:p>
        </w:tc>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Compliance with ERISA</w:t>
            </w:r>
          </w:p>
        </w:tc>
        <w:tc>
          <w:tcPr>
            <w:tcW w:w="2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109</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8.14</w:t>
            </w:r>
          </w:p>
        </w:tc>
        <w:tc>
          <w:tcPr>
            <w:tcW w:w="7820" w:type="dxa"/>
            <w:vAlign w:val="bottom"/>
          </w:tcPr>
          <w:p>
            <w:pPr>
              <w:ind w:left="220"/>
              <w:spacing w:after="0"/>
              <w:rPr>
                <w:sz w:val="20"/>
                <w:szCs w:val="20"/>
                <w:color w:val="auto"/>
              </w:rPr>
            </w:pPr>
            <w:r>
              <w:rPr>
                <w:rFonts w:ascii="Arial" w:cs="Arial" w:eastAsia="Arial" w:hAnsi="Arial"/>
                <w:sz w:val="20"/>
                <w:szCs w:val="20"/>
                <w:color w:val="auto"/>
              </w:rPr>
              <w:t>Subsidiaries</w:t>
            </w:r>
          </w:p>
        </w:tc>
        <w:tc>
          <w:tcPr>
            <w:tcW w:w="2520" w:type="dxa"/>
            <w:vAlign w:val="bottom"/>
          </w:tcPr>
          <w:p>
            <w:pPr>
              <w:jc w:val="right"/>
              <w:ind w:right="1"/>
              <w:spacing w:after="0"/>
              <w:rPr>
                <w:sz w:val="20"/>
                <w:szCs w:val="20"/>
                <w:color w:val="auto"/>
              </w:rPr>
            </w:pPr>
            <w:r>
              <w:rPr>
                <w:rFonts w:ascii="Arial" w:cs="Arial" w:eastAsia="Arial" w:hAnsi="Arial"/>
                <w:sz w:val="20"/>
                <w:szCs w:val="20"/>
                <w:color w:val="auto"/>
              </w:rPr>
              <w:t>109</w:t>
            </w:r>
          </w:p>
        </w:tc>
      </w:tr>
      <w:tr>
        <w:trPr>
          <w:trHeight w:val="23"/>
        </w:trPr>
        <w:tc>
          <w:tcPr>
            <w:tcW w:w="10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8.15</w:t>
            </w:r>
          </w:p>
        </w:tc>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Intellectual Property</w:t>
            </w:r>
          </w:p>
        </w:tc>
        <w:tc>
          <w:tcPr>
            <w:tcW w:w="2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109</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8.16</w:t>
            </w:r>
          </w:p>
        </w:tc>
        <w:tc>
          <w:tcPr>
            <w:tcW w:w="7820" w:type="dxa"/>
            <w:vAlign w:val="bottom"/>
          </w:tcPr>
          <w:p>
            <w:pPr>
              <w:ind w:left="220"/>
              <w:spacing w:after="0"/>
              <w:rPr>
                <w:sz w:val="20"/>
                <w:szCs w:val="20"/>
                <w:color w:val="auto"/>
              </w:rPr>
            </w:pPr>
            <w:r>
              <w:rPr>
                <w:rFonts w:ascii="Arial" w:cs="Arial" w:eastAsia="Arial" w:hAnsi="Arial"/>
                <w:sz w:val="20"/>
                <w:szCs w:val="20"/>
                <w:color w:val="auto"/>
              </w:rPr>
              <w:t>Environmental Laws</w:t>
            </w:r>
          </w:p>
        </w:tc>
        <w:tc>
          <w:tcPr>
            <w:tcW w:w="2520" w:type="dxa"/>
            <w:vAlign w:val="bottom"/>
          </w:tcPr>
          <w:p>
            <w:pPr>
              <w:jc w:val="right"/>
              <w:ind w:right="1"/>
              <w:spacing w:after="0"/>
              <w:rPr>
                <w:sz w:val="20"/>
                <w:szCs w:val="20"/>
                <w:color w:val="auto"/>
              </w:rPr>
            </w:pPr>
            <w:r>
              <w:rPr>
                <w:rFonts w:ascii="Arial" w:cs="Arial" w:eastAsia="Arial" w:hAnsi="Arial"/>
                <w:sz w:val="20"/>
                <w:szCs w:val="20"/>
                <w:color w:val="auto"/>
              </w:rPr>
              <w:t>109</w:t>
            </w:r>
          </w:p>
        </w:tc>
      </w:tr>
      <w:tr>
        <w:trPr>
          <w:trHeight w:val="23"/>
        </w:trPr>
        <w:tc>
          <w:tcPr>
            <w:tcW w:w="10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8.17</w:t>
            </w:r>
          </w:p>
        </w:tc>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Properties</w:t>
            </w:r>
          </w:p>
        </w:tc>
        <w:tc>
          <w:tcPr>
            <w:tcW w:w="2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110</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8.18</w:t>
            </w:r>
          </w:p>
        </w:tc>
        <w:tc>
          <w:tcPr>
            <w:tcW w:w="7820" w:type="dxa"/>
            <w:vAlign w:val="bottom"/>
          </w:tcPr>
          <w:p>
            <w:pPr>
              <w:ind w:left="220"/>
              <w:spacing w:after="0"/>
              <w:rPr>
                <w:sz w:val="20"/>
                <w:szCs w:val="20"/>
                <w:color w:val="auto"/>
              </w:rPr>
            </w:pPr>
            <w:r>
              <w:rPr>
                <w:rFonts w:ascii="Arial" w:cs="Arial" w:eastAsia="Arial" w:hAnsi="Arial"/>
                <w:sz w:val="20"/>
                <w:szCs w:val="20"/>
                <w:color w:val="auto"/>
              </w:rPr>
              <w:t>Solvency</w:t>
            </w:r>
          </w:p>
        </w:tc>
        <w:tc>
          <w:tcPr>
            <w:tcW w:w="2520" w:type="dxa"/>
            <w:vAlign w:val="bottom"/>
          </w:tcPr>
          <w:p>
            <w:pPr>
              <w:jc w:val="right"/>
              <w:ind w:right="1"/>
              <w:spacing w:after="0"/>
              <w:rPr>
                <w:sz w:val="20"/>
                <w:szCs w:val="20"/>
                <w:color w:val="auto"/>
              </w:rPr>
            </w:pPr>
            <w:r>
              <w:rPr>
                <w:rFonts w:ascii="Arial" w:cs="Arial" w:eastAsia="Arial" w:hAnsi="Arial"/>
                <w:sz w:val="20"/>
                <w:szCs w:val="20"/>
                <w:color w:val="auto"/>
              </w:rPr>
              <w:t>110</w:t>
            </w:r>
          </w:p>
        </w:tc>
      </w:tr>
      <w:tr>
        <w:trPr>
          <w:trHeight w:val="23"/>
        </w:trPr>
        <w:tc>
          <w:tcPr>
            <w:tcW w:w="10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8.19</w:t>
            </w:r>
          </w:p>
        </w:tc>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Patriot Act</w:t>
            </w:r>
          </w:p>
        </w:tc>
        <w:tc>
          <w:tcPr>
            <w:tcW w:w="2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110</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Section 9</w:t>
            </w:r>
          </w:p>
        </w:tc>
        <w:tc>
          <w:tcPr>
            <w:tcW w:w="7820" w:type="dxa"/>
            <w:vAlign w:val="bottom"/>
          </w:tcPr>
          <w:p>
            <w:pPr>
              <w:ind w:left="220"/>
              <w:spacing w:after="0"/>
              <w:rPr>
                <w:sz w:val="20"/>
                <w:szCs w:val="20"/>
                <w:color w:val="auto"/>
              </w:rPr>
            </w:pPr>
            <w:r>
              <w:rPr>
                <w:rFonts w:ascii="Arial" w:cs="Arial" w:eastAsia="Arial" w:hAnsi="Arial"/>
                <w:sz w:val="20"/>
                <w:szCs w:val="20"/>
                <w:color w:val="auto"/>
              </w:rPr>
              <w:t>Affirmative Covenants</w:t>
            </w:r>
          </w:p>
        </w:tc>
        <w:tc>
          <w:tcPr>
            <w:tcW w:w="2520" w:type="dxa"/>
            <w:vAlign w:val="bottom"/>
          </w:tcPr>
          <w:p>
            <w:pPr>
              <w:jc w:val="right"/>
              <w:ind w:right="1"/>
              <w:spacing w:after="0"/>
              <w:rPr>
                <w:sz w:val="20"/>
                <w:szCs w:val="20"/>
                <w:color w:val="auto"/>
              </w:rPr>
            </w:pPr>
            <w:r>
              <w:rPr>
                <w:rFonts w:ascii="Arial" w:cs="Arial" w:eastAsia="Arial" w:hAnsi="Arial"/>
                <w:sz w:val="20"/>
                <w:szCs w:val="20"/>
                <w:color w:val="auto"/>
              </w:rPr>
              <w:t>110</w:t>
            </w:r>
          </w:p>
        </w:tc>
      </w:tr>
      <w:tr>
        <w:trPr>
          <w:trHeight w:val="23"/>
        </w:trPr>
        <w:tc>
          <w:tcPr>
            <w:tcW w:w="10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9.1</w:t>
            </w:r>
          </w:p>
        </w:tc>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Information Covenants</w:t>
            </w:r>
          </w:p>
        </w:tc>
        <w:tc>
          <w:tcPr>
            <w:tcW w:w="2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110</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9.2</w:t>
            </w:r>
          </w:p>
        </w:tc>
        <w:tc>
          <w:tcPr>
            <w:tcW w:w="7820" w:type="dxa"/>
            <w:vAlign w:val="bottom"/>
          </w:tcPr>
          <w:p>
            <w:pPr>
              <w:ind w:left="220"/>
              <w:spacing w:after="0"/>
              <w:rPr>
                <w:sz w:val="20"/>
                <w:szCs w:val="20"/>
                <w:color w:val="auto"/>
              </w:rPr>
            </w:pPr>
            <w:r>
              <w:rPr>
                <w:rFonts w:ascii="Arial" w:cs="Arial" w:eastAsia="Arial" w:hAnsi="Arial"/>
                <w:sz w:val="20"/>
                <w:szCs w:val="20"/>
                <w:color w:val="auto"/>
              </w:rPr>
              <w:t>Books, Records, and Inspections</w:t>
            </w:r>
          </w:p>
        </w:tc>
        <w:tc>
          <w:tcPr>
            <w:tcW w:w="2520" w:type="dxa"/>
            <w:vAlign w:val="bottom"/>
          </w:tcPr>
          <w:p>
            <w:pPr>
              <w:jc w:val="right"/>
              <w:ind w:right="1"/>
              <w:spacing w:after="0"/>
              <w:rPr>
                <w:sz w:val="20"/>
                <w:szCs w:val="20"/>
                <w:color w:val="auto"/>
              </w:rPr>
            </w:pPr>
            <w:r>
              <w:rPr>
                <w:rFonts w:ascii="Arial" w:cs="Arial" w:eastAsia="Arial" w:hAnsi="Arial"/>
                <w:sz w:val="20"/>
                <w:szCs w:val="20"/>
                <w:color w:val="auto"/>
              </w:rPr>
              <w:t>114</w:t>
            </w:r>
          </w:p>
        </w:tc>
      </w:tr>
      <w:tr>
        <w:trPr>
          <w:trHeight w:val="23"/>
        </w:trPr>
        <w:tc>
          <w:tcPr>
            <w:tcW w:w="10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9.3</w:t>
            </w:r>
          </w:p>
        </w:tc>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Maintenance of Insurance</w:t>
            </w:r>
          </w:p>
        </w:tc>
        <w:tc>
          <w:tcPr>
            <w:tcW w:w="2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114</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9.4</w:t>
            </w:r>
          </w:p>
        </w:tc>
        <w:tc>
          <w:tcPr>
            <w:tcW w:w="7820" w:type="dxa"/>
            <w:vAlign w:val="bottom"/>
          </w:tcPr>
          <w:p>
            <w:pPr>
              <w:ind w:left="220"/>
              <w:spacing w:after="0"/>
              <w:rPr>
                <w:sz w:val="20"/>
                <w:szCs w:val="20"/>
                <w:color w:val="auto"/>
              </w:rPr>
            </w:pPr>
            <w:r>
              <w:rPr>
                <w:rFonts w:ascii="Arial" w:cs="Arial" w:eastAsia="Arial" w:hAnsi="Arial"/>
                <w:sz w:val="20"/>
                <w:szCs w:val="20"/>
                <w:color w:val="auto"/>
              </w:rPr>
              <w:t>Payment of Taxes</w:t>
            </w:r>
          </w:p>
        </w:tc>
        <w:tc>
          <w:tcPr>
            <w:tcW w:w="2520" w:type="dxa"/>
            <w:vAlign w:val="bottom"/>
          </w:tcPr>
          <w:p>
            <w:pPr>
              <w:jc w:val="right"/>
              <w:ind w:right="1"/>
              <w:spacing w:after="0"/>
              <w:rPr>
                <w:sz w:val="20"/>
                <w:szCs w:val="20"/>
                <w:color w:val="auto"/>
              </w:rPr>
            </w:pPr>
            <w:r>
              <w:rPr>
                <w:rFonts w:ascii="Arial" w:cs="Arial" w:eastAsia="Arial" w:hAnsi="Arial"/>
                <w:sz w:val="20"/>
                <w:szCs w:val="20"/>
                <w:color w:val="auto"/>
              </w:rPr>
              <w:t>114</w:t>
            </w:r>
          </w:p>
        </w:tc>
      </w:tr>
      <w:tr>
        <w:trPr>
          <w:trHeight w:val="23"/>
        </w:trPr>
        <w:tc>
          <w:tcPr>
            <w:tcW w:w="10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9.5</w:t>
            </w:r>
          </w:p>
        </w:tc>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Preservation of Existence; Consolidated Corporate Franchises</w:t>
            </w:r>
          </w:p>
        </w:tc>
        <w:tc>
          <w:tcPr>
            <w:tcW w:w="2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115</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9.6</w:t>
            </w:r>
          </w:p>
        </w:tc>
        <w:tc>
          <w:tcPr>
            <w:tcW w:w="7820" w:type="dxa"/>
            <w:vAlign w:val="bottom"/>
          </w:tcPr>
          <w:p>
            <w:pPr>
              <w:ind w:left="220"/>
              <w:spacing w:after="0"/>
              <w:rPr>
                <w:sz w:val="20"/>
                <w:szCs w:val="20"/>
                <w:color w:val="auto"/>
              </w:rPr>
            </w:pPr>
            <w:r>
              <w:rPr>
                <w:rFonts w:ascii="Arial" w:cs="Arial" w:eastAsia="Arial" w:hAnsi="Arial"/>
                <w:sz w:val="20"/>
                <w:szCs w:val="20"/>
                <w:color w:val="auto"/>
              </w:rPr>
              <w:t>Compliance with Statutes, Regulations, Etc</w:t>
            </w:r>
          </w:p>
        </w:tc>
        <w:tc>
          <w:tcPr>
            <w:tcW w:w="2520" w:type="dxa"/>
            <w:vAlign w:val="bottom"/>
          </w:tcPr>
          <w:p>
            <w:pPr>
              <w:jc w:val="right"/>
              <w:ind w:right="1"/>
              <w:spacing w:after="0"/>
              <w:rPr>
                <w:sz w:val="20"/>
                <w:szCs w:val="20"/>
                <w:color w:val="auto"/>
              </w:rPr>
            </w:pPr>
            <w:r>
              <w:rPr>
                <w:rFonts w:ascii="Arial" w:cs="Arial" w:eastAsia="Arial" w:hAnsi="Arial"/>
                <w:sz w:val="20"/>
                <w:szCs w:val="20"/>
                <w:color w:val="auto"/>
              </w:rPr>
              <w:t>115</w:t>
            </w:r>
          </w:p>
        </w:tc>
      </w:tr>
      <w:tr>
        <w:trPr>
          <w:trHeight w:val="23"/>
        </w:trPr>
        <w:tc>
          <w:tcPr>
            <w:tcW w:w="10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9.7</w:t>
            </w:r>
          </w:p>
        </w:tc>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ERISA</w:t>
            </w:r>
          </w:p>
        </w:tc>
        <w:tc>
          <w:tcPr>
            <w:tcW w:w="2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115</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9.8</w:t>
            </w:r>
          </w:p>
        </w:tc>
        <w:tc>
          <w:tcPr>
            <w:tcW w:w="7820" w:type="dxa"/>
            <w:vAlign w:val="bottom"/>
          </w:tcPr>
          <w:p>
            <w:pPr>
              <w:ind w:left="220"/>
              <w:spacing w:after="0"/>
              <w:rPr>
                <w:sz w:val="20"/>
                <w:szCs w:val="20"/>
                <w:color w:val="auto"/>
              </w:rPr>
            </w:pPr>
            <w:r>
              <w:rPr>
                <w:rFonts w:ascii="Arial" w:cs="Arial" w:eastAsia="Arial" w:hAnsi="Arial"/>
                <w:sz w:val="20"/>
                <w:szCs w:val="20"/>
                <w:color w:val="auto"/>
              </w:rPr>
              <w:t>Maintenance of Properties</w:t>
            </w:r>
          </w:p>
        </w:tc>
        <w:tc>
          <w:tcPr>
            <w:tcW w:w="2520" w:type="dxa"/>
            <w:vAlign w:val="bottom"/>
          </w:tcPr>
          <w:p>
            <w:pPr>
              <w:jc w:val="right"/>
              <w:ind w:right="1"/>
              <w:spacing w:after="0"/>
              <w:rPr>
                <w:sz w:val="20"/>
                <w:szCs w:val="20"/>
                <w:color w:val="auto"/>
              </w:rPr>
            </w:pPr>
            <w:r>
              <w:rPr>
                <w:rFonts w:ascii="Arial" w:cs="Arial" w:eastAsia="Arial" w:hAnsi="Arial"/>
                <w:sz w:val="20"/>
                <w:szCs w:val="20"/>
                <w:color w:val="auto"/>
              </w:rPr>
              <w:t>115</w:t>
            </w:r>
          </w:p>
        </w:tc>
      </w:tr>
      <w:tr>
        <w:trPr>
          <w:trHeight w:val="23"/>
        </w:trPr>
        <w:tc>
          <w:tcPr>
            <w:tcW w:w="10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9.9</w:t>
            </w:r>
          </w:p>
        </w:tc>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Transactions with Affiliates</w:t>
            </w:r>
          </w:p>
        </w:tc>
        <w:tc>
          <w:tcPr>
            <w:tcW w:w="2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116</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9.10</w:t>
            </w:r>
          </w:p>
        </w:tc>
        <w:tc>
          <w:tcPr>
            <w:tcW w:w="7820" w:type="dxa"/>
            <w:vAlign w:val="bottom"/>
          </w:tcPr>
          <w:p>
            <w:pPr>
              <w:ind w:left="220"/>
              <w:spacing w:after="0"/>
              <w:rPr>
                <w:sz w:val="20"/>
                <w:szCs w:val="20"/>
                <w:color w:val="auto"/>
              </w:rPr>
            </w:pPr>
            <w:r>
              <w:rPr>
                <w:rFonts w:ascii="Arial" w:cs="Arial" w:eastAsia="Arial" w:hAnsi="Arial"/>
                <w:sz w:val="20"/>
                <w:szCs w:val="20"/>
                <w:color w:val="auto"/>
              </w:rPr>
              <w:t>End of Fiscal Years</w:t>
            </w:r>
          </w:p>
        </w:tc>
        <w:tc>
          <w:tcPr>
            <w:tcW w:w="2520" w:type="dxa"/>
            <w:vAlign w:val="bottom"/>
          </w:tcPr>
          <w:p>
            <w:pPr>
              <w:jc w:val="right"/>
              <w:ind w:right="1"/>
              <w:spacing w:after="0"/>
              <w:rPr>
                <w:sz w:val="20"/>
                <w:szCs w:val="20"/>
                <w:color w:val="auto"/>
              </w:rPr>
            </w:pPr>
            <w:r>
              <w:rPr>
                <w:rFonts w:ascii="Arial" w:cs="Arial" w:eastAsia="Arial" w:hAnsi="Arial"/>
                <w:sz w:val="20"/>
                <w:szCs w:val="20"/>
                <w:color w:val="auto"/>
              </w:rPr>
              <w:t>117</w:t>
            </w:r>
          </w:p>
        </w:tc>
      </w:tr>
      <w:tr>
        <w:trPr>
          <w:trHeight w:val="23"/>
        </w:trPr>
        <w:tc>
          <w:tcPr>
            <w:tcW w:w="10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9.11</w:t>
            </w:r>
          </w:p>
        </w:tc>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Additional Guarantors and Grantors</w:t>
            </w:r>
          </w:p>
        </w:tc>
        <w:tc>
          <w:tcPr>
            <w:tcW w:w="2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117</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9.12</w:t>
            </w:r>
          </w:p>
        </w:tc>
        <w:tc>
          <w:tcPr>
            <w:tcW w:w="7820" w:type="dxa"/>
            <w:vAlign w:val="bottom"/>
          </w:tcPr>
          <w:p>
            <w:pPr>
              <w:ind w:left="220"/>
              <w:spacing w:after="0"/>
              <w:rPr>
                <w:sz w:val="20"/>
                <w:szCs w:val="20"/>
                <w:color w:val="auto"/>
              </w:rPr>
            </w:pPr>
            <w:r>
              <w:rPr>
                <w:rFonts w:ascii="Arial" w:cs="Arial" w:eastAsia="Arial" w:hAnsi="Arial"/>
                <w:sz w:val="20"/>
                <w:szCs w:val="20"/>
                <w:color w:val="auto"/>
              </w:rPr>
              <w:t>Pledge of Additional Stock and Evidence of Indebtedness</w:t>
            </w:r>
          </w:p>
        </w:tc>
        <w:tc>
          <w:tcPr>
            <w:tcW w:w="2520" w:type="dxa"/>
            <w:vAlign w:val="bottom"/>
          </w:tcPr>
          <w:p>
            <w:pPr>
              <w:jc w:val="right"/>
              <w:ind w:right="1"/>
              <w:spacing w:after="0"/>
              <w:rPr>
                <w:sz w:val="20"/>
                <w:szCs w:val="20"/>
                <w:color w:val="auto"/>
              </w:rPr>
            </w:pPr>
            <w:r>
              <w:rPr>
                <w:rFonts w:ascii="Arial" w:cs="Arial" w:eastAsia="Arial" w:hAnsi="Arial"/>
                <w:sz w:val="20"/>
                <w:szCs w:val="20"/>
                <w:color w:val="auto"/>
              </w:rPr>
              <w:t>117</w:t>
            </w:r>
          </w:p>
        </w:tc>
      </w:tr>
      <w:tr>
        <w:trPr>
          <w:trHeight w:val="23"/>
        </w:trPr>
        <w:tc>
          <w:tcPr>
            <w:tcW w:w="10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9.13</w:t>
            </w:r>
          </w:p>
        </w:tc>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Use of Proceeds</w:t>
            </w:r>
          </w:p>
        </w:tc>
        <w:tc>
          <w:tcPr>
            <w:tcW w:w="2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117</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9.14</w:t>
            </w:r>
          </w:p>
        </w:tc>
        <w:tc>
          <w:tcPr>
            <w:tcW w:w="7820" w:type="dxa"/>
            <w:vAlign w:val="bottom"/>
          </w:tcPr>
          <w:p>
            <w:pPr>
              <w:ind w:left="220"/>
              <w:spacing w:after="0"/>
              <w:rPr>
                <w:sz w:val="20"/>
                <w:szCs w:val="20"/>
                <w:color w:val="auto"/>
              </w:rPr>
            </w:pPr>
            <w:r>
              <w:rPr>
                <w:rFonts w:ascii="Arial" w:cs="Arial" w:eastAsia="Arial" w:hAnsi="Arial"/>
                <w:sz w:val="20"/>
                <w:szCs w:val="20"/>
                <w:color w:val="auto"/>
              </w:rPr>
              <w:t>Further Assurances</w:t>
            </w:r>
          </w:p>
        </w:tc>
        <w:tc>
          <w:tcPr>
            <w:tcW w:w="2520" w:type="dxa"/>
            <w:vAlign w:val="bottom"/>
          </w:tcPr>
          <w:p>
            <w:pPr>
              <w:jc w:val="right"/>
              <w:ind w:right="1"/>
              <w:spacing w:after="0"/>
              <w:rPr>
                <w:sz w:val="20"/>
                <w:szCs w:val="20"/>
                <w:color w:val="auto"/>
              </w:rPr>
            </w:pPr>
            <w:r>
              <w:rPr>
                <w:rFonts w:ascii="Arial" w:cs="Arial" w:eastAsia="Arial" w:hAnsi="Arial"/>
                <w:sz w:val="20"/>
                <w:szCs w:val="20"/>
                <w:color w:val="auto"/>
              </w:rPr>
              <w:t>118</w:t>
            </w:r>
          </w:p>
        </w:tc>
      </w:tr>
      <w:tr>
        <w:trPr>
          <w:trHeight w:val="23"/>
        </w:trPr>
        <w:tc>
          <w:tcPr>
            <w:tcW w:w="10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9.15</w:t>
            </w:r>
          </w:p>
        </w:tc>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Lines of Business</w:t>
            </w:r>
          </w:p>
        </w:tc>
        <w:tc>
          <w:tcPr>
            <w:tcW w:w="2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119</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Section 10</w:t>
            </w:r>
          </w:p>
        </w:tc>
        <w:tc>
          <w:tcPr>
            <w:tcW w:w="7820" w:type="dxa"/>
            <w:vAlign w:val="bottom"/>
          </w:tcPr>
          <w:p>
            <w:pPr>
              <w:ind w:left="220"/>
              <w:spacing w:after="0"/>
              <w:rPr>
                <w:sz w:val="20"/>
                <w:szCs w:val="20"/>
                <w:color w:val="auto"/>
              </w:rPr>
            </w:pPr>
            <w:r>
              <w:rPr>
                <w:rFonts w:ascii="Arial" w:cs="Arial" w:eastAsia="Arial" w:hAnsi="Arial"/>
                <w:sz w:val="20"/>
                <w:szCs w:val="20"/>
                <w:color w:val="auto"/>
              </w:rPr>
              <w:t>Negative Covenants</w:t>
            </w:r>
          </w:p>
        </w:tc>
        <w:tc>
          <w:tcPr>
            <w:tcW w:w="2520" w:type="dxa"/>
            <w:vAlign w:val="bottom"/>
          </w:tcPr>
          <w:p>
            <w:pPr>
              <w:jc w:val="right"/>
              <w:ind w:right="1"/>
              <w:spacing w:after="0"/>
              <w:rPr>
                <w:sz w:val="20"/>
                <w:szCs w:val="20"/>
                <w:color w:val="auto"/>
              </w:rPr>
            </w:pPr>
            <w:r>
              <w:rPr>
                <w:rFonts w:ascii="Arial" w:cs="Arial" w:eastAsia="Arial" w:hAnsi="Arial"/>
                <w:sz w:val="20"/>
                <w:szCs w:val="20"/>
                <w:color w:val="auto"/>
              </w:rPr>
              <w:t>119</w:t>
            </w:r>
          </w:p>
        </w:tc>
      </w:tr>
      <w:tr>
        <w:trPr>
          <w:trHeight w:val="23"/>
        </w:trPr>
        <w:tc>
          <w:tcPr>
            <w:tcW w:w="10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10.1</w:t>
            </w:r>
          </w:p>
        </w:tc>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Limitation on Indebtedness</w:t>
            </w:r>
          </w:p>
        </w:tc>
        <w:tc>
          <w:tcPr>
            <w:tcW w:w="2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119</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10.2</w:t>
            </w:r>
          </w:p>
        </w:tc>
        <w:tc>
          <w:tcPr>
            <w:tcW w:w="7820" w:type="dxa"/>
            <w:vAlign w:val="bottom"/>
          </w:tcPr>
          <w:p>
            <w:pPr>
              <w:ind w:left="220"/>
              <w:spacing w:after="0"/>
              <w:rPr>
                <w:sz w:val="20"/>
                <w:szCs w:val="20"/>
                <w:color w:val="auto"/>
              </w:rPr>
            </w:pPr>
            <w:r>
              <w:rPr>
                <w:rFonts w:ascii="Arial" w:cs="Arial" w:eastAsia="Arial" w:hAnsi="Arial"/>
                <w:sz w:val="20"/>
                <w:szCs w:val="20"/>
                <w:color w:val="auto"/>
              </w:rPr>
              <w:t>Limitation on Liens</w:t>
            </w:r>
          </w:p>
        </w:tc>
        <w:tc>
          <w:tcPr>
            <w:tcW w:w="2520" w:type="dxa"/>
            <w:vAlign w:val="bottom"/>
          </w:tcPr>
          <w:p>
            <w:pPr>
              <w:jc w:val="right"/>
              <w:ind w:right="1"/>
              <w:spacing w:after="0"/>
              <w:rPr>
                <w:sz w:val="20"/>
                <w:szCs w:val="20"/>
                <w:color w:val="auto"/>
              </w:rPr>
            </w:pPr>
            <w:r>
              <w:rPr>
                <w:rFonts w:ascii="Arial" w:cs="Arial" w:eastAsia="Arial" w:hAnsi="Arial"/>
                <w:sz w:val="20"/>
                <w:szCs w:val="20"/>
                <w:color w:val="auto"/>
              </w:rPr>
              <w:t>124</w:t>
            </w:r>
          </w:p>
        </w:tc>
      </w:tr>
      <w:tr>
        <w:trPr>
          <w:trHeight w:val="23"/>
        </w:trPr>
        <w:tc>
          <w:tcPr>
            <w:tcW w:w="10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10.3</w:t>
            </w:r>
          </w:p>
        </w:tc>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Limitation on Fundamental Changes</w:t>
            </w:r>
          </w:p>
        </w:tc>
        <w:tc>
          <w:tcPr>
            <w:tcW w:w="2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125</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10.4</w:t>
            </w:r>
          </w:p>
        </w:tc>
        <w:tc>
          <w:tcPr>
            <w:tcW w:w="7820" w:type="dxa"/>
            <w:vAlign w:val="bottom"/>
          </w:tcPr>
          <w:p>
            <w:pPr>
              <w:ind w:left="220"/>
              <w:spacing w:after="0"/>
              <w:rPr>
                <w:sz w:val="20"/>
                <w:szCs w:val="20"/>
                <w:color w:val="auto"/>
              </w:rPr>
            </w:pPr>
            <w:r>
              <w:rPr>
                <w:rFonts w:ascii="Arial" w:cs="Arial" w:eastAsia="Arial" w:hAnsi="Arial"/>
                <w:sz w:val="20"/>
                <w:szCs w:val="20"/>
                <w:color w:val="auto"/>
              </w:rPr>
              <w:t>Limitation on Sale of Assets</w:t>
            </w:r>
          </w:p>
        </w:tc>
        <w:tc>
          <w:tcPr>
            <w:tcW w:w="2520" w:type="dxa"/>
            <w:vAlign w:val="bottom"/>
          </w:tcPr>
          <w:p>
            <w:pPr>
              <w:jc w:val="right"/>
              <w:ind w:right="1"/>
              <w:spacing w:after="0"/>
              <w:rPr>
                <w:sz w:val="20"/>
                <w:szCs w:val="20"/>
                <w:color w:val="auto"/>
              </w:rPr>
            </w:pPr>
            <w:r>
              <w:rPr>
                <w:rFonts w:ascii="Arial" w:cs="Arial" w:eastAsia="Arial" w:hAnsi="Arial"/>
                <w:sz w:val="20"/>
                <w:szCs w:val="20"/>
                <w:color w:val="auto"/>
              </w:rPr>
              <w:t>126</w:t>
            </w:r>
          </w:p>
        </w:tc>
      </w:tr>
      <w:tr>
        <w:trPr>
          <w:trHeight w:val="23"/>
        </w:trPr>
        <w:tc>
          <w:tcPr>
            <w:tcW w:w="10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10.5</w:t>
            </w:r>
          </w:p>
        </w:tc>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Limitation on Restricted Payments</w:t>
            </w:r>
          </w:p>
        </w:tc>
        <w:tc>
          <w:tcPr>
            <w:tcW w:w="2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128</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10.6</w:t>
            </w:r>
          </w:p>
        </w:tc>
        <w:tc>
          <w:tcPr>
            <w:tcW w:w="7820" w:type="dxa"/>
            <w:vAlign w:val="bottom"/>
          </w:tcPr>
          <w:p>
            <w:pPr>
              <w:ind w:left="220"/>
              <w:spacing w:after="0"/>
              <w:rPr>
                <w:sz w:val="20"/>
                <w:szCs w:val="20"/>
                <w:color w:val="auto"/>
              </w:rPr>
            </w:pPr>
            <w:r>
              <w:rPr>
                <w:rFonts w:ascii="Arial" w:cs="Arial" w:eastAsia="Arial" w:hAnsi="Arial"/>
                <w:sz w:val="20"/>
                <w:szCs w:val="20"/>
                <w:color w:val="auto"/>
              </w:rPr>
              <w:t>Limitation on Subsidiary Distributions</w:t>
            </w:r>
          </w:p>
        </w:tc>
        <w:tc>
          <w:tcPr>
            <w:tcW w:w="2520" w:type="dxa"/>
            <w:vAlign w:val="bottom"/>
          </w:tcPr>
          <w:p>
            <w:pPr>
              <w:jc w:val="right"/>
              <w:ind w:right="1"/>
              <w:spacing w:after="0"/>
              <w:rPr>
                <w:sz w:val="20"/>
                <w:szCs w:val="20"/>
                <w:color w:val="auto"/>
              </w:rPr>
            </w:pPr>
            <w:r>
              <w:rPr>
                <w:rFonts w:ascii="Arial" w:cs="Arial" w:eastAsia="Arial" w:hAnsi="Arial"/>
                <w:sz w:val="20"/>
                <w:szCs w:val="20"/>
                <w:color w:val="auto"/>
              </w:rPr>
              <w:t>134</w:t>
            </w:r>
          </w:p>
        </w:tc>
      </w:tr>
      <w:tr>
        <w:trPr>
          <w:trHeight w:val="23"/>
        </w:trPr>
        <w:tc>
          <w:tcPr>
            <w:tcW w:w="10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10.7</w:t>
            </w:r>
          </w:p>
        </w:tc>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Financial Covenants</w:t>
            </w:r>
          </w:p>
        </w:tc>
        <w:tc>
          <w:tcPr>
            <w:tcW w:w="2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135</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Section 11</w:t>
            </w:r>
          </w:p>
        </w:tc>
        <w:tc>
          <w:tcPr>
            <w:tcW w:w="7820" w:type="dxa"/>
            <w:vAlign w:val="bottom"/>
          </w:tcPr>
          <w:p>
            <w:pPr>
              <w:ind w:left="220"/>
              <w:spacing w:after="0"/>
              <w:rPr>
                <w:sz w:val="20"/>
                <w:szCs w:val="20"/>
                <w:color w:val="auto"/>
              </w:rPr>
            </w:pPr>
            <w:r>
              <w:rPr>
                <w:rFonts w:ascii="Arial" w:cs="Arial" w:eastAsia="Arial" w:hAnsi="Arial"/>
                <w:sz w:val="20"/>
                <w:szCs w:val="20"/>
                <w:color w:val="auto"/>
              </w:rPr>
              <w:t>Events of Default</w:t>
            </w:r>
          </w:p>
        </w:tc>
        <w:tc>
          <w:tcPr>
            <w:tcW w:w="2520" w:type="dxa"/>
            <w:vAlign w:val="bottom"/>
          </w:tcPr>
          <w:p>
            <w:pPr>
              <w:jc w:val="right"/>
              <w:ind w:right="1"/>
              <w:spacing w:after="0"/>
              <w:rPr>
                <w:sz w:val="20"/>
                <w:szCs w:val="20"/>
                <w:color w:val="auto"/>
              </w:rPr>
            </w:pPr>
            <w:r>
              <w:rPr>
                <w:rFonts w:ascii="Arial" w:cs="Arial" w:eastAsia="Arial" w:hAnsi="Arial"/>
                <w:sz w:val="20"/>
                <w:szCs w:val="20"/>
                <w:color w:val="auto"/>
              </w:rPr>
              <w:t>136</w:t>
            </w:r>
          </w:p>
        </w:tc>
      </w:tr>
    </w:tbl>
    <w:p>
      <w:pPr>
        <w:spacing w:after="0" w:line="200" w:lineRule="exact"/>
        <w:rPr>
          <w:sz w:val="20"/>
          <w:szCs w:val="20"/>
          <w:color w:val="auto"/>
        </w:rPr>
      </w:pPr>
    </w:p>
    <w:p>
      <w:pPr>
        <w:sectPr>
          <w:pgSz w:w="11900" w:h="16838" w:orient="portrait"/>
          <w:cols w:equalWidth="0" w:num="1">
            <w:col w:w="11420"/>
          </w:cols>
          <w:pgMar w:left="240" w:top="676" w:right="239" w:bottom="1440" w:gutter="0" w:footer="0" w:header="0"/>
        </w:sect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1420"/>
          </w:cols>
          <w:pgMar w:left="240" w:top="676" w:right="239" w:bottom="1440" w:gutter="0" w:footer="0" w:header="0"/>
          <w:type w:val="continuous"/>
        </w:sectPr>
      </w:pPr>
    </w:p>
    <w:bookmarkStart w:id="77" w:name="page78"/>
    <w:bookmarkEnd w:id="77"/>
    <w:p>
      <w:pPr>
        <w:jc w:val="right"/>
        <w:spacing w:after="0"/>
        <w:rPr>
          <w:sz w:val="20"/>
          <w:szCs w:val="20"/>
          <w:color w:val="auto"/>
        </w:rPr>
      </w:pPr>
      <w:r>
        <w:rPr>
          <w:rFonts w:ascii="Arial" w:cs="Arial" w:eastAsia="Arial" w:hAnsi="Arial"/>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080" w:type="dxa"/>
            <w:vAlign w:val="bottom"/>
            <w:shd w:val="clear" w:color="auto" w:fill="CCEEFF"/>
          </w:tcPr>
          <w:p>
            <w:pPr>
              <w:ind w:left="40"/>
              <w:spacing w:after="0"/>
              <w:rPr>
                <w:sz w:val="20"/>
                <w:szCs w:val="20"/>
                <w:color w:val="auto"/>
              </w:rPr>
            </w:pPr>
            <w:r>
              <w:rPr>
                <w:rFonts w:ascii="Arial" w:cs="Arial" w:eastAsia="Arial" w:hAnsi="Arial"/>
                <w:sz w:val="20"/>
                <w:szCs w:val="20"/>
                <w:color w:val="auto"/>
              </w:rPr>
              <w:t>11.1</w:t>
            </w:r>
          </w:p>
        </w:tc>
        <w:tc>
          <w:tcPr>
            <w:tcW w:w="81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Payments</w:t>
            </w:r>
          </w:p>
        </w:tc>
        <w:tc>
          <w:tcPr>
            <w:tcW w:w="2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136</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11.2</w:t>
            </w:r>
          </w:p>
        </w:tc>
        <w:tc>
          <w:tcPr>
            <w:tcW w:w="8120" w:type="dxa"/>
            <w:vAlign w:val="bottom"/>
          </w:tcPr>
          <w:p>
            <w:pPr>
              <w:ind w:left="220"/>
              <w:spacing w:after="0"/>
              <w:rPr>
                <w:sz w:val="20"/>
                <w:szCs w:val="20"/>
                <w:color w:val="auto"/>
              </w:rPr>
            </w:pPr>
            <w:r>
              <w:rPr>
                <w:rFonts w:ascii="Arial" w:cs="Arial" w:eastAsia="Arial" w:hAnsi="Arial"/>
                <w:sz w:val="20"/>
                <w:szCs w:val="20"/>
                <w:color w:val="auto"/>
              </w:rPr>
              <w:t>Representations, Etc</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136</w:t>
            </w:r>
          </w:p>
        </w:tc>
      </w:tr>
      <w:tr>
        <w:trPr>
          <w:trHeight w:val="23"/>
        </w:trPr>
        <w:tc>
          <w:tcPr>
            <w:tcW w:w="108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11.3</w:t>
            </w:r>
          </w:p>
        </w:tc>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Covenants</w:t>
            </w:r>
          </w:p>
        </w:tc>
        <w:tc>
          <w:tcPr>
            <w:tcW w:w="2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136</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11.4</w:t>
            </w:r>
          </w:p>
        </w:tc>
        <w:tc>
          <w:tcPr>
            <w:tcW w:w="8120" w:type="dxa"/>
            <w:vAlign w:val="bottom"/>
          </w:tcPr>
          <w:p>
            <w:pPr>
              <w:ind w:left="220"/>
              <w:spacing w:after="0"/>
              <w:rPr>
                <w:sz w:val="20"/>
                <w:szCs w:val="20"/>
                <w:color w:val="auto"/>
              </w:rPr>
            </w:pPr>
            <w:r>
              <w:rPr>
                <w:rFonts w:ascii="Arial" w:cs="Arial" w:eastAsia="Arial" w:hAnsi="Arial"/>
                <w:sz w:val="20"/>
                <w:szCs w:val="20"/>
                <w:color w:val="auto"/>
              </w:rPr>
              <w:t>Default Under Other Agreements</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137</w:t>
            </w:r>
          </w:p>
        </w:tc>
      </w:tr>
      <w:tr>
        <w:trPr>
          <w:trHeight w:val="23"/>
        </w:trPr>
        <w:tc>
          <w:tcPr>
            <w:tcW w:w="108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11.5</w:t>
            </w:r>
          </w:p>
        </w:tc>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Bankruptcy, Etc</w:t>
            </w:r>
          </w:p>
        </w:tc>
        <w:tc>
          <w:tcPr>
            <w:tcW w:w="2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137</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11.6</w:t>
            </w:r>
          </w:p>
        </w:tc>
        <w:tc>
          <w:tcPr>
            <w:tcW w:w="8120" w:type="dxa"/>
            <w:vAlign w:val="bottom"/>
          </w:tcPr>
          <w:p>
            <w:pPr>
              <w:ind w:left="220"/>
              <w:spacing w:after="0"/>
              <w:rPr>
                <w:sz w:val="20"/>
                <w:szCs w:val="20"/>
                <w:color w:val="auto"/>
              </w:rPr>
            </w:pPr>
            <w:r>
              <w:rPr>
                <w:rFonts w:ascii="Arial" w:cs="Arial" w:eastAsia="Arial" w:hAnsi="Arial"/>
                <w:sz w:val="20"/>
                <w:szCs w:val="20"/>
                <w:color w:val="auto"/>
              </w:rPr>
              <w:t>ERISA</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138</w:t>
            </w:r>
          </w:p>
        </w:tc>
      </w:tr>
      <w:tr>
        <w:trPr>
          <w:trHeight w:val="23"/>
        </w:trPr>
        <w:tc>
          <w:tcPr>
            <w:tcW w:w="108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11.7</w:t>
            </w:r>
          </w:p>
        </w:tc>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Guarantee</w:t>
            </w:r>
          </w:p>
        </w:tc>
        <w:tc>
          <w:tcPr>
            <w:tcW w:w="2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138</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11.8</w:t>
            </w:r>
          </w:p>
        </w:tc>
        <w:tc>
          <w:tcPr>
            <w:tcW w:w="8120" w:type="dxa"/>
            <w:vAlign w:val="bottom"/>
          </w:tcPr>
          <w:p>
            <w:pPr>
              <w:ind w:left="220"/>
              <w:spacing w:after="0"/>
              <w:rPr>
                <w:sz w:val="20"/>
                <w:szCs w:val="20"/>
                <w:color w:val="auto"/>
              </w:rPr>
            </w:pPr>
            <w:r>
              <w:rPr>
                <w:rFonts w:ascii="Arial" w:cs="Arial" w:eastAsia="Arial" w:hAnsi="Arial"/>
                <w:sz w:val="20"/>
                <w:szCs w:val="20"/>
                <w:color w:val="auto"/>
              </w:rPr>
              <w:t>Pledge Agreement</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138</w:t>
            </w:r>
          </w:p>
        </w:tc>
      </w:tr>
      <w:tr>
        <w:trPr>
          <w:trHeight w:val="23"/>
        </w:trPr>
        <w:tc>
          <w:tcPr>
            <w:tcW w:w="108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11.9</w:t>
            </w:r>
          </w:p>
        </w:tc>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Security Agreement</w:t>
            </w:r>
          </w:p>
        </w:tc>
        <w:tc>
          <w:tcPr>
            <w:tcW w:w="2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138</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11.10</w:t>
            </w:r>
          </w:p>
        </w:tc>
        <w:tc>
          <w:tcPr>
            <w:tcW w:w="8120" w:type="dxa"/>
            <w:vAlign w:val="bottom"/>
          </w:tcPr>
          <w:p>
            <w:pPr>
              <w:ind w:left="220"/>
              <w:spacing w:after="0"/>
              <w:rPr>
                <w:sz w:val="20"/>
                <w:szCs w:val="20"/>
                <w:color w:val="auto"/>
              </w:rPr>
            </w:pPr>
            <w:r>
              <w:rPr>
                <w:rFonts w:ascii="Arial" w:cs="Arial" w:eastAsia="Arial" w:hAnsi="Arial"/>
                <w:sz w:val="20"/>
                <w:szCs w:val="20"/>
                <w:color w:val="auto"/>
              </w:rPr>
              <w:t>Judgments</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138</w:t>
            </w:r>
          </w:p>
        </w:tc>
      </w:tr>
      <w:tr>
        <w:trPr>
          <w:trHeight w:val="23"/>
        </w:trPr>
        <w:tc>
          <w:tcPr>
            <w:tcW w:w="108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11.11</w:t>
            </w:r>
          </w:p>
        </w:tc>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Change of Control</w:t>
            </w:r>
          </w:p>
        </w:tc>
        <w:tc>
          <w:tcPr>
            <w:tcW w:w="2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138</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11.12</w:t>
            </w:r>
          </w:p>
        </w:tc>
        <w:tc>
          <w:tcPr>
            <w:tcW w:w="8120" w:type="dxa"/>
            <w:vAlign w:val="bottom"/>
          </w:tcPr>
          <w:p>
            <w:pPr>
              <w:ind w:left="220"/>
              <w:spacing w:after="0"/>
              <w:rPr>
                <w:sz w:val="20"/>
                <w:szCs w:val="20"/>
                <w:color w:val="auto"/>
              </w:rPr>
            </w:pPr>
            <w:r>
              <w:rPr>
                <w:rFonts w:ascii="Arial" w:cs="Arial" w:eastAsia="Arial" w:hAnsi="Arial"/>
                <w:sz w:val="20"/>
                <w:szCs w:val="20"/>
                <w:color w:val="auto"/>
              </w:rPr>
              <w:t>Remedies Upon Event of Default</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139</w:t>
            </w:r>
          </w:p>
        </w:tc>
      </w:tr>
      <w:tr>
        <w:trPr>
          <w:trHeight w:val="23"/>
        </w:trPr>
        <w:tc>
          <w:tcPr>
            <w:tcW w:w="108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11.13</w:t>
            </w:r>
          </w:p>
        </w:tc>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Application of Proceeds</w:t>
            </w:r>
          </w:p>
        </w:tc>
        <w:tc>
          <w:tcPr>
            <w:tcW w:w="2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139</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11.14</w:t>
            </w:r>
          </w:p>
        </w:tc>
        <w:tc>
          <w:tcPr>
            <w:tcW w:w="8120" w:type="dxa"/>
            <w:vAlign w:val="bottom"/>
          </w:tcPr>
          <w:p>
            <w:pPr>
              <w:ind w:left="220"/>
              <w:spacing w:after="0"/>
              <w:rPr>
                <w:sz w:val="20"/>
                <w:szCs w:val="20"/>
                <w:color w:val="auto"/>
              </w:rPr>
            </w:pPr>
            <w:r>
              <w:rPr>
                <w:rFonts w:ascii="Arial" w:cs="Arial" w:eastAsia="Arial" w:hAnsi="Arial"/>
                <w:sz w:val="20"/>
                <w:szCs w:val="20"/>
                <w:color w:val="auto"/>
              </w:rPr>
              <w:t>Equity Cure</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140</w:t>
            </w:r>
          </w:p>
        </w:tc>
      </w:tr>
      <w:tr>
        <w:trPr>
          <w:trHeight w:val="23"/>
        </w:trPr>
        <w:tc>
          <w:tcPr>
            <w:tcW w:w="108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Section 12</w:t>
            </w:r>
          </w:p>
        </w:tc>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The Agents</w:t>
            </w:r>
          </w:p>
        </w:tc>
        <w:tc>
          <w:tcPr>
            <w:tcW w:w="2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140</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12.1</w:t>
            </w:r>
          </w:p>
        </w:tc>
        <w:tc>
          <w:tcPr>
            <w:tcW w:w="8120" w:type="dxa"/>
            <w:vAlign w:val="bottom"/>
          </w:tcPr>
          <w:p>
            <w:pPr>
              <w:ind w:left="220"/>
              <w:spacing w:after="0"/>
              <w:rPr>
                <w:sz w:val="20"/>
                <w:szCs w:val="20"/>
                <w:color w:val="auto"/>
              </w:rPr>
            </w:pPr>
            <w:r>
              <w:rPr>
                <w:rFonts w:ascii="Arial" w:cs="Arial" w:eastAsia="Arial" w:hAnsi="Arial"/>
                <w:sz w:val="20"/>
                <w:szCs w:val="20"/>
                <w:color w:val="auto"/>
              </w:rPr>
              <w:t>Appointment</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140</w:t>
            </w:r>
          </w:p>
        </w:tc>
      </w:tr>
      <w:tr>
        <w:trPr>
          <w:trHeight w:val="23"/>
        </w:trPr>
        <w:tc>
          <w:tcPr>
            <w:tcW w:w="108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12.2</w:t>
            </w:r>
          </w:p>
        </w:tc>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Delegation of Duties</w:t>
            </w:r>
          </w:p>
        </w:tc>
        <w:tc>
          <w:tcPr>
            <w:tcW w:w="2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141</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12.3</w:t>
            </w:r>
          </w:p>
        </w:tc>
        <w:tc>
          <w:tcPr>
            <w:tcW w:w="8120" w:type="dxa"/>
            <w:vAlign w:val="bottom"/>
          </w:tcPr>
          <w:p>
            <w:pPr>
              <w:ind w:left="220"/>
              <w:spacing w:after="0"/>
              <w:rPr>
                <w:sz w:val="20"/>
                <w:szCs w:val="20"/>
                <w:color w:val="auto"/>
              </w:rPr>
            </w:pPr>
            <w:r>
              <w:rPr>
                <w:rFonts w:ascii="Arial" w:cs="Arial" w:eastAsia="Arial" w:hAnsi="Arial"/>
                <w:sz w:val="20"/>
                <w:szCs w:val="20"/>
                <w:color w:val="auto"/>
              </w:rPr>
              <w:t>Exculpatory Provisions</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142</w:t>
            </w:r>
          </w:p>
        </w:tc>
      </w:tr>
      <w:tr>
        <w:trPr>
          <w:trHeight w:val="23"/>
        </w:trPr>
        <w:tc>
          <w:tcPr>
            <w:tcW w:w="108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12.4</w:t>
            </w:r>
          </w:p>
        </w:tc>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Reliance by Agents</w:t>
            </w:r>
          </w:p>
        </w:tc>
        <w:tc>
          <w:tcPr>
            <w:tcW w:w="2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143</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12.5</w:t>
            </w:r>
          </w:p>
        </w:tc>
        <w:tc>
          <w:tcPr>
            <w:tcW w:w="8120" w:type="dxa"/>
            <w:vAlign w:val="bottom"/>
          </w:tcPr>
          <w:p>
            <w:pPr>
              <w:ind w:left="220"/>
              <w:spacing w:after="0"/>
              <w:rPr>
                <w:sz w:val="20"/>
                <w:szCs w:val="20"/>
                <w:color w:val="auto"/>
              </w:rPr>
            </w:pPr>
            <w:r>
              <w:rPr>
                <w:rFonts w:ascii="Arial" w:cs="Arial" w:eastAsia="Arial" w:hAnsi="Arial"/>
                <w:sz w:val="20"/>
                <w:szCs w:val="20"/>
                <w:color w:val="auto"/>
              </w:rPr>
              <w:t>Notice of Default</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143</w:t>
            </w:r>
          </w:p>
        </w:tc>
      </w:tr>
      <w:tr>
        <w:trPr>
          <w:trHeight w:val="23"/>
        </w:trPr>
        <w:tc>
          <w:tcPr>
            <w:tcW w:w="108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12.6</w:t>
            </w:r>
          </w:p>
        </w:tc>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Non-Reliance on Administrative Agent, Collateral Agent, and Other Lenders</w:t>
            </w:r>
          </w:p>
        </w:tc>
        <w:tc>
          <w:tcPr>
            <w:tcW w:w="2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144</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12.7</w:t>
            </w:r>
          </w:p>
        </w:tc>
        <w:tc>
          <w:tcPr>
            <w:tcW w:w="8120" w:type="dxa"/>
            <w:vAlign w:val="bottom"/>
          </w:tcPr>
          <w:p>
            <w:pPr>
              <w:ind w:left="220"/>
              <w:spacing w:after="0"/>
              <w:rPr>
                <w:sz w:val="20"/>
                <w:szCs w:val="20"/>
                <w:color w:val="auto"/>
              </w:rPr>
            </w:pPr>
            <w:r>
              <w:rPr>
                <w:rFonts w:ascii="Arial" w:cs="Arial" w:eastAsia="Arial" w:hAnsi="Arial"/>
                <w:sz w:val="20"/>
                <w:szCs w:val="20"/>
                <w:color w:val="auto"/>
              </w:rPr>
              <w:t>Indemnification</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145</w:t>
            </w:r>
          </w:p>
        </w:tc>
      </w:tr>
      <w:tr>
        <w:trPr>
          <w:trHeight w:val="23"/>
        </w:trPr>
        <w:tc>
          <w:tcPr>
            <w:tcW w:w="108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12.8</w:t>
            </w:r>
          </w:p>
        </w:tc>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Agents in Their Individual Capacities</w:t>
            </w:r>
          </w:p>
        </w:tc>
        <w:tc>
          <w:tcPr>
            <w:tcW w:w="2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145</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12.9</w:t>
            </w:r>
          </w:p>
        </w:tc>
        <w:tc>
          <w:tcPr>
            <w:tcW w:w="8120" w:type="dxa"/>
            <w:vAlign w:val="bottom"/>
          </w:tcPr>
          <w:p>
            <w:pPr>
              <w:ind w:left="220"/>
              <w:spacing w:after="0"/>
              <w:rPr>
                <w:sz w:val="20"/>
                <w:szCs w:val="20"/>
                <w:color w:val="auto"/>
              </w:rPr>
            </w:pPr>
            <w:r>
              <w:rPr>
                <w:rFonts w:ascii="Arial" w:cs="Arial" w:eastAsia="Arial" w:hAnsi="Arial"/>
                <w:sz w:val="20"/>
                <w:szCs w:val="20"/>
                <w:color w:val="auto"/>
              </w:rPr>
              <w:t>Successor Agents</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145</w:t>
            </w:r>
          </w:p>
        </w:tc>
      </w:tr>
      <w:tr>
        <w:trPr>
          <w:trHeight w:val="23"/>
        </w:trPr>
        <w:tc>
          <w:tcPr>
            <w:tcW w:w="108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12.10</w:t>
            </w:r>
          </w:p>
        </w:tc>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Withholding Tax</w:t>
            </w:r>
          </w:p>
        </w:tc>
        <w:tc>
          <w:tcPr>
            <w:tcW w:w="2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147</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12.11</w:t>
            </w:r>
          </w:p>
        </w:tc>
        <w:tc>
          <w:tcPr>
            <w:tcW w:w="8120" w:type="dxa"/>
            <w:vAlign w:val="bottom"/>
          </w:tcPr>
          <w:p>
            <w:pPr>
              <w:ind w:left="220"/>
              <w:spacing w:after="0"/>
              <w:rPr>
                <w:sz w:val="20"/>
                <w:szCs w:val="20"/>
                <w:color w:val="auto"/>
              </w:rPr>
            </w:pPr>
            <w:r>
              <w:rPr>
                <w:rFonts w:ascii="Arial" w:cs="Arial" w:eastAsia="Arial" w:hAnsi="Arial"/>
                <w:sz w:val="20"/>
                <w:szCs w:val="20"/>
                <w:color w:val="auto"/>
              </w:rPr>
              <w:t>Agents Under Security Documents and Guarantee</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148</w:t>
            </w:r>
          </w:p>
        </w:tc>
      </w:tr>
      <w:tr>
        <w:trPr>
          <w:trHeight w:val="23"/>
        </w:trPr>
        <w:tc>
          <w:tcPr>
            <w:tcW w:w="108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12.12</w:t>
            </w:r>
          </w:p>
        </w:tc>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Right to Realize on Collateral and Enforce Guarantee</w:t>
            </w:r>
          </w:p>
        </w:tc>
        <w:tc>
          <w:tcPr>
            <w:tcW w:w="2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149</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12.13</w:t>
            </w:r>
          </w:p>
        </w:tc>
        <w:tc>
          <w:tcPr>
            <w:tcW w:w="8120" w:type="dxa"/>
            <w:vAlign w:val="bottom"/>
          </w:tcPr>
          <w:p>
            <w:pPr>
              <w:ind w:left="220"/>
              <w:spacing w:after="0"/>
              <w:rPr>
                <w:sz w:val="20"/>
                <w:szCs w:val="20"/>
                <w:color w:val="auto"/>
              </w:rPr>
            </w:pPr>
            <w:r>
              <w:rPr>
                <w:rFonts w:ascii="Arial" w:cs="Arial" w:eastAsia="Arial" w:hAnsi="Arial"/>
                <w:sz w:val="20"/>
                <w:szCs w:val="20"/>
                <w:color w:val="auto"/>
              </w:rPr>
              <w:t>Intercreditor Agreements Govern</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149</w:t>
            </w:r>
          </w:p>
        </w:tc>
      </w:tr>
      <w:tr>
        <w:trPr>
          <w:trHeight w:val="23"/>
        </w:trPr>
        <w:tc>
          <w:tcPr>
            <w:tcW w:w="108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12.14</w:t>
            </w:r>
          </w:p>
        </w:tc>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Certain ERISA Matters</w:t>
            </w:r>
          </w:p>
        </w:tc>
        <w:tc>
          <w:tcPr>
            <w:tcW w:w="2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149</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Section 13</w:t>
            </w:r>
          </w:p>
        </w:tc>
        <w:tc>
          <w:tcPr>
            <w:tcW w:w="8120" w:type="dxa"/>
            <w:vAlign w:val="bottom"/>
          </w:tcPr>
          <w:p>
            <w:pPr>
              <w:ind w:left="220"/>
              <w:spacing w:after="0"/>
              <w:rPr>
                <w:sz w:val="20"/>
                <w:szCs w:val="20"/>
                <w:color w:val="auto"/>
              </w:rPr>
            </w:pPr>
            <w:r>
              <w:rPr>
                <w:rFonts w:ascii="Arial" w:cs="Arial" w:eastAsia="Arial" w:hAnsi="Arial"/>
                <w:sz w:val="20"/>
                <w:szCs w:val="20"/>
                <w:color w:val="auto"/>
              </w:rPr>
              <w:t>Miscellaneous</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150</w:t>
            </w:r>
          </w:p>
        </w:tc>
      </w:tr>
      <w:tr>
        <w:trPr>
          <w:trHeight w:val="23"/>
        </w:trPr>
        <w:tc>
          <w:tcPr>
            <w:tcW w:w="108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13.1</w:t>
            </w:r>
          </w:p>
        </w:tc>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Amendments, Waivers, and Releases</w:t>
            </w:r>
          </w:p>
        </w:tc>
        <w:tc>
          <w:tcPr>
            <w:tcW w:w="2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150</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13.2</w:t>
            </w:r>
          </w:p>
        </w:tc>
        <w:tc>
          <w:tcPr>
            <w:tcW w:w="8120" w:type="dxa"/>
            <w:vAlign w:val="bottom"/>
          </w:tcPr>
          <w:p>
            <w:pPr>
              <w:ind w:left="220"/>
              <w:spacing w:after="0"/>
              <w:rPr>
                <w:sz w:val="20"/>
                <w:szCs w:val="20"/>
                <w:color w:val="auto"/>
              </w:rPr>
            </w:pPr>
            <w:r>
              <w:rPr>
                <w:rFonts w:ascii="Arial" w:cs="Arial" w:eastAsia="Arial" w:hAnsi="Arial"/>
                <w:sz w:val="20"/>
                <w:szCs w:val="20"/>
                <w:color w:val="auto"/>
              </w:rPr>
              <w:t>Notices</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154</w:t>
            </w:r>
          </w:p>
        </w:tc>
      </w:tr>
      <w:tr>
        <w:trPr>
          <w:trHeight w:val="23"/>
        </w:trPr>
        <w:tc>
          <w:tcPr>
            <w:tcW w:w="108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13.3</w:t>
            </w:r>
          </w:p>
        </w:tc>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No Waiver; Cumulative Remedies</w:t>
            </w:r>
          </w:p>
        </w:tc>
        <w:tc>
          <w:tcPr>
            <w:tcW w:w="2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155</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13.4</w:t>
            </w:r>
          </w:p>
        </w:tc>
        <w:tc>
          <w:tcPr>
            <w:tcW w:w="8120" w:type="dxa"/>
            <w:vAlign w:val="bottom"/>
          </w:tcPr>
          <w:p>
            <w:pPr>
              <w:ind w:left="220"/>
              <w:spacing w:after="0"/>
              <w:rPr>
                <w:sz w:val="20"/>
                <w:szCs w:val="20"/>
                <w:color w:val="auto"/>
              </w:rPr>
            </w:pPr>
            <w:r>
              <w:rPr>
                <w:rFonts w:ascii="Arial" w:cs="Arial" w:eastAsia="Arial" w:hAnsi="Arial"/>
                <w:sz w:val="20"/>
                <w:szCs w:val="20"/>
                <w:color w:val="auto"/>
              </w:rPr>
              <w:t>Survival of Representations and Warranties</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155</w:t>
            </w:r>
          </w:p>
        </w:tc>
      </w:tr>
      <w:tr>
        <w:trPr>
          <w:trHeight w:val="23"/>
        </w:trPr>
        <w:tc>
          <w:tcPr>
            <w:tcW w:w="108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13.5</w:t>
            </w:r>
          </w:p>
        </w:tc>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Payment of Expenses; Indemnification</w:t>
            </w:r>
          </w:p>
        </w:tc>
        <w:tc>
          <w:tcPr>
            <w:tcW w:w="2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155</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13.6</w:t>
            </w:r>
          </w:p>
        </w:tc>
        <w:tc>
          <w:tcPr>
            <w:tcW w:w="8120" w:type="dxa"/>
            <w:vAlign w:val="bottom"/>
          </w:tcPr>
          <w:p>
            <w:pPr>
              <w:ind w:left="220"/>
              <w:spacing w:after="0"/>
              <w:rPr>
                <w:sz w:val="20"/>
                <w:szCs w:val="20"/>
                <w:color w:val="auto"/>
              </w:rPr>
            </w:pPr>
            <w:r>
              <w:rPr>
                <w:rFonts w:ascii="Arial" w:cs="Arial" w:eastAsia="Arial" w:hAnsi="Arial"/>
                <w:sz w:val="20"/>
                <w:szCs w:val="20"/>
                <w:color w:val="auto"/>
              </w:rPr>
              <w:t>Successors and Assigns; Participations and Assignments</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157</w:t>
            </w:r>
          </w:p>
        </w:tc>
      </w:tr>
      <w:tr>
        <w:trPr>
          <w:trHeight w:val="23"/>
        </w:trPr>
        <w:tc>
          <w:tcPr>
            <w:tcW w:w="108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13.7</w:t>
            </w:r>
          </w:p>
        </w:tc>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Replacements of Lenders Under Certain Circumstances</w:t>
            </w:r>
          </w:p>
        </w:tc>
        <w:tc>
          <w:tcPr>
            <w:tcW w:w="2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161</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13.8</w:t>
            </w:r>
          </w:p>
        </w:tc>
        <w:tc>
          <w:tcPr>
            <w:tcW w:w="8120" w:type="dxa"/>
            <w:vAlign w:val="bottom"/>
          </w:tcPr>
          <w:p>
            <w:pPr>
              <w:ind w:left="220"/>
              <w:spacing w:after="0"/>
              <w:rPr>
                <w:sz w:val="20"/>
                <w:szCs w:val="20"/>
                <w:color w:val="auto"/>
              </w:rPr>
            </w:pPr>
            <w:r>
              <w:rPr>
                <w:rFonts w:ascii="Arial" w:cs="Arial" w:eastAsia="Arial" w:hAnsi="Arial"/>
                <w:sz w:val="20"/>
                <w:szCs w:val="20"/>
                <w:color w:val="auto"/>
              </w:rPr>
              <w:t>Adjustments; Set-off</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162</w:t>
            </w:r>
          </w:p>
        </w:tc>
      </w:tr>
      <w:tr>
        <w:trPr>
          <w:trHeight w:val="23"/>
        </w:trPr>
        <w:tc>
          <w:tcPr>
            <w:tcW w:w="108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64"/>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13.9</w:t>
            </w:r>
          </w:p>
        </w:tc>
        <w:tc>
          <w:tcPr>
            <w:tcW w:w="8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Counterparts</w:t>
            </w:r>
          </w:p>
        </w:tc>
        <w:tc>
          <w:tcPr>
            <w:tcW w:w="2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163</w:t>
            </w:r>
          </w:p>
        </w:tc>
      </w:tr>
      <w:tr>
        <w:trPr>
          <w:trHeight w:val="261"/>
        </w:trPr>
        <w:tc>
          <w:tcPr>
            <w:tcW w:w="1080" w:type="dxa"/>
            <w:vAlign w:val="bottom"/>
          </w:tcPr>
          <w:p>
            <w:pPr>
              <w:ind w:left="40"/>
              <w:spacing w:after="0"/>
              <w:rPr>
                <w:sz w:val="20"/>
                <w:szCs w:val="20"/>
                <w:color w:val="auto"/>
              </w:rPr>
            </w:pPr>
            <w:r>
              <w:rPr>
                <w:rFonts w:ascii="Arial" w:cs="Arial" w:eastAsia="Arial" w:hAnsi="Arial"/>
                <w:sz w:val="20"/>
                <w:szCs w:val="20"/>
                <w:color w:val="auto"/>
              </w:rPr>
              <w:t>13.10</w:t>
            </w:r>
          </w:p>
        </w:tc>
        <w:tc>
          <w:tcPr>
            <w:tcW w:w="8120" w:type="dxa"/>
            <w:vAlign w:val="bottom"/>
          </w:tcPr>
          <w:p>
            <w:pPr>
              <w:ind w:left="220"/>
              <w:spacing w:after="0"/>
              <w:rPr>
                <w:sz w:val="20"/>
                <w:szCs w:val="20"/>
                <w:color w:val="auto"/>
              </w:rPr>
            </w:pPr>
            <w:r>
              <w:rPr>
                <w:rFonts w:ascii="Arial" w:cs="Arial" w:eastAsia="Arial" w:hAnsi="Arial"/>
                <w:sz w:val="20"/>
                <w:szCs w:val="20"/>
                <w:color w:val="auto"/>
              </w:rPr>
              <w:t>Severability</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163</w:t>
            </w:r>
          </w:p>
        </w:tc>
      </w:tr>
    </w:tbl>
    <w:p>
      <w:pPr>
        <w:spacing w:after="0" w:line="200" w:lineRule="exact"/>
        <w:rPr>
          <w:sz w:val="20"/>
          <w:szCs w:val="20"/>
          <w:color w:val="auto"/>
        </w:rPr>
      </w:pPr>
    </w:p>
    <w:p>
      <w:pPr>
        <w:sectPr>
          <w:pgSz w:w="11900" w:h="16838" w:orient="portrait"/>
          <w:cols w:equalWidth="0" w:num="1">
            <w:col w:w="11420"/>
          </w:cols>
          <w:pgMar w:left="240" w:top="676" w:right="239" w:bottom="1440" w:gutter="0" w:footer="0" w:header="0"/>
        </w:sect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-iv-</w:t>
      </w:r>
    </w:p>
    <w:p>
      <w:pPr>
        <w:sectPr>
          <w:pgSz w:w="11900" w:h="16838" w:orient="portrait"/>
          <w:cols w:equalWidth="0" w:num="1">
            <w:col w:w="11420"/>
          </w:cols>
          <w:pgMar w:left="240" w:top="676" w:right="239" w:bottom="1440" w:gutter="0" w:footer="0" w:header="0"/>
          <w:type w:val="continuous"/>
        </w:sectPr>
      </w:pPr>
    </w:p>
    <w:bookmarkStart w:id="78" w:name="page79"/>
    <w:bookmarkEnd w:id="78"/>
    <w:p>
      <w:pPr>
        <w:jc w:val="right"/>
        <w:spacing w:after="0"/>
        <w:rPr>
          <w:sz w:val="20"/>
          <w:szCs w:val="20"/>
          <w:color w:val="auto"/>
        </w:rPr>
      </w:pPr>
      <w:r>
        <w:rPr>
          <w:rFonts w:ascii="Arial" w:cs="Arial" w:eastAsia="Arial" w:hAnsi="Arial"/>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880" w:type="dxa"/>
            <w:vAlign w:val="bottom"/>
            <w:shd w:val="clear" w:color="auto" w:fill="CCEEFF"/>
          </w:tcPr>
          <w:p>
            <w:pPr>
              <w:ind w:left="40"/>
              <w:spacing w:after="0"/>
              <w:rPr>
                <w:sz w:val="20"/>
                <w:szCs w:val="20"/>
                <w:color w:val="auto"/>
              </w:rPr>
            </w:pPr>
            <w:r>
              <w:rPr>
                <w:rFonts w:ascii="Arial" w:cs="Arial" w:eastAsia="Arial" w:hAnsi="Arial"/>
                <w:sz w:val="20"/>
                <w:szCs w:val="20"/>
                <w:color w:val="auto"/>
              </w:rPr>
              <w:t>13.11</w:t>
            </w:r>
          </w:p>
        </w:tc>
        <w:tc>
          <w:tcPr>
            <w:tcW w:w="8140" w:type="dxa"/>
            <w:vAlign w:val="bottom"/>
            <w:shd w:val="clear" w:color="auto" w:fill="CCEEFF"/>
          </w:tcPr>
          <w:p>
            <w:pPr>
              <w:ind w:left="420"/>
              <w:spacing w:after="0"/>
              <w:rPr>
                <w:sz w:val="20"/>
                <w:szCs w:val="20"/>
                <w:color w:val="auto"/>
              </w:rPr>
            </w:pPr>
            <w:r>
              <w:rPr>
                <w:rFonts w:ascii="Arial" w:cs="Arial" w:eastAsia="Arial" w:hAnsi="Arial"/>
                <w:sz w:val="20"/>
                <w:szCs w:val="20"/>
                <w:color w:val="auto"/>
              </w:rPr>
              <w:t>Integration</w:t>
            </w:r>
          </w:p>
        </w:tc>
        <w:tc>
          <w:tcPr>
            <w:tcW w:w="24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163</w:t>
            </w:r>
          </w:p>
        </w:tc>
      </w:tr>
      <w:tr>
        <w:trPr>
          <w:trHeight w:val="261"/>
        </w:trPr>
        <w:tc>
          <w:tcPr>
            <w:tcW w:w="880" w:type="dxa"/>
            <w:vAlign w:val="bottom"/>
          </w:tcPr>
          <w:p>
            <w:pPr>
              <w:ind w:left="40"/>
              <w:spacing w:after="0"/>
              <w:rPr>
                <w:sz w:val="20"/>
                <w:szCs w:val="20"/>
                <w:color w:val="auto"/>
              </w:rPr>
            </w:pPr>
            <w:r>
              <w:rPr>
                <w:rFonts w:ascii="Arial" w:cs="Arial" w:eastAsia="Arial" w:hAnsi="Arial"/>
                <w:sz w:val="20"/>
                <w:szCs w:val="20"/>
                <w:color w:val="auto"/>
              </w:rPr>
              <w:t>13.12</w:t>
            </w:r>
          </w:p>
        </w:tc>
        <w:tc>
          <w:tcPr>
            <w:tcW w:w="8140" w:type="dxa"/>
            <w:vAlign w:val="bottom"/>
          </w:tcPr>
          <w:p>
            <w:pPr>
              <w:ind w:left="420"/>
              <w:spacing w:after="0"/>
              <w:rPr>
                <w:sz w:val="20"/>
                <w:szCs w:val="20"/>
                <w:color w:val="auto"/>
              </w:rPr>
            </w:pPr>
            <w:r>
              <w:rPr>
                <w:rFonts w:ascii="Arial" w:cs="Arial" w:eastAsia="Arial" w:hAnsi="Arial"/>
                <w:sz w:val="20"/>
                <w:szCs w:val="20"/>
                <w:color w:val="auto"/>
              </w:rPr>
              <w:t>GOVERNING LAW</w:t>
            </w:r>
          </w:p>
        </w:tc>
        <w:tc>
          <w:tcPr>
            <w:tcW w:w="2400" w:type="dxa"/>
            <w:vAlign w:val="bottom"/>
          </w:tcPr>
          <w:p>
            <w:pPr>
              <w:jc w:val="right"/>
              <w:ind w:right="1"/>
              <w:spacing w:after="0"/>
              <w:rPr>
                <w:sz w:val="20"/>
                <w:szCs w:val="20"/>
                <w:color w:val="auto"/>
              </w:rPr>
            </w:pPr>
            <w:r>
              <w:rPr>
                <w:rFonts w:ascii="Arial" w:cs="Arial" w:eastAsia="Arial" w:hAnsi="Arial"/>
                <w:sz w:val="20"/>
                <w:szCs w:val="20"/>
                <w:color w:val="auto"/>
              </w:rPr>
              <w:t>163</w:t>
            </w:r>
          </w:p>
        </w:tc>
      </w:tr>
      <w:tr>
        <w:trPr>
          <w:trHeight w:val="23"/>
        </w:trPr>
        <w:tc>
          <w:tcPr>
            <w:tcW w:w="880" w:type="dxa"/>
            <w:vAlign w:val="bottom"/>
          </w:tcPr>
          <w:p>
            <w:pPr>
              <w:spacing w:after="0"/>
              <w:rPr>
                <w:sz w:val="2"/>
                <w:szCs w:val="2"/>
                <w:color w:val="auto"/>
              </w:rPr>
            </w:pPr>
          </w:p>
        </w:tc>
        <w:tc>
          <w:tcPr>
            <w:tcW w:w="814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64"/>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13.13</w:t>
            </w:r>
          </w:p>
        </w:tc>
        <w:tc>
          <w:tcPr>
            <w:tcW w:w="8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20"/>
                <w:szCs w:val="20"/>
                <w:color w:val="auto"/>
              </w:rPr>
              <w:t>Submission to Jurisdiction; Waivers</w:t>
            </w:r>
          </w:p>
        </w:tc>
        <w:tc>
          <w:tcPr>
            <w:tcW w:w="24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163</w:t>
            </w:r>
          </w:p>
        </w:tc>
      </w:tr>
      <w:tr>
        <w:trPr>
          <w:trHeight w:val="261"/>
        </w:trPr>
        <w:tc>
          <w:tcPr>
            <w:tcW w:w="880" w:type="dxa"/>
            <w:vAlign w:val="bottom"/>
          </w:tcPr>
          <w:p>
            <w:pPr>
              <w:ind w:left="40"/>
              <w:spacing w:after="0"/>
              <w:rPr>
                <w:sz w:val="20"/>
                <w:szCs w:val="20"/>
                <w:color w:val="auto"/>
              </w:rPr>
            </w:pPr>
            <w:r>
              <w:rPr>
                <w:rFonts w:ascii="Arial" w:cs="Arial" w:eastAsia="Arial" w:hAnsi="Arial"/>
                <w:sz w:val="20"/>
                <w:szCs w:val="20"/>
                <w:color w:val="auto"/>
              </w:rPr>
              <w:t>13.14</w:t>
            </w:r>
          </w:p>
        </w:tc>
        <w:tc>
          <w:tcPr>
            <w:tcW w:w="8140" w:type="dxa"/>
            <w:vAlign w:val="bottom"/>
          </w:tcPr>
          <w:p>
            <w:pPr>
              <w:ind w:left="420"/>
              <w:spacing w:after="0"/>
              <w:rPr>
                <w:sz w:val="20"/>
                <w:szCs w:val="20"/>
                <w:color w:val="auto"/>
              </w:rPr>
            </w:pPr>
            <w:r>
              <w:rPr>
                <w:rFonts w:ascii="Arial" w:cs="Arial" w:eastAsia="Arial" w:hAnsi="Arial"/>
                <w:sz w:val="20"/>
                <w:szCs w:val="20"/>
                <w:color w:val="auto"/>
              </w:rPr>
              <w:t>Acknowledgments</w:t>
            </w:r>
          </w:p>
        </w:tc>
        <w:tc>
          <w:tcPr>
            <w:tcW w:w="2400" w:type="dxa"/>
            <w:vAlign w:val="bottom"/>
          </w:tcPr>
          <w:p>
            <w:pPr>
              <w:jc w:val="right"/>
              <w:ind w:right="1"/>
              <w:spacing w:after="0"/>
              <w:rPr>
                <w:sz w:val="20"/>
                <w:szCs w:val="20"/>
                <w:color w:val="auto"/>
              </w:rPr>
            </w:pPr>
            <w:r>
              <w:rPr>
                <w:rFonts w:ascii="Arial" w:cs="Arial" w:eastAsia="Arial" w:hAnsi="Arial"/>
                <w:sz w:val="20"/>
                <w:szCs w:val="20"/>
                <w:color w:val="auto"/>
              </w:rPr>
              <w:t>163</w:t>
            </w:r>
          </w:p>
        </w:tc>
      </w:tr>
      <w:tr>
        <w:trPr>
          <w:trHeight w:val="23"/>
        </w:trPr>
        <w:tc>
          <w:tcPr>
            <w:tcW w:w="880" w:type="dxa"/>
            <w:vAlign w:val="bottom"/>
          </w:tcPr>
          <w:p>
            <w:pPr>
              <w:spacing w:after="0"/>
              <w:rPr>
                <w:sz w:val="2"/>
                <w:szCs w:val="2"/>
                <w:color w:val="auto"/>
              </w:rPr>
            </w:pPr>
          </w:p>
        </w:tc>
        <w:tc>
          <w:tcPr>
            <w:tcW w:w="814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64"/>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13.15</w:t>
            </w:r>
          </w:p>
        </w:tc>
        <w:tc>
          <w:tcPr>
            <w:tcW w:w="8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20"/>
                <w:szCs w:val="20"/>
                <w:color w:val="auto"/>
              </w:rPr>
              <w:t>WAIVERS OF JURY TRIAL</w:t>
            </w:r>
          </w:p>
        </w:tc>
        <w:tc>
          <w:tcPr>
            <w:tcW w:w="24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164</w:t>
            </w:r>
          </w:p>
        </w:tc>
      </w:tr>
      <w:tr>
        <w:trPr>
          <w:trHeight w:val="261"/>
        </w:trPr>
        <w:tc>
          <w:tcPr>
            <w:tcW w:w="880" w:type="dxa"/>
            <w:vAlign w:val="bottom"/>
          </w:tcPr>
          <w:p>
            <w:pPr>
              <w:ind w:left="40"/>
              <w:spacing w:after="0"/>
              <w:rPr>
                <w:sz w:val="20"/>
                <w:szCs w:val="20"/>
                <w:color w:val="auto"/>
              </w:rPr>
            </w:pPr>
            <w:r>
              <w:rPr>
                <w:rFonts w:ascii="Arial" w:cs="Arial" w:eastAsia="Arial" w:hAnsi="Arial"/>
                <w:sz w:val="20"/>
                <w:szCs w:val="20"/>
                <w:color w:val="auto"/>
              </w:rPr>
              <w:t>13.16</w:t>
            </w:r>
          </w:p>
        </w:tc>
        <w:tc>
          <w:tcPr>
            <w:tcW w:w="8140" w:type="dxa"/>
            <w:vAlign w:val="bottom"/>
          </w:tcPr>
          <w:p>
            <w:pPr>
              <w:ind w:left="420"/>
              <w:spacing w:after="0"/>
              <w:rPr>
                <w:sz w:val="20"/>
                <w:szCs w:val="20"/>
                <w:color w:val="auto"/>
              </w:rPr>
            </w:pPr>
            <w:r>
              <w:rPr>
                <w:rFonts w:ascii="Arial" w:cs="Arial" w:eastAsia="Arial" w:hAnsi="Arial"/>
                <w:sz w:val="20"/>
                <w:szCs w:val="20"/>
                <w:color w:val="auto"/>
              </w:rPr>
              <w:t>Confidentiality</w:t>
            </w:r>
          </w:p>
        </w:tc>
        <w:tc>
          <w:tcPr>
            <w:tcW w:w="2400" w:type="dxa"/>
            <w:vAlign w:val="bottom"/>
          </w:tcPr>
          <w:p>
            <w:pPr>
              <w:jc w:val="right"/>
              <w:ind w:right="1"/>
              <w:spacing w:after="0"/>
              <w:rPr>
                <w:sz w:val="20"/>
                <w:szCs w:val="20"/>
                <w:color w:val="auto"/>
              </w:rPr>
            </w:pPr>
            <w:r>
              <w:rPr>
                <w:rFonts w:ascii="Arial" w:cs="Arial" w:eastAsia="Arial" w:hAnsi="Arial"/>
                <w:sz w:val="20"/>
                <w:szCs w:val="20"/>
                <w:color w:val="auto"/>
              </w:rPr>
              <w:t>164</w:t>
            </w:r>
          </w:p>
        </w:tc>
      </w:tr>
      <w:tr>
        <w:trPr>
          <w:trHeight w:val="23"/>
        </w:trPr>
        <w:tc>
          <w:tcPr>
            <w:tcW w:w="880" w:type="dxa"/>
            <w:vAlign w:val="bottom"/>
          </w:tcPr>
          <w:p>
            <w:pPr>
              <w:spacing w:after="0"/>
              <w:rPr>
                <w:sz w:val="2"/>
                <w:szCs w:val="2"/>
                <w:color w:val="auto"/>
              </w:rPr>
            </w:pPr>
          </w:p>
        </w:tc>
        <w:tc>
          <w:tcPr>
            <w:tcW w:w="814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64"/>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13.17</w:t>
            </w:r>
          </w:p>
        </w:tc>
        <w:tc>
          <w:tcPr>
            <w:tcW w:w="8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20"/>
                <w:szCs w:val="20"/>
                <w:color w:val="auto"/>
              </w:rPr>
              <w:t>Direct Website Communications</w:t>
            </w:r>
          </w:p>
        </w:tc>
        <w:tc>
          <w:tcPr>
            <w:tcW w:w="24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166</w:t>
            </w:r>
          </w:p>
        </w:tc>
      </w:tr>
      <w:tr>
        <w:trPr>
          <w:trHeight w:val="261"/>
        </w:trPr>
        <w:tc>
          <w:tcPr>
            <w:tcW w:w="880" w:type="dxa"/>
            <w:vAlign w:val="bottom"/>
          </w:tcPr>
          <w:p>
            <w:pPr>
              <w:ind w:left="40"/>
              <w:spacing w:after="0"/>
              <w:rPr>
                <w:sz w:val="20"/>
                <w:szCs w:val="20"/>
                <w:color w:val="auto"/>
              </w:rPr>
            </w:pPr>
            <w:r>
              <w:rPr>
                <w:rFonts w:ascii="Arial" w:cs="Arial" w:eastAsia="Arial" w:hAnsi="Arial"/>
                <w:sz w:val="20"/>
                <w:szCs w:val="20"/>
                <w:color w:val="auto"/>
              </w:rPr>
              <w:t>13.18</w:t>
            </w:r>
          </w:p>
        </w:tc>
        <w:tc>
          <w:tcPr>
            <w:tcW w:w="8140" w:type="dxa"/>
            <w:vAlign w:val="bottom"/>
          </w:tcPr>
          <w:p>
            <w:pPr>
              <w:ind w:left="420"/>
              <w:spacing w:after="0"/>
              <w:rPr>
                <w:sz w:val="20"/>
                <w:szCs w:val="20"/>
                <w:color w:val="auto"/>
              </w:rPr>
            </w:pPr>
            <w:r>
              <w:rPr>
                <w:rFonts w:ascii="Arial" w:cs="Arial" w:eastAsia="Arial" w:hAnsi="Arial"/>
                <w:sz w:val="20"/>
                <w:szCs w:val="20"/>
                <w:color w:val="auto"/>
              </w:rPr>
              <w:t>USA PATRIOT Act</w:t>
            </w:r>
          </w:p>
        </w:tc>
        <w:tc>
          <w:tcPr>
            <w:tcW w:w="2400" w:type="dxa"/>
            <w:vAlign w:val="bottom"/>
          </w:tcPr>
          <w:p>
            <w:pPr>
              <w:jc w:val="right"/>
              <w:ind w:right="1"/>
              <w:spacing w:after="0"/>
              <w:rPr>
                <w:sz w:val="20"/>
                <w:szCs w:val="20"/>
                <w:color w:val="auto"/>
              </w:rPr>
            </w:pPr>
            <w:r>
              <w:rPr>
                <w:rFonts w:ascii="Arial" w:cs="Arial" w:eastAsia="Arial" w:hAnsi="Arial"/>
                <w:sz w:val="20"/>
                <w:szCs w:val="20"/>
                <w:color w:val="auto"/>
              </w:rPr>
              <w:t>167</w:t>
            </w:r>
          </w:p>
        </w:tc>
      </w:tr>
      <w:tr>
        <w:trPr>
          <w:trHeight w:val="23"/>
        </w:trPr>
        <w:tc>
          <w:tcPr>
            <w:tcW w:w="880" w:type="dxa"/>
            <w:vAlign w:val="bottom"/>
          </w:tcPr>
          <w:p>
            <w:pPr>
              <w:spacing w:after="0"/>
              <w:rPr>
                <w:sz w:val="2"/>
                <w:szCs w:val="2"/>
                <w:color w:val="auto"/>
              </w:rPr>
            </w:pPr>
          </w:p>
        </w:tc>
        <w:tc>
          <w:tcPr>
            <w:tcW w:w="814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64"/>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13.19</w:t>
            </w:r>
          </w:p>
        </w:tc>
        <w:tc>
          <w:tcPr>
            <w:tcW w:w="8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20"/>
                <w:szCs w:val="20"/>
                <w:color w:val="auto"/>
              </w:rPr>
              <w:t>[Reserved]</w:t>
            </w:r>
          </w:p>
        </w:tc>
        <w:tc>
          <w:tcPr>
            <w:tcW w:w="24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167</w:t>
            </w:r>
          </w:p>
        </w:tc>
      </w:tr>
      <w:tr>
        <w:trPr>
          <w:trHeight w:val="261"/>
        </w:trPr>
        <w:tc>
          <w:tcPr>
            <w:tcW w:w="880" w:type="dxa"/>
            <w:vAlign w:val="bottom"/>
          </w:tcPr>
          <w:p>
            <w:pPr>
              <w:ind w:left="40"/>
              <w:spacing w:after="0"/>
              <w:rPr>
                <w:sz w:val="20"/>
                <w:szCs w:val="20"/>
                <w:color w:val="auto"/>
              </w:rPr>
            </w:pPr>
            <w:r>
              <w:rPr>
                <w:rFonts w:ascii="Arial" w:cs="Arial" w:eastAsia="Arial" w:hAnsi="Arial"/>
                <w:sz w:val="20"/>
                <w:szCs w:val="20"/>
                <w:color w:val="auto"/>
              </w:rPr>
              <w:t>13.20</w:t>
            </w:r>
          </w:p>
        </w:tc>
        <w:tc>
          <w:tcPr>
            <w:tcW w:w="8140" w:type="dxa"/>
            <w:vAlign w:val="bottom"/>
          </w:tcPr>
          <w:p>
            <w:pPr>
              <w:ind w:left="420"/>
              <w:spacing w:after="0"/>
              <w:rPr>
                <w:sz w:val="20"/>
                <w:szCs w:val="20"/>
                <w:color w:val="auto"/>
              </w:rPr>
            </w:pPr>
            <w:r>
              <w:rPr>
                <w:rFonts w:ascii="Arial" w:cs="Arial" w:eastAsia="Arial" w:hAnsi="Arial"/>
                <w:sz w:val="20"/>
                <w:szCs w:val="20"/>
                <w:color w:val="auto"/>
              </w:rPr>
              <w:t>Payments Set Aside</w:t>
            </w:r>
          </w:p>
        </w:tc>
        <w:tc>
          <w:tcPr>
            <w:tcW w:w="2400" w:type="dxa"/>
            <w:vAlign w:val="bottom"/>
          </w:tcPr>
          <w:p>
            <w:pPr>
              <w:jc w:val="right"/>
              <w:ind w:right="1"/>
              <w:spacing w:after="0"/>
              <w:rPr>
                <w:sz w:val="20"/>
                <w:szCs w:val="20"/>
                <w:color w:val="auto"/>
              </w:rPr>
            </w:pPr>
            <w:r>
              <w:rPr>
                <w:rFonts w:ascii="Arial" w:cs="Arial" w:eastAsia="Arial" w:hAnsi="Arial"/>
                <w:sz w:val="20"/>
                <w:szCs w:val="20"/>
                <w:color w:val="auto"/>
              </w:rPr>
              <w:t>167</w:t>
            </w:r>
          </w:p>
        </w:tc>
      </w:tr>
      <w:tr>
        <w:trPr>
          <w:trHeight w:val="23"/>
        </w:trPr>
        <w:tc>
          <w:tcPr>
            <w:tcW w:w="880" w:type="dxa"/>
            <w:vAlign w:val="bottom"/>
          </w:tcPr>
          <w:p>
            <w:pPr>
              <w:spacing w:after="0"/>
              <w:rPr>
                <w:sz w:val="2"/>
                <w:szCs w:val="2"/>
                <w:color w:val="auto"/>
              </w:rPr>
            </w:pPr>
          </w:p>
        </w:tc>
        <w:tc>
          <w:tcPr>
            <w:tcW w:w="814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64"/>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13.21</w:t>
            </w:r>
          </w:p>
        </w:tc>
        <w:tc>
          <w:tcPr>
            <w:tcW w:w="8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20"/>
                <w:szCs w:val="20"/>
                <w:color w:val="auto"/>
              </w:rPr>
              <w:t>No Fiduciary Duty</w:t>
            </w:r>
          </w:p>
        </w:tc>
        <w:tc>
          <w:tcPr>
            <w:tcW w:w="24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168</w:t>
            </w:r>
          </w:p>
        </w:tc>
      </w:tr>
      <w:tr>
        <w:trPr>
          <w:trHeight w:val="261"/>
        </w:trPr>
        <w:tc>
          <w:tcPr>
            <w:tcW w:w="880" w:type="dxa"/>
            <w:vAlign w:val="bottom"/>
          </w:tcPr>
          <w:p>
            <w:pPr>
              <w:ind w:left="40"/>
              <w:spacing w:after="0"/>
              <w:rPr>
                <w:sz w:val="20"/>
                <w:szCs w:val="20"/>
                <w:color w:val="auto"/>
              </w:rPr>
            </w:pPr>
            <w:r>
              <w:rPr>
                <w:rFonts w:ascii="Arial" w:cs="Arial" w:eastAsia="Arial" w:hAnsi="Arial"/>
                <w:sz w:val="20"/>
                <w:szCs w:val="20"/>
                <w:color w:val="auto"/>
              </w:rPr>
              <w:t>13.22</w:t>
            </w:r>
          </w:p>
        </w:tc>
        <w:tc>
          <w:tcPr>
            <w:tcW w:w="8140" w:type="dxa"/>
            <w:vAlign w:val="bottom"/>
          </w:tcPr>
          <w:p>
            <w:pPr>
              <w:ind w:left="420"/>
              <w:spacing w:after="0"/>
              <w:rPr>
                <w:sz w:val="20"/>
                <w:szCs w:val="20"/>
                <w:color w:val="auto"/>
              </w:rPr>
            </w:pPr>
            <w:r>
              <w:rPr>
                <w:rFonts w:ascii="Arial" w:cs="Arial" w:eastAsia="Arial" w:hAnsi="Arial"/>
                <w:sz w:val="20"/>
                <w:szCs w:val="20"/>
                <w:color w:val="auto"/>
              </w:rPr>
              <w:t>Acknowledgement and Consent to Bail-In of EEA Financial Institutions</w:t>
            </w:r>
          </w:p>
        </w:tc>
        <w:tc>
          <w:tcPr>
            <w:tcW w:w="2400" w:type="dxa"/>
            <w:vAlign w:val="bottom"/>
          </w:tcPr>
          <w:p>
            <w:pPr>
              <w:jc w:val="right"/>
              <w:ind w:right="1"/>
              <w:spacing w:after="0"/>
              <w:rPr>
                <w:sz w:val="20"/>
                <w:szCs w:val="20"/>
                <w:color w:val="auto"/>
              </w:rPr>
            </w:pPr>
            <w:r>
              <w:rPr>
                <w:rFonts w:ascii="Arial" w:cs="Arial" w:eastAsia="Arial" w:hAnsi="Arial"/>
                <w:sz w:val="20"/>
                <w:szCs w:val="20"/>
                <w:color w:val="auto"/>
              </w:rPr>
              <w:t>168</w:t>
            </w:r>
          </w:p>
        </w:tc>
      </w:tr>
      <w:tr>
        <w:trPr>
          <w:trHeight w:val="23"/>
        </w:trPr>
        <w:tc>
          <w:tcPr>
            <w:tcW w:w="880" w:type="dxa"/>
            <w:vAlign w:val="bottom"/>
          </w:tcPr>
          <w:p>
            <w:pPr>
              <w:spacing w:after="0"/>
              <w:rPr>
                <w:sz w:val="2"/>
                <w:szCs w:val="2"/>
                <w:color w:val="auto"/>
              </w:rPr>
            </w:pPr>
          </w:p>
        </w:tc>
        <w:tc>
          <w:tcPr>
            <w:tcW w:w="814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61"/>
        </w:trPr>
        <w:tc>
          <w:tcPr>
            <w:tcW w:w="880" w:type="dxa"/>
            <w:vAlign w:val="bottom"/>
            <w:shd w:val="clear" w:color="auto" w:fill="CCEEFF"/>
          </w:tcPr>
          <w:p>
            <w:pPr>
              <w:ind w:left="40"/>
              <w:spacing w:after="0"/>
              <w:rPr>
                <w:sz w:val="20"/>
                <w:szCs w:val="20"/>
                <w:color w:val="auto"/>
              </w:rPr>
            </w:pPr>
            <w:r>
              <w:rPr>
                <w:rFonts w:ascii="Arial" w:cs="Arial" w:eastAsia="Arial" w:hAnsi="Arial"/>
                <w:sz w:val="20"/>
                <w:szCs w:val="20"/>
                <w:color w:val="auto"/>
              </w:rPr>
              <w:t>13.23</w:t>
            </w:r>
          </w:p>
        </w:tc>
        <w:tc>
          <w:tcPr>
            <w:tcW w:w="8140" w:type="dxa"/>
            <w:vAlign w:val="bottom"/>
            <w:shd w:val="clear" w:color="auto" w:fill="CCEEFF"/>
          </w:tcPr>
          <w:p>
            <w:pPr>
              <w:ind w:left="420"/>
              <w:spacing w:after="0"/>
              <w:rPr>
                <w:sz w:val="20"/>
                <w:szCs w:val="20"/>
                <w:color w:val="auto"/>
              </w:rPr>
            </w:pPr>
            <w:r>
              <w:rPr>
                <w:rFonts w:ascii="Arial" w:cs="Arial" w:eastAsia="Arial" w:hAnsi="Arial"/>
                <w:sz w:val="20"/>
                <w:szCs w:val="20"/>
                <w:color w:val="auto"/>
              </w:rPr>
              <w:t>Acknowledgement Regarding Any Supported QFCs</w:t>
            </w:r>
          </w:p>
        </w:tc>
        <w:tc>
          <w:tcPr>
            <w:tcW w:w="24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169</w:t>
            </w:r>
          </w:p>
        </w:tc>
      </w:tr>
      <w:tr>
        <w:trPr>
          <w:trHeight w:val="23"/>
        </w:trPr>
        <w:tc>
          <w:tcPr>
            <w:tcW w:w="880" w:type="dxa"/>
            <w:vAlign w:val="bottom"/>
            <w:shd w:val="clear" w:color="auto" w:fill="CCEEFF"/>
          </w:tcPr>
          <w:p>
            <w:pPr>
              <w:spacing w:after="0"/>
              <w:rPr>
                <w:sz w:val="2"/>
                <w:szCs w:val="2"/>
                <w:color w:val="auto"/>
              </w:rPr>
            </w:pPr>
          </w:p>
        </w:tc>
        <w:tc>
          <w:tcPr>
            <w:tcW w:w="814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-v-</w:t>
      </w:r>
    </w:p>
    <w:p>
      <w:pPr>
        <w:sectPr>
          <w:pgSz w:w="11900" w:h="16838" w:orient="portrait"/>
          <w:cols w:equalWidth="0" w:num="1">
            <w:col w:w="11420"/>
          </w:cols>
          <w:pgMar w:left="240" w:top="676"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0"/>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1"/>
              </w:rPr>
              <w:t>SCHEDULES</w:t>
            </w:r>
          </w:p>
        </w:tc>
        <w:tc>
          <w:tcPr>
            <w:tcW w:w="400" w:type="dxa"/>
            <w:vAlign w:val="bottom"/>
          </w:tcPr>
          <w:p>
            <w:pPr>
              <w:spacing w:after="0"/>
              <w:rPr>
                <w:sz w:val="19"/>
                <w:szCs w:val="19"/>
                <w:color w:val="auto"/>
              </w:rPr>
            </w:pPr>
          </w:p>
        </w:tc>
        <w:tc>
          <w:tcPr>
            <w:tcW w:w="7740" w:type="dxa"/>
            <w:vAlign w:val="bottom"/>
          </w:tcPr>
          <w:p>
            <w:pPr>
              <w:spacing w:after="0"/>
              <w:rPr>
                <w:sz w:val="19"/>
                <w:szCs w:val="19"/>
                <w:color w:val="auto"/>
              </w:rPr>
            </w:pPr>
          </w:p>
        </w:tc>
      </w:tr>
      <w:tr>
        <w:trPr>
          <w:trHeight w:val="646"/>
        </w:trPr>
        <w:tc>
          <w:tcPr>
            <w:tcW w:w="1540" w:type="dxa"/>
            <w:vAlign w:val="bottom"/>
            <w:gridSpan w:val="3"/>
          </w:tcPr>
          <w:p>
            <w:pPr>
              <w:spacing w:after="0"/>
              <w:rPr>
                <w:sz w:val="20"/>
                <w:szCs w:val="20"/>
                <w:color w:val="auto"/>
              </w:rPr>
            </w:pPr>
            <w:r>
              <w:rPr>
                <w:rFonts w:ascii="Arial" w:cs="Arial" w:eastAsia="Arial" w:hAnsi="Arial"/>
                <w:sz w:val="20"/>
                <w:szCs w:val="20"/>
                <w:color w:val="auto"/>
              </w:rPr>
              <w:t>Schedule 1.1(a)</w:t>
            </w:r>
          </w:p>
        </w:tc>
        <w:tc>
          <w:tcPr>
            <w:tcW w:w="7740" w:type="dxa"/>
            <w:vAlign w:val="bottom"/>
          </w:tcPr>
          <w:p>
            <w:pPr>
              <w:ind w:left="300"/>
              <w:spacing w:after="0"/>
              <w:rPr>
                <w:sz w:val="20"/>
                <w:szCs w:val="20"/>
                <w:color w:val="auto"/>
              </w:rPr>
            </w:pPr>
            <w:r>
              <w:rPr>
                <w:rFonts w:ascii="Arial" w:cs="Arial" w:eastAsia="Arial" w:hAnsi="Arial"/>
                <w:sz w:val="20"/>
                <w:szCs w:val="20"/>
                <w:color w:val="auto"/>
              </w:rPr>
              <w:t>Mortgaged Properties</w:t>
            </w:r>
          </w:p>
        </w:tc>
      </w:tr>
      <w:tr>
        <w:trPr>
          <w:trHeight w:val="284"/>
        </w:trPr>
        <w:tc>
          <w:tcPr>
            <w:tcW w:w="1540" w:type="dxa"/>
            <w:vAlign w:val="bottom"/>
            <w:gridSpan w:val="3"/>
          </w:tcPr>
          <w:p>
            <w:pPr>
              <w:spacing w:after="0"/>
              <w:rPr>
                <w:sz w:val="20"/>
                <w:szCs w:val="20"/>
                <w:color w:val="auto"/>
              </w:rPr>
            </w:pPr>
            <w:r>
              <w:rPr>
                <w:rFonts w:ascii="Arial" w:cs="Arial" w:eastAsia="Arial" w:hAnsi="Arial"/>
                <w:sz w:val="20"/>
                <w:szCs w:val="20"/>
                <w:color w:val="auto"/>
              </w:rPr>
              <w:t>Schedule 1.1(b)</w:t>
            </w:r>
          </w:p>
        </w:tc>
        <w:tc>
          <w:tcPr>
            <w:tcW w:w="7740" w:type="dxa"/>
            <w:vAlign w:val="bottom"/>
          </w:tcPr>
          <w:p>
            <w:pPr>
              <w:ind w:left="300"/>
              <w:spacing w:after="0"/>
              <w:rPr>
                <w:sz w:val="20"/>
                <w:szCs w:val="20"/>
                <w:color w:val="auto"/>
              </w:rPr>
            </w:pPr>
            <w:r>
              <w:rPr>
                <w:rFonts w:ascii="Arial" w:cs="Arial" w:eastAsia="Arial" w:hAnsi="Arial"/>
                <w:sz w:val="20"/>
                <w:szCs w:val="20"/>
                <w:color w:val="auto"/>
              </w:rPr>
              <w:t>Commitments of Lenders</w:t>
            </w:r>
          </w:p>
        </w:tc>
      </w:tr>
      <w:tr>
        <w:trPr>
          <w:trHeight w:val="284"/>
        </w:trPr>
        <w:tc>
          <w:tcPr>
            <w:tcW w:w="1540" w:type="dxa"/>
            <w:vAlign w:val="bottom"/>
            <w:gridSpan w:val="3"/>
          </w:tcPr>
          <w:p>
            <w:pPr>
              <w:spacing w:after="0"/>
              <w:rPr>
                <w:sz w:val="20"/>
                <w:szCs w:val="20"/>
                <w:color w:val="auto"/>
              </w:rPr>
            </w:pPr>
            <w:r>
              <w:rPr>
                <w:rFonts w:ascii="Arial" w:cs="Arial" w:eastAsia="Arial" w:hAnsi="Arial"/>
                <w:sz w:val="20"/>
                <w:szCs w:val="20"/>
                <w:color w:val="auto"/>
              </w:rPr>
              <w:t>Schedule 1.1(c)</w:t>
            </w:r>
          </w:p>
        </w:tc>
        <w:tc>
          <w:tcPr>
            <w:tcW w:w="7740" w:type="dxa"/>
            <w:vAlign w:val="bottom"/>
          </w:tcPr>
          <w:p>
            <w:pPr>
              <w:ind w:left="300"/>
              <w:spacing w:after="0"/>
              <w:rPr>
                <w:sz w:val="20"/>
                <w:szCs w:val="20"/>
                <w:color w:val="auto"/>
              </w:rPr>
            </w:pPr>
            <w:r>
              <w:rPr>
                <w:rFonts w:ascii="Arial" w:cs="Arial" w:eastAsia="Arial" w:hAnsi="Arial"/>
                <w:sz w:val="20"/>
                <w:szCs w:val="20"/>
                <w:color w:val="auto"/>
              </w:rPr>
              <w:t>Existing Letters of Credit</w:t>
            </w:r>
          </w:p>
        </w:tc>
      </w:tr>
      <w:tr>
        <w:trPr>
          <w:trHeight w:val="284"/>
        </w:trPr>
        <w:tc>
          <w:tcPr>
            <w:tcW w:w="1540" w:type="dxa"/>
            <w:vAlign w:val="bottom"/>
            <w:gridSpan w:val="3"/>
          </w:tcPr>
          <w:p>
            <w:pPr>
              <w:spacing w:after="0"/>
              <w:rPr>
                <w:sz w:val="20"/>
                <w:szCs w:val="20"/>
                <w:color w:val="auto"/>
              </w:rPr>
            </w:pPr>
            <w:r>
              <w:rPr>
                <w:rFonts w:ascii="Arial" w:cs="Arial" w:eastAsia="Arial" w:hAnsi="Arial"/>
                <w:sz w:val="20"/>
                <w:szCs w:val="20"/>
                <w:color w:val="auto"/>
              </w:rPr>
              <w:t>Schedule 8.14</w:t>
            </w:r>
          </w:p>
        </w:tc>
        <w:tc>
          <w:tcPr>
            <w:tcW w:w="7740" w:type="dxa"/>
            <w:vAlign w:val="bottom"/>
          </w:tcPr>
          <w:p>
            <w:pPr>
              <w:ind w:left="300"/>
              <w:spacing w:after="0"/>
              <w:rPr>
                <w:sz w:val="20"/>
                <w:szCs w:val="20"/>
                <w:color w:val="auto"/>
              </w:rPr>
            </w:pPr>
            <w:r>
              <w:rPr>
                <w:rFonts w:ascii="Arial" w:cs="Arial" w:eastAsia="Arial" w:hAnsi="Arial"/>
                <w:sz w:val="20"/>
                <w:szCs w:val="20"/>
                <w:color w:val="auto"/>
              </w:rPr>
              <w:t>Subsidiaries</w:t>
            </w:r>
          </w:p>
        </w:tc>
      </w:tr>
      <w:tr>
        <w:trPr>
          <w:trHeight w:val="284"/>
        </w:trPr>
        <w:tc>
          <w:tcPr>
            <w:tcW w:w="1540" w:type="dxa"/>
            <w:vAlign w:val="bottom"/>
            <w:gridSpan w:val="3"/>
          </w:tcPr>
          <w:p>
            <w:pPr>
              <w:spacing w:after="0"/>
              <w:rPr>
                <w:sz w:val="20"/>
                <w:szCs w:val="20"/>
                <w:color w:val="auto"/>
              </w:rPr>
            </w:pPr>
            <w:r>
              <w:rPr>
                <w:rFonts w:ascii="Arial" w:cs="Arial" w:eastAsia="Arial" w:hAnsi="Arial"/>
                <w:sz w:val="20"/>
                <w:szCs w:val="20"/>
                <w:color w:val="auto"/>
              </w:rPr>
              <w:t>Schedule 8.16</w:t>
            </w:r>
          </w:p>
        </w:tc>
        <w:tc>
          <w:tcPr>
            <w:tcW w:w="7740" w:type="dxa"/>
            <w:vAlign w:val="bottom"/>
          </w:tcPr>
          <w:p>
            <w:pPr>
              <w:ind w:left="300"/>
              <w:spacing w:after="0"/>
              <w:rPr>
                <w:sz w:val="20"/>
                <w:szCs w:val="20"/>
                <w:color w:val="auto"/>
              </w:rPr>
            </w:pPr>
            <w:r>
              <w:rPr>
                <w:rFonts w:ascii="Arial" w:cs="Arial" w:eastAsia="Arial" w:hAnsi="Arial"/>
                <w:sz w:val="20"/>
                <w:szCs w:val="20"/>
                <w:color w:val="auto"/>
              </w:rPr>
              <w:t>Environmental</w:t>
            </w:r>
          </w:p>
        </w:tc>
      </w:tr>
      <w:tr>
        <w:trPr>
          <w:trHeight w:val="284"/>
        </w:trPr>
        <w:tc>
          <w:tcPr>
            <w:tcW w:w="1540" w:type="dxa"/>
            <w:vAlign w:val="bottom"/>
            <w:gridSpan w:val="3"/>
          </w:tcPr>
          <w:p>
            <w:pPr>
              <w:spacing w:after="0"/>
              <w:rPr>
                <w:sz w:val="20"/>
                <w:szCs w:val="20"/>
                <w:color w:val="auto"/>
              </w:rPr>
            </w:pPr>
            <w:r>
              <w:rPr>
                <w:rFonts w:ascii="Arial" w:cs="Arial" w:eastAsia="Arial" w:hAnsi="Arial"/>
                <w:sz w:val="20"/>
                <w:szCs w:val="20"/>
                <w:color w:val="auto"/>
              </w:rPr>
              <w:t>[Schedule 9.14</w:t>
            </w:r>
          </w:p>
        </w:tc>
        <w:tc>
          <w:tcPr>
            <w:tcW w:w="7740" w:type="dxa"/>
            <w:vAlign w:val="bottom"/>
          </w:tcPr>
          <w:p>
            <w:pPr>
              <w:ind w:left="300"/>
              <w:spacing w:after="0"/>
              <w:rPr>
                <w:sz w:val="20"/>
                <w:szCs w:val="20"/>
                <w:color w:val="auto"/>
              </w:rPr>
            </w:pPr>
            <w:r>
              <w:rPr>
                <w:rFonts w:ascii="Arial" w:cs="Arial" w:eastAsia="Arial" w:hAnsi="Arial"/>
                <w:sz w:val="20"/>
                <w:szCs w:val="20"/>
                <w:color w:val="auto"/>
              </w:rPr>
              <w:t>Post-Closing Actions]</w:t>
            </w:r>
          </w:p>
        </w:tc>
      </w:tr>
      <w:tr>
        <w:trPr>
          <w:trHeight w:val="284"/>
        </w:trPr>
        <w:tc>
          <w:tcPr>
            <w:tcW w:w="1540" w:type="dxa"/>
            <w:vAlign w:val="bottom"/>
            <w:gridSpan w:val="3"/>
          </w:tcPr>
          <w:p>
            <w:pPr>
              <w:spacing w:after="0"/>
              <w:rPr>
                <w:sz w:val="20"/>
                <w:szCs w:val="20"/>
                <w:color w:val="auto"/>
              </w:rPr>
            </w:pPr>
            <w:r>
              <w:rPr>
                <w:rFonts w:ascii="Arial" w:cs="Arial" w:eastAsia="Arial" w:hAnsi="Arial"/>
                <w:sz w:val="20"/>
                <w:szCs w:val="20"/>
                <w:color w:val="auto"/>
              </w:rPr>
              <w:t>Schedule 10.1</w:t>
            </w:r>
          </w:p>
        </w:tc>
        <w:tc>
          <w:tcPr>
            <w:tcW w:w="7740" w:type="dxa"/>
            <w:vAlign w:val="bottom"/>
          </w:tcPr>
          <w:p>
            <w:pPr>
              <w:ind w:left="300"/>
              <w:spacing w:after="0"/>
              <w:rPr>
                <w:sz w:val="20"/>
                <w:szCs w:val="20"/>
                <w:color w:val="auto"/>
              </w:rPr>
            </w:pPr>
            <w:r>
              <w:rPr>
                <w:rFonts w:ascii="Arial" w:cs="Arial" w:eastAsia="Arial" w:hAnsi="Arial"/>
                <w:sz w:val="20"/>
                <w:szCs w:val="20"/>
                <w:color w:val="auto"/>
              </w:rPr>
              <w:t>Restatement Effective Date Indebtedness</w:t>
            </w:r>
          </w:p>
        </w:tc>
      </w:tr>
      <w:tr>
        <w:trPr>
          <w:trHeight w:val="284"/>
        </w:trPr>
        <w:tc>
          <w:tcPr>
            <w:tcW w:w="1540" w:type="dxa"/>
            <w:vAlign w:val="bottom"/>
            <w:gridSpan w:val="3"/>
          </w:tcPr>
          <w:p>
            <w:pPr>
              <w:spacing w:after="0"/>
              <w:rPr>
                <w:sz w:val="20"/>
                <w:szCs w:val="20"/>
                <w:color w:val="auto"/>
              </w:rPr>
            </w:pPr>
            <w:r>
              <w:rPr>
                <w:rFonts w:ascii="Arial" w:cs="Arial" w:eastAsia="Arial" w:hAnsi="Arial"/>
                <w:sz w:val="20"/>
                <w:szCs w:val="20"/>
                <w:color w:val="auto"/>
              </w:rPr>
              <w:t>Schedule 10.2</w:t>
            </w:r>
          </w:p>
        </w:tc>
        <w:tc>
          <w:tcPr>
            <w:tcW w:w="7740" w:type="dxa"/>
            <w:vAlign w:val="bottom"/>
          </w:tcPr>
          <w:p>
            <w:pPr>
              <w:ind w:left="300"/>
              <w:spacing w:after="0"/>
              <w:rPr>
                <w:sz w:val="20"/>
                <w:szCs w:val="20"/>
                <w:color w:val="auto"/>
              </w:rPr>
            </w:pPr>
            <w:r>
              <w:rPr>
                <w:rFonts w:ascii="Arial" w:cs="Arial" w:eastAsia="Arial" w:hAnsi="Arial"/>
                <w:sz w:val="20"/>
                <w:szCs w:val="20"/>
                <w:color w:val="auto"/>
              </w:rPr>
              <w:t>Restatement Effective Date Liens</w:t>
            </w:r>
          </w:p>
        </w:tc>
      </w:tr>
      <w:tr>
        <w:trPr>
          <w:trHeight w:val="284"/>
        </w:trPr>
        <w:tc>
          <w:tcPr>
            <w:tcW w:w="1540" w:type="dxa"/>
            <w:vAlign w:val="bottom"/>
            <w:gridSpan w:val="3"/>
          </w:tcPr>
          <w:p>
            <w:pPr>
              <w:spacing w:after="0"/>
              <w:rPr>
                <w:sz w:val="20"/>
                <w:szCs w:val="20"/>
                <w:color w:val="auto"/>
              </w:rPr>
            </w:pPr>
            <w:r>
              <w:rPr>
                <w:rFonts w:ascii="Arial" w:cs="Arial" w:eastAsia="Arial" w:hAnsi="Arial"/>
                <w:sz w:val="20"/>
                <w:szCs w:val="20"/>
                <w:color w:val="auto"/>
              </w:rPr>
              <w:t>Schedule 10.5</w:t>
            </w:r>
          </w:p>
        </w:tc>
        <w:tc>
          <w:tcPr>
            <w:tcW w:w="7740" w:type="dxa"/>
            <w:vAlign w:val="bottom"/>
          </w:tcPr>
          <w:p>
            <w:pPr>
              <w:ind w:left="300"/>
              <w:spacing w:after="0"/>
              <w:rPr>
                <w:sz w:val="20"/>
                <w:szCs w:val="20"/>
                <w:color w:val="auto"/>
              </w:rPr>
            </w:pPr>
            <w:r>
              <w:rPr>
                <w:rFonts w:ascii="Arial" w:cs="Arial" w:eastAsia="Arial" w:hAnsi="Arial"/>
                <w:sz w:val="20"/>
                <w:szCs w:val="20"/>
                <w:color w:val="auto"/>
              </w:rPr>
              <w:t>Restatement Effective Date Investments</w:t>
            </w:r>
          </w:p>
        </w:tc>
      </w:tr>
      <w:tr>
        <w:trPr>
          <w:trHeight w:val="284"/>
        </w:trPr>
        <w:tc>
          <w:tcPr>
            <w:tcW w:w="1540" w:type="dxa"/>
            <w:vAlign w:val="bottom"/>
            <w:gridSpan w:val="3"/>
          </w:tcPr>
          <w:p>
            <w:pPr>
              <w:spacing w:after="0"/>
              <w:rPr>
                <w:sz w:val="20"/>
                <w:szCs w:val="20"/>
                <w:color w:val="auto"/>
              </w:rPr>
            </w:pPr>
            <w:r>
              <w:rPr>
                <w:rFonts w:ascii="Arial" w:cs="Arial" w:eastAsia="Arial" w:hAnsi="Arial"/>
                <w:sz w:val="20"/>
                <w:szCs w:val="20"/>
                <w:color w:val="auto"/>
              </w:rPr>
              <w:t>Schedule 13.2</w:t>
            </w:r>
          </w:p>
        </w:tc>
        <w:tc>
          <w:tcPr>
            <w:tcW w:w="7740" w:type="dxa"/>
            <w:vAlign w:val="bottom"/>
          </w:tcPr>
          <w:p>
            <w:pPr>
              <w:ind w:left="300"/>
              <w:spacing w:after="0"/>
              <w:rPr>
                <w:sz w:val="20"/>
                <w:szCs w:val="20"/>
                <w:color w:val="auto"/>
              </w:rPr>
            </w:pPr>
            <w:r>
              <w:rPr>
                <w:rFonts w:ascii="Arial" w:cs="Arial" w:eastAsia="Arial" w:hAnsi="Arial"/>
                <w:sz w:val="20"/>
                <w:szCs w:val="20"/>
                <w:color w:val="auto"/>
              </w:rPr>
              <w:t>Notice Addresses</w:t>
            </w:r>
          </w:p>
        </w:tc>
      </w:tr>
      <w:tr>
        <w:trPr>
          <w:trHeight w:val="577"/>
        </w:trPr>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6"/>
              </w:rPr>
              <w:t>EXHIBITS</w:t>
            </w:r>
          </w:p>
        </w:tc>
        <w:tc>
          <w:tcPr>
            <w:tcW w:w="640" w:type="dxa"/>
            <w:vAlign w:val="bottom"/>
            <w:gridSpan w:val="2"/>
          </w:tcPr>
          <w:p>
            <w:pPr>
              <w:spacing w:after="0"/>
              <w:rPr>
                <w:sz w:val="24"/>
                <w:szCs w:val="24"/>
                <w:color w:val="auto"/>
              </w:rPr>
            </w:pPr>
          </w:p>
        </w:tc>
        <w:tc>
          <w:tcPr>
            <w:tcW w:w="7740" w:type="dxa"/>
            <w:vAlign w:val="bottom"/>
          </w:tcPr>
          <w:p>
            <w:pPr>
              <w:spacing w:after="0"/>
              <w:rPr>
                <w:sz w:val="24"/>
                <w:szCs w:val="24"/>
                <w:color w:val="auto"/>
              </w:rPr>
            </w:pPr>
          </w:p>
        </w:tc>
      </w:tr>
      <w:tr>
        <w:trPr>
          <w:trHeight w:val="646"/>
        </w:trPr>
        <w:tc>
          <w:tcPr>
            <w:tcW w:w="1540" w:type="dxa"/>
            <w:vAlign w:val="bottom"/>
            <w:gridSpan w:val="3"/>
          </w:tcPr>
          <w:p>
            <w:pPr>
              <w:spacing w:after="0"/>
              <w:rPr>
                <w:sz w:val="20"/>
                <w:szCs w:val="20"/>
                <w:color w:val="auto"/>
              </w:rPr>
            </w:pPr>
            <w:r>
              <w:rPr>
                <w:rFonts w:ascii="Arial" w:cs="Arial" w:eastAsia="Arial" w:hAnsi="Arial"/>
                <w:sz w:val="20"/>
                <w:szCs w:val="20"/>
                <w:color w:val="auto"/>
              </w:rPr>
              <w:t>Exhibit A</w:t>
            </w:r>
          </w:p>
        </w:tc>
        <w:tc>
          <w:tcPr>
            <w:tcW w:w="7740" w:type="dxa"/>
            <w:vAlign w:val="bottom"/>
          </w:tcPr>
          <w:p>
            <w:pPr>
              <w:ind w:left="300"/>
              <w:spacing w:after="0"/>
              <w:rPr>
                <w:sz w:val="20"/>
                <w:szCs w:val="20"/>
                <w:color w:val="auto"/>
              </w:rPr>
            </w:pPr>
            <w:r>
              <w:rPr>
                <w:rFonts w:ascii="Arial" w:cs="Arial" w:eastAsia="Arial" w:hAnsi="Arial"/>
                <w:sz w:val="20"/>
                <w:szCs w:val="20"/>
                <w:color w:val="auto"/>
              </w:rPr>
              <w:t>Form of Joinder Agreement</w:t>
            </w:r>
          </w:p>
        </w:tc>
      </w:tr>
      <w:tr>
        <w:trPr>
          <w:trHeight w:val="284"/>
        </w:trPr>
        <w:tc>
          <w:tcPr>
            <w:tcW w:w="1540" w:type="dxa"/>
            <w:vAlign w:val="bottom"/>
            <w:gridSpan w:val="3"/>
          </w:tcPr>
          <w:p>
            <w:pPr>
              <w:spacing w:after="0"/>
              <w:rPr>
                <w:sz w:val="20"/>
                <w:szCs w:val="20"/>
                <w:color w:val="auto"/>
              </w:rPr>
            </w:pPr>
            <w:r>
              <w:rPr>
                <w:rFonts w:ascii="Arial" w:cs="Arial" w:eastAsia="Arial" w:hAnsi="Arial"/>
                <w:sz w:val="20"/>
                <w:szCs w:val="20"/>
                <w:color w:val="auto"/>
              </w:rPr>
              <w:t>Exhibit B</w:t>
            </w:r>
          </w:p>
        </w:tc>
        <w:tc>
          <w:tcPr>
            <w:tcW w:w="7740" w:type="dxa"/>
            <w:vAlign w:val="bottom"/>
          </w:tcPr>
          <w:p>
            <w:pPr>
              <w:ind w:left="300"/>
              <w:spacing w:after="0"/>
              <w:rPr>
                <w:sz w:val="20"/>
                <w:szCs w:val="20"/>
                <w:color w:val="auto"/>
              </w:rPr>
            </w:pPr>
            <w:r>
              <w:rPr>
                <w:rFonts w:ascii="Arial" w:cs="Arial" w:eastAsia="Arial" w:hAnsi="Arial"/>
                <w:sz w:val="20"/>
                <w:szCs w:val="20"/>
                <w:color w:val="auto"/>
              </w:rPr>
              <w:t>[Reserved]</w:t>
            </w:r>
          </w:p>
        </w:tc>
      </w:tr>
      <w:tr>
        <w:trPr>
          <w:trHeight w:val="284"/>
        </w:trPr>
        <w:tc>
          <w:tcPr>
            <w:tcW w:w="1540" w:type="dxa"/>
            <w:vAlign w:val="bottom"/>
            <w:gridSpan w:val="3"/>
          </w:tcPr>
          <w:p>
            <w:pPr>
              <w:spacing w:after="0"/>
              <w:rPr>
                <w:sz w:val="20"/>
                <w:szCs w:val="20"/>
                <w:color w:val="auto"/>
              </w:rPr>
            </w:pPr>
            <w:r>
              <w:rPr>
                <w:rFonts w:ascii="Arial" w:cs="Arial" w:eastAsia="Arial" w:hAnsi="Arial"/>
                <w:sz w:val="20"/>
                <w:szCs w:val="20"/>
                <w:color w:val="auto"/>
              </w:rPr>
              <w:t>Exhibit C</w:t>
            </w:r>
          </w:p>
        </w:tc>
        <w:tc>
          <w:tcPr>
            <w:tcW w:w="7740" w:type="dxa"/>
            <w:vAlign w:val="bottom"/>
          </w:tcPr>
          <w:p>
            <w:pPr>
              <w:ind w:left="300"/>
              <w:spacing w:after="0"/>
              <w:rPr>
                <w:sz w:val="20"/>
                <w:szCs w:val="20"/>
                <w:color w:val="auto"/>
              </w:rPr>
            </w:pPr>
            <w:r>
              <w:rPr>
                <w:rFonts w:ascii="Arial" w:cs="Arial" w:eastAsia="Arial" w:hAnsi="Arial"/>
                <w:sz w:val="20"/>
                <w:szCs w:val="20"/>
                <w:color w:val="auto"/>
              </w:rPr>
              <w:t>[Reserved]</w:t>
            </w:r>
          </w:p>
        </w:tc>
      </w:tr>
      <w:tr>
        <w:trPr>
          <w:trHeight w:val="284"/>
        </w:trPr>
        <w:tc>
          <w:tcPr>
            <w:tcW w:w="1540" w:type="dxa"/>
            <w:vAlign w:val="bottom"/>
            <w:gridSpan w:val="3"/>
          </w:tcPr>
          <w:p>
            <w:pPr>
              <w:spacing w:after="0"/>
              <w:rPr>
                <w:sz w:val="20"/>
                <w:szCs w:val="20"/>
                <w:color w:val="auto"/>
              </w:rPr>
            </w:pPr>
            <w:r>
              <w:rPr>
                <w:rFonts w:ascii="Arial" w:cs="Arial" w:eastAsia="Arial" w:hAnsi="Arial"/>
                <w:sz w:val="20"/>
                <w:szCs w:val="20"/>
                <w:color w:val="auto"/>
              </w:rPr>
              <w:t>Exhibit D</w:t>
            </w:r>
          </w:p>
        </w:tc>
        <w:tc>
          <w:tcPr>
            <w:tcW w:w="7740" w:type="dxa"/>
            <w:vAlign w:val="bottom"/>
          </w:tcPr>
          <w:p>
            <w:pPr>
              <w:ind w:left="300"/>
              <w:spacing w:after="0"/>
              <w:rPr>
                <w:sz w:val="20"/>
                <w:szCs w:val="20"/>
                <w:color w:val="auto"/>
              </w:rPr>
            </w:pPr>
            <w:r>
              <w:rPr>
                <w:rFonts w:ascii="Arial" w:cs="Arial" w:eastAsia="Arial" w:hAnsi="Arial"/>
                <w:sz w:val="20"/>
                <w:szCs w:val="20"/>
                <w:color w:val="auto"/>
              </w:rPr>
              <w:t>[Reserved]</w:t>
            </w:r>
          </w:p>
        </w:tc>
      </w:tr>
      <w:tr>
        <w:trPr>
          <w:trHeight w:val="284"/>
        </w:trPr>
        <w:tc>
          <w:tcPr>
            <w:tcW w:w="1540" w:type="dxa"/>
            <w:vAlign w:val="bottom"/>
            <w:gridSpan w:val="3"/>
          </w:tcPr>
          <w:p>
            <w:pPr>
              <w:spacing w:after="0"/>
              <w:rPr>
                <w:sz w:val="20"/>
                <w:szCs w:val="20"/>
                <w:color w:val="auto"/>
              </w:rPr>
            </w:pPr>
            <w:r>
              <w:rPr>
                <w:rFonts w:ascii="Arial" w:cs="Arial" w:eastAsia="Arial" w:hAnsi="Arial"/>
                <w:sz w:val="20"/>
                <w:szCs w:val="20"/>
                <w:color w:val="auto"/>
              </w:rPr>
              <w:t>Exhibit E</w:t>
            </w:r>
          </w:p>
        </w:tc>
        <w:tc>
          <w:tcPr>
            <w:tcW w:w="7740" w:type="dxa"/>
            <w:vAlign w:val="bottom"/>
          </w:tcPr>
          <w:p>
            <w:pPr>
              <w:ind w:left="300"/>
              <w:spacing w:after="0"/>
              <w:rPr>
                <w:sz w:val="20"/>
                <w:szCs w:val="20"/>
                <w:color w:val="auto"/>
              </w:rPr>
            </w:pPr>
            <w:r>
              <w:rPr>
                <w:rFonts w:ascii="Arial" w:cs="Arial" w:eastAsia="Arial" w:hAnsi="Arial"/>
                <w:sz w:val="20"/>
                <w:szCs w:val="20"/>
                <w:color w:val="auto"/>
              </w:rPr>
              <w:t>Form of Credit Party Restatement Effective Certificate</w:t>
            </w:r>
          </w:p>
        </w:tc>
      </w:tr>
      <w:tr>
        <w:trPr>
          <w:trHeight w:val="284"/>
        </w:trPr>
        <w:tc>
          <w:tcPr>
            <w:tcW w:w="1540" w:type="dxa"/>
            <w:vAlign w:val="bottom"/>
            <w:gridSpan w:val="3"/>
          </w:tcPr>
          <w:p>
            <w:pPr>
              <w:spacing w:after="0"/>
              <w:rPr>
                <w:sz w:val="20"/>
                <w:szCs w:val="20"/>
                <w:color w:val="auto"/>
              </w:rPr>
            </w:pPr>
            <w:r>
              <w:rPr>
                <w:rFonts w:ascii="Arial" w:cs="Arial" w:eastAsia="Arial" w:hAnsi="Arial"/>
                <w:sz w:val="20"/>
                <w:szCs w:val="20"/>
                <w:color w:val="auto"/>
              </w:rPr>
              <w:t>Exhibit F</w:t>
            </w:r>
          </w:p>
        </w:tc>
        <w:tc>
          <w:tcPr>
            <w:tcW w:w="7740" w:type="dxa"/>
            <w:vAlign w:val="bottom"/>
          </w:tcPr>
          <w:p>
            <w:pPr>
              <w:ind w:left="300"/>
              <w:spacing w:after="0"/>
              <w:rPr>
                <w:sz w:val="20"/>
                <w:szCs w:val="20"/>
                <w:color w:val="auto"/>
              </w:rPr>
            </w:pPr>
            <w:r>
              <w:rPr>
                <w:rFonts w:ascii="Arial" w:cs="Arial" w:eastAsia="Arial" w:hAnsi="Arial"/>
                <w:sz w:val="20"/>
                <w:szCs w:val="20"/>
                <w:color w:val="auto"/>
              </w:rPr>
              <w:t>Form of Assignment and Acceptance</w:t>
            </w:r>
          </w:p>
        </w:tc>
      </w:tr>
      <w:tr>
        <w:trPr>
          <w:trHeight w:val="284"/>
        </w:trPr>
        <w:tc>
          <w:tcPr>
            <w:tcW w:w="1540" w:type="dxa"/>
            <w:vAlign w:val="bottom"/>
            <w:gridSpan w:val="3"/>
          </w:tcPr>
          <w:p>
            <w:pPr>
              <w:spacing w:after="0"/>
              <w:rPr>
                <w:sz w:val="20"/>
                <w:szCs w:val="20"/>
                <w:color w:val="auto"/>
              </w:rPr>
            </w:pPr>
            <w:r>
              <w:rPr>
                <w:rFonts w:ascii="Arial" w:cs="Arial" w:eastAsia="Arial" w:hAnsi="Arial"/>
                <w:sz w:val="20"/>
                <w:szCs w:val="20"/>
                <w:color w:val="auto"/>
              </w:rPr>
              <w:t>Exhibit G-1</w:t>
            </w:r>
          </w:p>
        </w:tc>
        <w:tc>
          <w:tcPr>
            <w:tcW w:w="7740" w:type="dxa"/>
            <w:vAlign w:val="bottom"/>
          </w:tcPr>
          <w:p>
            <w:pPr>
              <w:ind w:left="300"/>
              <w:spacing w:after="0"/>
              <w:rPr>
                <w:sz w:val="20"/>
                <w:szCs w:val="20"/>
                <w:color w:val="auto"/>
              </w:rPr>
            </w:pPr>
            <w:r>
              <w:rPr>
                <w:rFonts w:ascii="Arial" w:cs="Arial" w:eastAsia="Arial" w:hAnsi="Arial"/>
                <w:sz w:val="20"/>
                <w:szCs w:val="20"/>
                <w:color w:val="auto"/>
              </w:rPr>
              <w:t>Form of Promissory Note (Term A Loans)</w:t>
            </w:r>
          </w:p>
        </w:tc>
      </w:tr>
      <w:tr>
        <w:trPr>
          <w:trHeight w:val="284"/>
        </w:trPr>
        <w:tc>
          <w:tcPr>
            <w:tcW w:w="1540" w:type="dxa"/>
            <w:vAlign w:val="bottom"/>
            <w:gridSpan w:val="3"/>
          </w:tcPr>
          <w:p>
            <w:pPr>
              <w:spacing w:after="0"/>
              <w:rPr>
                <w:sz w:val="20"/>
                <w:szCs w:val="20"/>
                <w:color w:val="auto"/>
              </w:rPr>
            </w:pPr>
            <w:r>
              <w:rPr>
                <w:rFonts w:ascii="Arial" w:cs="Arial" w:eastAsia="Arial" w:hAnsi="Arial"/>
                <w:sz w:val="20"/>
                <w:szCs w:val="20"/>
                <w:color w:val="auto"/>
              </w:rPr>
              <w:t>Exhibit G-2</w:t>
            </w:r>
          </w:p>
        </w:tc>
        <w:tc>
          <w:tcPr>
            <w:tcW w:w="7740" w:type="dxa"/>
            <w:vAlign w:val="bottom"/>
          </w:tcPr>
          <w:p>
            <w:pPr>
              <w:ind w:left="300"/>
              <w:spacing w:after="0"/>
              <w:rPr>
                <w:sz w:val="20"/>
                <w:szCs w:val="20"/>
                <w:color w:val="auto"/>
              </w:rPr>
            </w:pPr>
            <w:r>
              <w:rPr>
                <w:rFonts w:ascii="Arial" w:cs="Arial" w:eastAsia="Arial" w:hAnsi="Arial"/>
                <w:sz w:val="20"/>
                <w:szCs w:val="20"/>
                <w:color w:val="auto"/>
              </w:rPr>
              <w:t>Form of Promissory Note (Revolving Credit Loans)</w:t>
            </w:r>
          </w:p>
        </w:tc>
      </w:tr>
      <w:tr>
        <w:trPr>
          <w:trHeight w:val="284"/>
        </w:trPr>
        <w:tc>
          <w:tcPr>
            <w:tcW w:w="1540" w:type="dxa"/>
            <w:vAlign w:val="bottom"/>
            <w:gridSpan w:val="3"/>
          </w:tcPr>
          <w:p>
            <w:pPr>
              <w:spacing w:after="0"/>
              <w:rPr>
                <w:sz w:val="20"/>
                <w:szCs w:val="20"/>
                <w:color w:val="auto"/>
              </w:rPr>
            </w:pPr>
            <w:r>
              <w:rPr>
                <w:rFonts w:ascii="Arial" w:cs="Arial" w:eastAsia="Arial" w:hAnsi="Arial"/>
                <w:sz w:val="20"/>
                <w:szCs w:val="20"/>
                <w:color w:val="auto"/>
              </w:rPr>
              <w:t>Exhibit H</w:t>
            </w:r>
          </w:p>
        </w:tc>
        <w:tc>
          <w:tcPr>
            <w:tcW w:w="7740" w:type="dxa"/>
            <w:vAlign w:val="bottom"/>
          </w:tcPr>
          <w:p>
            <w:pPr>
              <w:ind w:left="300"/>
              <w:spacing w:after="0"/>
              <w:rPr>
                <w:sz w:val="20"/>
                <w:szCs w:val="20"/>
                <w:color w:val="auto"/>
              </w:rPr>
            </w:pPr>
            <w:r>
              <w:rPr>
                <w:rFonts w:ascii="Arial" w:cs="Arial" w:eastAsia="Arial" w:hAnsi="Arial"/>
                <w:sz w:val="20"/>
                <w:szCs w:val="20"/>
                <w:color w:val="auto"/>
              </w:rPr>
              <w:t>Form of First Lien Intercreditor Agreement</w:t>
            </w:r>
          </w:p>
        </w:tc>
      </w:tr>
      <w:tr>
        <w:trPr>
          <w:trHeight w:val="284"/>
        </w:trPr>
        <w:tc>
          <w:tcPr>
            <w:tcW w:w="1540" w:type="dxa"/>
            <w:vAlign w:val="bottom"/>
            <w:gridSpan w:val="3"/>
          </w:tcPr>
          <w:p>
            <w:pPr>
              <w:spacing w:after="0"/>
              <w:rPr>
                <w:sz w:val="20"/>
                <w:szCs w:val="20"/>
                <w:color w:val="auto"/>
              </w:rPr>
            </w:pPr>
            <w:r>
              <w:rPr>
                <w:rFonts w:ascii="Arial" w:cs="Arial" w:eastAsia="Arial" w:hAnsi="Arial"/>
                <w:sz w:val="20"/>
                <w:szCs w:val="20"/>
                <w:color w:val="auto"/>
              </w:rPr>
              <w:t>Exhibit I</w:t>
            </w:r>
          </w:p>
        </w:tc>
        <w:tc>
          <w:tcPr>
            <w:tcW w:w="7740" w:type="dxa"/>
            <w:vAlign w:val="bottom"/>
          </w:tcPr>
          <w:p>
            <w:pPr>
              <w:ind w:left="300"/>
              <w:spacing w:after="0"/>
              <w:rPr>
                <w:sz w:val="20"/>
                <w:szCs w:val="20"/>
                <w:color w:val="auto"/>
              </w:rPr>
            </w:pPr>
            <w:r>
              <w:rPr>
                <w:rFonts w:ascii="Arial" w:cs="Arial" w:eastAsia="Arial" w:hAnsi="Arial"/>
                <w:sz w:val="20"/>
                <w:szCs w:val="20"/>
                <w:color w:val="auto"/>
              </w:rPr>
              <w:t>Form of Second Lien Intercreditor Agreement</w:t>
            </w:r>
          </w:p>
        </w:tc>
      </w:tr>
      <w:tr>
        <w:trPr>
          <w:trHeight w:val="263"/>
        </w:trPr>
        <w:tc>
          <w:tcPr>
            <w:tcW w:w="1540" w:type="dxa"/>
            <w:vAlign w:val="bottom"/>
            <w:gridSpan w:val="3"/>
          </w:tcPr>
          <w:p>
            <w:pPr>
              <w:spacing w:after="0"/>
              <w:rPr>
                <w:sz w:val="20"/>
                <w:szCs w:val="20"/>
                <w:color w:val="auto"/>
              </w:rPr>
            </w:pPr>
            <w:r>
              <w:rPr>
                <w:rFonts w:ascii="Arial" w:cs="Arial" w:eastAsia="Arial" w:hAnsi="Arial"/>
                <w:sz w:val="20"/>
                <w:szCs w:val="20"/>
                <w:color w:val="auto"/>
              </w:rPr>
              <w:t>Exhibit J-1</w:t>
            </w:r>
          </w:p>
        </w:tc>
        <w:tc>
          <w:tcPr>
            <w:tcW w:w="7740" w:type="dxa"/>
            <w:vAlign w:val="bottom"/>
          </w:tcPr>
          <w:p>
            <w:pPr>
              <w:ind w:left="300"/>
              <w:spacing w:after="0"/>
              <w:rPr>
                <w:sz w:val="20"/>
                <w:szCs w:val="20"/>
                <w:color w:val="auto"/>
              </w:rPr>
            </w:pPr>
            <w:r>
              <w:rPr>
                <w:rFonts w:ascii="Arial" w:cs="Arial" w:eastAsia="Arial" w:hAnsi="Arial"/>
                <w:sz w:val="20"/>
                <w:szCs w:val="20"/>
                <w:color w:val="auto"/>
              </w:rPr>
              <w:t>Form of Non-Bank Tax Certificate</w:t>
            </w:r>
          </w:p>
        </w:tc>
      </w:tr>
      <w:tr>
        <w:trPr>
          <w:trHeight w:val="250"/>
        </w:trPr>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740" w:type="dxa"/>
            <w:vAlign w:val="bottom"/>
          </w:tcPr>
          <w:p>
            <w:pPr>
              <w:ind w:left="300"/>
              <w:spacing w:after="0"/>
              <w:rPr>
                <w:sz w:val="20"/>
                <w:szCs w:val="20"/>
                <w:color w:val="auto"/>
              </w:rPr>
            </w:pPr>
            <w:r>
              <w:rPr>
                <w:rFonts w:ascii="Arial" w:cs="Arial" w:eastAsia="Arial" w:hAnsi="Arial"/>
                <w:sz w:val="20"/>
                <w:szCs w:val="20"/>
                <w:color w:val="auto"/>
                <w:w w:val="92"/>
              </w:rPr>
              <w:t>(For Non-U.S. Lenders That Are Not Partnerships For U.S. Federal Income Tax Purposes)</w:t>
            </w:r>
          </w:p>
        </w:tc>
      </w:tr>
      <w:tr>
        <w:trPr>
          <w:trHeight w:val="263"/>
        </w:trPr>
        <w:tc>
          <w:tcPr>
            <w:tcW w:w="1540" w:type="dxa"/>
            <w:vAlign w:val="bottom"/>
            <w:gridSpan w:val="3"/>
          </w:tcPr>
          <w:p>
            <w:pPr>
              <w:spacing w:after="0"/>
              <w:rPr>
                <w:sz w:val="20"/>
                <w:szCs w:val="20"/>
                <w:color w:val="auto"/>
              </w:rPr>
            </w:pPr>
            <w:r>
              <w:rPr>
                <w:rFonts w:ascii="Arial" w:cs="Arial" w:eastAsia="Arial" w:hAnsi="Arial"/>
                <w:sz w:val="20"/>
                <w:szCs w:val="20"/>
                <w:color w:val="auto"/>
              </w:rPr>
              <w:t>Exhibit J-2</w:t>
            </w:r>
          </w:p>
        </w:tc>
        <w:tc>
          <w:tcPr>
            <w:tcW w:w="7740" w:type="dxa"/>
            <w:vAlign w:val="bottom"/>
          </w:tcPr>
          <w:p>
            <w:pPr>
              <w:ind w:left="300"/>
              <w:spacing w:after="0"/>
              <w:rPr>
                <w:sz w:val="20"/>
                <w:szCs w:val="20"/>
                <w:color w:val="auto"/>
              </w:rPr>
            </w:pPr>
            <w:r>
              <w:rPr>
                <w:rFonts w:ascii="Arial" w:cs="Arial" w:eastAsia="Arial" w:hAnsi="Arial"/>
                <w:sz w:val="20"/>
                <w:szCs w:val="20"/>
                <w:color w:val="auto"/>
              </w:rPr>
              <w:t>Form of Non-Bank Tax Certificate</w:t>
            </w:r>
          </w:p>
        </w:tc>
      </w:tr>
      <w:tr>
        <w:trPr>
          <w:trHeight w:val="250"/>
        </w:trPr>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740" w:type="dxa"/>
            <w:vAlign w:val="bottom"/>
          </w:tcPr>
          <w:p>
            <w:pPr>
              <w:ind w:left="300"/>
              <w:spacing w:after="0"/>
              <w:rPr>
                <w:sz w:val="20"/>
                <w:szCs w:val="20"/>
                <w:color w:val="auto"/>
              </w:rPr>
            </w:pPr>
            <w:r>
              <w:rPr>
                <w:rFonts w:ascii="Arial" w:cs="Arial" w:eastAsia="Arial" w:hAnsi="Arial"/>
                <w:sz w:val="20"/>
                <w:szCs w:val="20"/>
                <w:color w:val="auto"/>
                <w:w w:val="97"/>
              </w:rPr>
              <w:t>(For Non-U.S. Lenders That Are Partnerships For U.S. Federal Income Tax Purposes)</w:t>
            </w:r>
          </w:p>
        </w:tc>
      </w:tr>
      <w:tr>
        <w:trPr>
          <w:trHeight w:val="263"/>
        </w:trPr>
        <w:tc>
          <w:tcPr>
            <w:tcW w:w="1540" w:type="dxa"/>
            <w:vAlign w:val="bottom"/>
            <w:gridSpan w:val="3"/>
          </w:tcPr>
          <w:p>
            <w:pPr>
              <w:spacing w:after="0"/>
              <w:rPr>
                <w:sz w:val="20"/>
                <w:szCs w:val="20"/>
                <w:color w:val="auto"/>
              </w:rPr>
            </w:pPr>
            <w:r>
              <w:rPr>
                <w:rFonts w:ascii="Arial" w:cs="Arial" w:eastAsia="Arial" w:hAnsi="Arial"/>
                <w:sz w:val="20"/>
                <w:szCs w:val="20"/>
                <w:color w:val="auto"/>
              </w:rPr>
              <w:t>Exhibit J-3</w:t>
            </w:r>
          </w:p>
        </w:tc>
        <w:tc>
          <w:tcPr>
            <w:tcW w:w="7740" w:type="dxa"/>
            <w:vAlign w:val="bottom"/>
          </w:tcPr>
          <w:p>
            <w:pPr>
              <w:ind w:left="300"/>
              <w:spacing w:after="0"/>
              <w:rPr>
                <w:sz w:val="20"/>
                <w:szCs w:val="20"/>
                <w:color w:val="auto"/>
              </w:rPr>
            </w:pPr>
            <w:r>
              <w:rPr>
                <w:rFonts w:ascii="Arial" w:cs="Arial" w:eastAsia="Arial" w:hAnsi="Arial"/>
                <w:sz w:val="20"/>
                <w:szCs w:val="20"/>
                <w:color w:val="auto"/>
              </w:rPr>
              <w:t>Form of Non-Bank Tax Certificate</w:t>
            </w:r>
          </w:p>
        </w:tc>
      </w:tr>
      <w:tr>
        <w:trPr>
          <w:trHeight w:val="250"/>
        </w:trPr>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740" w:type="dxa"/>
            <w:vAlign w:val="bottom"/>
          </w:tcPr>
          <w:p>
            <w:pPr>
              <w:ind w:left="300"/>
              <w:spacing w:after="0"/>
              <w:rPr>
                <w:sz w:val="20"/>
                <w:szCs w:val="20"/>
                <w:color w:val="auto"/>
              </w:rPr>
            </w:pPr>
            <w:r>
              <w:rPr>
                <w:rFonts w:ascii="Arial" w:cs="Arial" w:eastAsia="Arial" w:hAnsi="Arial"/>
                <w:sz w:val="20"/>
                <w:szCs w:val="20"/>
                <w:color w:val="auto"/>
                <w:w w:val="89"/>
              </w:rPr>
              <w:t>(For Non-U.S. Participants That Are Not Partnerships For U.S. Federal Income Tax Purposes)</w:t>
            </w:r>
          </w:p>
        </w:tc>
      </w:tr>
      <w:tr>
        <w:trPr>
          <w:trHeight w:val="263"/>
        </w:trPr>
        <w:tc>
          <w:tcPr>
            <w:tcW w:w="1540" w:type="dxa"/>
            <w:vAlign w:val="bottom"/>
            <w:gridSpan w:val="3"/>
          </w:tcPr>
          <w:p>
            <w:pPr>
              <w:spacing w:after="0"/>
              <w:rPr>
                <w:sz w:val="20"/>
                <w:szCs w:val="20"/>
                <w:color w:val="auto"/>
              </w:rPr>
            </w:pPr>
            <w:r>
              <w:rPr>
                <w:rFonts w:ascii="Arial" w:cs="Arial" w:eastAsia="Arial" w:hAnsi="Arial"/>
                <w:sz w:val="20"/>
                <w:szCs w:val="20"/>
                <w:color w:val="auto"/>
              </w:rPr>
              <w:t>Exhibit J-4</w:t>
            </w:r>
          </w:p>
        </w:tc>
        <w:tc>
          <w:tcPr>
            <w:tcW w:w="7740" w:type="dxa"/>
            <w:vAlign w:val="bottom"/>
          </w:tcPr>
          <w:p>
            <w:pPr>
              <w:ind w:left="300"/>
              <w:spacing w:after="0"/>
              <w:rPr>
                <w:sz w:val="20"/>
                <w:szCs w:val="20"/>
                <w:color w:val="auto"/>
              </w:rPr>
            </w:pPr>
            <w:r>
              <w:rPr>
                <w:rFonts w:ascii="Arial" w:cs="Arial" w:eastAsia="Arial" w:hAnsi="Arial"/>
                <w:sz w:val="20"/>
                <w:szCs w:val="20"/>
                <w:color w:val="auto"/>
              </w:rPr>
              <w:t>Form of Non-Bank Tax Certificate</w:t>
            </w:r>
          </w:p>
        </w:tc>
      </w:tr>
      <w:tr>
        <w:trPr>
          <w:trHeight w:val="250"/>
        </w:trPr>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740" w:type="dxa"/>
            <w:vAlign w:val="bottom"/>
          </w:tcPr>
          <w:p>
            <w:pPr>
              <w:ind w:left="300"/>
              <w:spacing w:after="0"/>
              <w:rPr>
                <w:sz w:val="20"/>
                <w:szCs w:val="20"/>
                <w:color w:val="auto"/>
              </w:rPr>
            </w:pPr>
            <w:r>
              <w:rPr>
                <w:rFonts w:ascii="Arial" w:cs="Arial" w:eastAsia="Arial" w:hAnsi="Arial"/>
                <w:sz w:val="20"/>
                <w:szCs w:val="20"/>
                <w:color w:val="auto"/>
                <w:w w:val="95"/>
              </w:rPr>
              <w:t>(For Foreign Participants That Are Partnerships For U.S. Federal Income Tax Purposes)</w:t>
            </w:r>
          </w:p>
        </w:tc>
      </w:tr>
      <w:tr>
        <w:trPr>
          <w:trHeight w:val="284"/>
        </w:trPr>
        <w:tc>
          <w:tcPr>
            <w:tcW w:w="1540" w:type="dxa"/>
            <w:vAlign w:val="bottom"/>
            <w:gridSpan w:val="3"/>
          </w:tcPr>
          <w:p>
            <w:pPr>
              <w:spacing w:after="0"/>
              <w:rPr>
                <w:sz w:val="20"/>
                <w:szCs w:val="20"/>
                <w:color w:val="auto"/>
              </w:rPr>
            </w:pPr>
            <w:r>
              <w:rPr>
                <w:rFonts w:ascii="Arial" w:cs="Arial" w:eastAsia="Arial" w:hAnsi="Arial"/>
                <w:sz w:val="20"/>
                <w:szCs w:val="20"/>
                <w:color w:val="auto"/>
              </w:rPr>
              <w:t>Exhibit K</w:t>
            </w:r>
          </w:p>
        </w:tc>
        <w:tc>
          <w:tcPr>
            <w:tcW w:w="7740" w:type="dxa"/>
            <w:vAlign w:val="bottom"/>
          </w:tcPr>
          <w:p>
            <w:pPr>
              <w:ind w:left="300"/>
              <w:spacing w:after="0"/>
              <w:rPr>
                <w:sz w:val="20"/>
                <w:szCs w:val="20"/>
                <w:color w:val="auto"/>
              </w:rPr>
            </w:pPr>
            <w:r>
              <w:rPr>
                <w:rFonts w:ascii="Arial" w:cs="Arial" w:eastAsia="Arial" w:hAnsi="Arial"/>
                <w:sz w:val="20"/>
                <w:szCs w:val="20"/>
                <w:color w:val="auto"/>
              </w:rPr>
              <w:t>Form of Notice of Borrowing or Continuation or Conversion</w:t>
            </w:r>
          </w:p>
        </w:tc>
      </w:tr>
      <w:tr>
        <w:trPr>
          <w:trHeight w:val="284"/>
        </w:trPr>
        <w:tc>
          <w:tcPr>
            <w:tcW w:w="1540" w:type="dxa"/>
            <w:vAlign w:val="bottom"/>
            <w:gridSpan w:val="3"/>
          </w:tcPr>
          <w:p>
            <w:pPr>
              <w:spacing w:after="0"/>
              <w:rPr>
                <w:sz w:val="20"/>
                <w:szCs w:val="20"/>
                <w:color w:val="auto"/>
              </w:rPr>
            </w:pPr>
            <w:r>
              <w:rPr>
                <w:rFonts w:ascii="Arial" w:cs="Arial" w:eastAsia="Arial" w:hAnsi="Arial"/>
                <w:sz w:val="20"/>
                <w:szCs w:val="20"/>
                <w:color w:val="auto"/>
              </w:rPr>
              <w:t>Exhibit L</w:t>
            </w:r>
          </w:p>
        </w:tc>
        <w:tc>
          <w:tcPr>
            <w:tcW w:w="7740" w:type="dxa"/>
            <w:vAlign w:val="bottom"/>
          </w:tcPr>
          <w:p>
            <w:pPr>
              <w:ind w:left="300"/>
              <w:spacing w:after="0"/>
              <w:rPr>
                <w:sz w:val="20"/>
                <w:szCs w:val="20"/>
                <w:color w:val="auto"/>
              </w:rPr>
            </w:pPr>
            <w:r>
              <w:rPr>
                <w:rFonts w:ascii="Arial" w:cs="Arial" w:eastAsia="Arial" w:hAnsi="Arial"/>
                <w:sz w:val="20"/>
                <w:szCs w:val="20"/>
                <w:color w:val="auto"/>
              </w:rPr>
              <w:t>Form of Letter of Credit Request</w:t>
            </w:r>
          </w:p>
        </w:tc>
      </w:tr>
      <w:tr>
        <w:trPr>
          <w:trHeight w:val="284"/>
        </w:trPr>
        <w:tc>
          <w:tcPr>
            <w:tcW w:w="1540" w:type="dxa"/>
            <w:vAlign w:val="bottom"/>
            <w:gridSpan w:val="3"/>
          </w:tcPr>
          <w:p>
            <w:pPr>
              <w:spacing w:after="0"/>
              <w:rPr>
                <w:sz w:val="20"/>
                <w:szCs w:val="20"/>
                <w:color w:val="auto"/>
              </w:rPr>
            </w:pPr>
            <w:r>
              <w:rPr>
                <w:rFonts w:ascii="Arial" w:cs="Arial" w:eastAsia="Arial" w:hAnsi="Arial"/>
                <w:sz w:val="20"/>
                <w:szCs w:val="20"/>
                <w:color w:val="auto"/>
              </w:rPr>
              <w:t>Exhibit M</w:t>
            </w:r>
          </w:p>
        </w:tc>
        <w:tc>
          <w:tcPr>
            <w:tcW w:w="7740" w:type="dxa"/>
            <w:vAlign w:val="bottom"/>
          </w:tcPr>
          <w:p>
            <w:pPr>
              <w:ind w:left="300"/>
              <w:spacing w:after="0"/>
              <w:rPr>
                <w:sz w:val="20"/>
                <w:szCs w:val="20"/>
                <w:color w:val="auto"/>
              </w:rPr>
            </w:pPr>
            <w:r>
              <w:rPr>
                <w:rFonts w:ascii="Arial" w:cs="Arial" w:eastAsia="Arial" w:hAnsi="Arial"/>
                <w:sz w:val="20"/>
                <w:szCs w:val="20"/>
                <w:color w:val="auto"/>
              </w:rPr>
              <w:t>Form of Hedge Bank Designation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-vi-</w:t>
      </w:r>
    </w:p>
    <w:p>
      <w:pPr>
        <w:sectPr>
          <w:pgSz w:w="11900" w:h="16838" w:orient="portrait"/>
          <w:cols w:equalWidth="0" w:num="1">
            <w:col w:w="10179"/>
          </w:cols>
          <w:pgMar w:left="280" w:top="720" w:right="1440" w:bottom="1440" w:gutter="0" w:footer="0" w:header="0"/>
        </w:sectPr>
      </w:pPr>
    </w:p>
    <w:bookmarkStart w:id="80" w:name="page81"/>
    <w:bookmarkEnd w:id="80"/>
    <w:p>
      <w:pPr>
        <w:jc w:val="center"/>
        <w:ind w:right="-59"/>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AMENDED AND RESTATED CREDIT AGREEMENT, dated as of July 18, 2019 (as amended, amended and restated, supplemented or otherwise modified from time to time), among NAUTILUS ACQUISITION HOLDINGS, INC., a Delaware corporation (“</w:t>
      </w:r>
      <w:r>
        <w:rPr>
          <w:rFonts w:ascii="Arial" w:cs="Arial" w:eastAsia="Arial" w:hAnsi="Arial"/>
          <w:sz w:val="17"/>
          <w:szCs w:val="17"/>
          <w:b w:val="1"/>
          <w:bCs w:val="1"/>
          <w:color w:val="auto"/>
        </w:rPr>
        <w:t>Holdings</w:t>
      </w:r>
      <w:r>
        <w:rPr>
          <w:rFonts w:ascii="Arial" w:cs="Arial" w:eastAsia="Arial" w:hAnsi="Arial"/>
          <w:sz w:val="17"/>
          <w:szCs w:val="17"/>
          <w:color w:val="auto"/>
        </w:rPr>
        <w:t>”), National Vision, Inc., a Georgia corporation (the “</w:t>
      </w:r>
      <w:r>
        <w:rPr>
          <w:rFonts w:ascii="Arial" w:cs="Arial" w:eastAsia="Arial" w:hAnsi="Arial"/>
          <w:sz w:val="17"/>
          <w:szCs w:val="17"/>
          <w:b w:val="1"/>
          <w:bCs w:val="1"/>
          <w:color w:val="auto"/>
        </w:rPr>
        <w:t>Borrower</w:t>
      </w:r>
      <w:r>
        <w:rPr>
          <w:rFonts w:ascii="Arial" w:cs="Arial" w:eastAsia="Arial" w:hAnsi="Arial"/>
          <w:sz w:val="17"/>
          <w:szCs w:val="17"/>
          <w:color w:val="auto"/>
        </w:rPr>
        <w:t>”), the lending institutions from time to time parties hereto (each a “</w:t>
      </w:r>
      <w:r>
        <w:rPr>
          <w:rFonts w:ascii="Arial" w:cs="Arial" w:eastAsia="Arial" w:hAnsi="Arial"/>
          <w:sz w:val="17"/>
          <w:szCs w:val="17"/>
          <w:b w:val="1"/>
          <w:bCs w:val="1"/>
          <w:color w:val="auto"/>
        </w:rPr>
        <w:t>Lender</w:t>
      </w:r>
      <w:r>
        <w:rPr>
          <w:rFonts w:ascii="Arial" w:cs="Arial" w:eastAsia="Arial" w:hAnsi="Arial"/>
          <w:sz w:val="17"/>
          <w:szCs w:val="17"/>
          <w:color w:val="auto"/>
        </w:rPr>
        <w:t>” and, collectively, together with the Swingline Lender, the “</w:t>
      </w:r>
      <w:r>
        <w:rPr>
          <w:rFonts w:ascii="Arial" w:cs="Arial" w:eastAsia="Arial" w:hAnsi="Arial"/>
          <w:sz w:val="17"/>
          <w:szCs w:val="17"/>
          <w:b w:val="1"/>
          <w:bCs w:val="1"/>
          <w:color w:val="auto"/>
        </w:rPr>
        <w:t>Lenders</w:t>
      </w:r>
      <w:r>
        <w:rPr>
          <w:rFonts w:ascii="Arial" w:cs="Arial" w:eastAsia="Arial" w:hAnsi="Arial"/>
          <w:sz w:val="17"/>
          <w:szCs w:val="17"/>
          <w:color w:val="auto"/>
        </w:rPr>
        <w:t xml:space="preserve">”), BANK OF AMERICA, N.A., as the Swingline Lender, the Administrative Agent and the Collateral Agent (such terms and each other capitalized term used but not defined in this preamble having the meaning provided in </w:t>
      </w:r>
      <w:r>
        <w:rPr>
          <w:rFonts w:ascii="Arial" w:cs="Arial" w:eastAsia="Arial" w:hAnsi="Arial"/>
          <w:sz w:val="17"/>
          <w:szCs w:val="17"/>
          <w:u w:val="single" w:color="auto"/>
          <w:color w:val="auto"/>
        </w:rPr>
        <w:t>Section 1</w:t>
      </w:r>
      <w:r>
        <w:rPr>
          <w:rFonts w:ascii="Arial" w:cs="Arial" w:eastAsia="Arial" w:hAnsi="Arial"/>
          <w:sz w:val="17"/>
          <w:szCs w:val="17"/>
          <w:color w:val="auto"/>
        </w:rPr>
        <w:t>) and each Letter of Credit Issuer.</w:t>
      </w:r>
    </w:p>
    <w:p>
      <w:pPr>
        <w:spacing w:after="0" w:line="173"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WHEREAS, the Borrower, Holdings, certain lenders and Goldman Sachs Bank USA, in its capacity as administrative agent and collateral agent (in such capacities, the “</w:t>
      </w:r>
      <w:r>
        <w:rPr>
          <w:rFonts w:ascii="Arial" w:cs="Arial" w:eastAsia="Arial" w:hAnsi="Arial"/>
          <w:sz w:val="18"/>
          <w:szCs w:val="18"/>
          <w:b w:val="1"/>
          <w:bCs w:val="1"/>
          <w:color w:val="auto"/>
        </w:rPr>
        <w:t>Former Agent</w:t>
      </w:r>
      <w:r>
        <w:rPr>
          <w:rFonts w:ascii="Arial" w:cs="Arial" w:eastAsia="Arial" w:hAnsi="Arial"/>
          <w:sz w:val="18"/>
          <w:szCs w:val="18"/>
          <w:color w:val="auto"/>
        </w:rPr>
        <w:t>”), entered into that certain First Lien Credit Agreement dated as of March 13, 2014 (as amended, supplemented or otherwise modified prior to the Restatement Effective Date, the “</w:t>
      </w:r>
      <w:r>
        <w:rPr>
          <w:rFonts w:ascii="Arial" w:cs="Arial" w:eastAsia="Arial" w:hAnsi="Arial"/>
          <w:sz w:val="18"/>
          <w:szCs w:val="18"/>
          <w:b w:val="1"/>
          <w:bCs w:val="1"/>
          <w:color w:val="auto"/>
        </w:rPr>
        <w:t>Original Credit Agreement</w:t>
      </w:r>
      <w:r>
        <w:rPr>
          <w:rFonts w:ascii="Arial" w:cs="Arial" w:eastAsia="Arial" w:hAnsi="Arial"/>
          <w:sz w:val="18"/>
          <w:szCs w:val="18"/>
          <w:color w:val="auto"/>
        </w:rPr>
        <w:t>”);</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WHEREAS, pursuant to the Restatement Agreement (as defined below), the Borrower has requested that the Required Lenders amend and restate the Original Credit Agreement and that the Lenders provide new Term A Loans in an aggregate principal amount of up to $420,000,000 and a new Revolving Credit Facility in an aggregate principal amount of up to $300,000,000, the proceeds of which are to be used (i) to redeem, defease, refinance or repay certain existing indebtedness of the Borrower and its Subsidiaries, including all amounts outstanding (other than contingent obligations) under the Original Credit Agreement immediately prior to the Restatement Effective Date (the “</w:t>
      </w:r>
      <w:r>
        <w:rPr>
          <w:rFonts w:ascii="Arial" w:cs="Arial" w:eastAsia="Arial" w:hAnsi="Arial"/>
          <w:sz w:val="17"/>
          <w:szCs w:val="17"/>
          <w:b w:val="1"/>
          <w:bCs w:val="1"/>
          <w:color w:val="auto"/>
        </w:rPr>
        <w:t>Restatement Date Refinancing</w:t>
      </w:r>
      <w:r>
        <w:rPr>
          <w:rFonts w:ascii="Arial" w:cs="Arial" w:eastAsia="Arial" w:hAnsi="Arial"/>
          <w:sz w:val="17"/>
          <w:szCs w:val="17"/>
          <w:color w:val="auto"/>
        </w:rPr>
        <w:t>”), (ii) to pay fees and expenses incurred in connection with the Transactions (as defined below) and (iii) for general corporate purposes;</w:t>
      </w:r>
    </w:p>
    <w:p>
      <w:pPr>
        <w:spacing w:after="0" w:line="17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WHEREAS, the Lenders and Letter of Credit Issuers are willing to make available to the Borrower such term loan and revolving credit and letter of credit facilities upon the terms and subject to the conditions set forth herein;</w:t>
      </w:r>
    </w:p>
    <w:p>
      <w:pPr>
        <w:spacing w:after="0" w:line="170" w:lineRule="exact"/>
        <w:rPr>
          <w:sz w:val="20"/>
          <w:szCs w:val="20"/>
          <w:color w:val="auto"/>
        </w:rPr>
      </w:pPr>
    </w:p>
    <w:p>
      <w:pPr>
        <w:jc w:val="both"/>
        <w:ind w:right="140" w:firstLine="648"/>
        <w:spacing w:after="0" w:line="342" w:lineRule="auto"/>
        <w:rPr>
          <w:sz w:val="20"/>
          <w:szCs w:val="20"/>
          <w:color w:val="auto"/>
        </w:rPr>
      </w:pPr>
      <w:r>
        <w:rPr>
          <w:rFonts w:ascii="Arial" w:cs="Arial" w:eastAsia="Arial" w:hAnsi="Arial"/>
          <w:sz w:val="16"/>
          <w:szCs w:val="16"/>
          <w:color w:val="auto"/>
        </w:rPr>
        <w:t>WHEREAS, the Lenders party to the Restatement Agreement have consented to the amendment and restatement of the Original Credit Agreement and such Lenders are willing to provide the facilities described above, in each case, subject to terms and conditions set forth in the Restatement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it is the intent of the parties hereto that this Agreement amend and restate in its entirety the Original Credit Agreement; and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premises and the covenants and agreements contained herein, the parties hereto hereby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8"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Definitions</w:t>
      </w:r>
    </w:p>
    <w:p>
      <w:pPr>
        <w:spacing w:after="0" w:line="239"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Defined Terms</w:t>
      </w:r>
      <w:r>
        <w:rPr>
          <w:rFonts w:ascii="Arial" w:cs="Arial" w:eastAsia="Arial" w:hAnsi="Arial"/>
          <w:sz w:val="17"/>
          <w:szCs w:val="17"/>
          <w:color w:val="auto"/>
        </w:rPr>
        <w:t xml:space="preserve">. As used herein, the following terms shall have the meanings specified in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unless the context otherwise requires (it being understood that defined terms in this Agreement shall include in the singular number the plural and in the plural the singular):</w:t>
      </w:r>
    </w:p>
    <w:p>
      <w:pPr>
        <w:sectPr>
          <w:pgSz w:w="11900" w:h="16838" w:orient="portrait"/>
          <w:cols w:equalWidth="0" w:num="1">
            <w:col w:w="11360"/>
          </w:cols>
          <w:pgMar w:left="240" w:top="810" w:right="299" w:bottom="1440" w:gutter="0" w:footer="0" w:header="0"/>
        </w:sectPr>
      </w:pPr>
    </w:p>
    <w:bookmarkStart w:id="81" w:name="page82"/>
    <w:bookmarkEnd w:id="81"/>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ABR</w:t>
      </w:r>
      <w:r>
        <w:rPr>
          <w:rFonts w:ascii="Arial" w:cs="Arial" w:eastAsia="Arial" w:hAnsi="Arial"/>
          <w:sz w:val="17"/>
          <w:szCs w:val="17"/>
          <w:color w:val="auto"/>
        </w:rPr>
        <w:t xml:space="preserve">” shall mean for any day a fluctuating rate per annum equal to the highest of (i) the Federal Funds Effective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1/2 of 1%, (ii) the rate of interest in effect for such day as announced from time to time by the Administrative Agent as its “prime rate” at its principal office in New York City and (iii) the rate per annum determined in the manner set forth in clause (ii) of the definition of “LIBOR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in no event shall the ABR at any time be less than 1.00% per annum.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ABR is being used as an alternate rate of interest pursuant to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hereof, then the ABR shall, subject to the proviso in the first sentence of this definition, be the greater of clauses (i) and (ii) above and shall be determined without reference to clause (iii) above.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ABR Loan</w:t>
      </w:r>
      <w:r>
        <w:rPr>
          <w:rFonts w:ascii="Arial" w:cs="Arial" w:eastAsia="Arial" w:hAnsi="Arial"/>
          <w:sz w:val="18"/>
          <w:szCs w:val="18"/>
          <w:color w:val="auto"/>
        </w:rPr>
        <w:t>” shall mean each Loan bearing interest based on the ABR.</w:t>
      </w:r>
    </w:p>
    <w:p>
      <w:pPr>
        <w:spacing w:after="0" w:line="225"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EBITDA</w:t>
      </w:r>
      <w:r>
        <w:rPr>
          <w:rFonts w:ascii="Arial" w:cs="Arial" w:eastAsia="Arial" w:hAnsi="Arial"/>
          <w:sz w:val="18"/>
          <w:szCs w:val="18"/>
          <w:color w:val="auto"/>
        </w:rPr>
        <w:t>” shall mean, with respect to any Acquired Entity or Business or any Converted Restricted Subsidiary (any of the foregoing, a “</w:t>
      </w:r>
      <w:r>
        <w:rPr>
          <w:rFonts w:ascii="Arial" w:cs="Arial" w:eastAsia="Arial" w:hAnsi="Arial"/>
          <w:sz w:val="18"/>
          <w:szCs w:val="18"/>
          <w:b w:val="1"/>
          <w:bCs w:val="1"/>
          <w:color w:val="auto"/>
        </w:rPr>
        <w:t>Pro Forma Entity</w:t>
      </w:r>
      <w:r>
        <w:rPr>
          <w:rFonts w:ascii="Arial" w:cs="Arial" w:eastAsia="Arial" w:hAnsi="Arial"/>
          <w:sz w:val="18"/>
          <w:szCs w:val="18"/>
          <w:color w:val="auto"/>
        </w:rPr>
        <w:t>”) for any period, the amount for such period of Consolidated EBITDA of such Pro Forma Entity (determined using such definitions as if references to Holdings and the Restricted Subsidiaries therein were to such Pro Forma Entity and its Restricted Subsidiaries), all as determined on a consolidated basis for such Pro Forma Entity in accordance with GAAP.</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Entity or Business</w:t>
      </w:r>
      <w:r>
        <w:rPr>
          <w:rFonts w:ascii="Arial" w:cs="Arial" w:eastAsia="Arial" w:hAnsi="Arial"/>
          <w:sz w:val="18"/>
          <w:szCs w:val="18"/>
          <w:color w:val="auto"/>
        </w:rPr>
        <w:t>” shall have the meaning provided in the definition of the term “Consolidated EBITDA”.</w:t>
      </w:r>
    </w:p>
    <w:p>
      <w:pPr>
        <w:spacing w:after="0" w:line="225"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Indebtedness</w:t>
      </w:r>
      <w:r>
        <w:rPr>
          <w:rFonts w:ascii="Arial" w:cs="Arial" w:eastAsia="Arial" w:hAnsi="Arial"/>
          <w:sz w:val="18"/>
          <w:szCs w:val="18"/>
          <w:color w:val="auto"/>
        </w:rPr>
        <w:t>” shall mean, with respect to any specified Person, (i) Indebtedness of any other Person existing at the time such other Person is merged, consolidated, or amalgamated with or into or became a Restricted Subsidiary of such specified Person and (ii) Indebtedness secured by a Lien encumbering any asset acquired by such specified Person.</w:t>
      </w:r>
    </w:p>
    <w:p>
      <w:pPr>
        <w:spacing w:after="0" w:line="176"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Total Revolving Credit Commitment</w:t>
      </w:r>
      <w:r>
        <w:rPr>
          <w:rFonts w:ascii="Arial" w:cs="Arial" w:eastAsia="Arial" w:hAnsi="Arial"/>
          <w:sz w:val="18"/>
          <w:szCs w:val="18"/>
          <w:color w:val="auto"/>
        </w:rPr>
        <w:t>” shall mean at any time the Total Revolving Credit Commitment less the aggregate Revolving Credit Commitments of all Defaulting Lenders.</w:t>
      </w:r>
    </w:p>
    <w:p>
      <w:pPr>
        <w:spacing w:after="0" w:line="16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Total Term A Loan Commitment</w:t>
      </w:r>
      <w:r>
        <w:rPr>
          <w:rFonts w:ascii="Arial" w:cs="Arial" w:eastAsia="Arial" w:hAnsi="Arial"/>
          <w:sz w:val="18"/>
          <w:szCs w:val="18"/>
          <w:color w:val="auto"/>
        </w:rPr>
        <w:t>” shall mean at any time the Total Term A Loan Commitment less the Term A Loan Commitments of all Defaulting Lenders.</w:t>
      </w:r>
    </w:p>
    <w:p>
      <w:pPr>
        <w:spacing w:after="0" w:line="162"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Total Term Loan Commitment</w:t>
      </w:r>
      <w:r>
        <w:rPr>
          <w:rFonts w:ascii="Arial" w:cs="Arial" w:eastAsia="Arial" w:hAnsi="Arial"/>
          <w:sz w:val="18"/>
          <w:szCs w:val="18"/>
          <w:color w:val="auto"/>
        </w:rPr>
        <w:t>” shall mean at any time the Total Term Loan Commitment less the Term Loan Commitments of all Defaulting Lenders.</w:t>
      </w:r>
    </w:p>
    <w:p>
      <w:pPr>
        <w:spacing w:after="0" w:line="162"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xml:space="preserve">” shall mean Bank of America, N.A., as the administrative agent for the Lenders under this Agreement and the other Credit Documents, or any successor administrative agent pursuant to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matters relating to the Original Credit Agreement or periods prior to the Restatement Effective Date, such term shall refer to the Former Agent.</w:t>
      </w:r>
    </w:p>
    <w:p>
      <w:pPr>
        <w:spacing w:after="0" w:line="176"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Agent’s Office</w:t>
      </w:r>
      <w:r>
        <w:rPr>
          <w:rFonts w:ascii="Arial" w:cs="Arial" w:eastAsia="Arial" w:hAnsi="Arial"/>
          <w:sz w:val="18"/>
          <w:szCs w:val="18"/>
          <w:color w:val="auto"/>
        </w:rPr>
        <w:t xml:space="preserve">” shall mean the Administrative Agent’s address and, as appropriate, account as set forth on </w:t>
      </w:r>
      <w:r>
        <w:rPr>
          <w:rFonts w:ascii="Arial" w:cs="Arial" w:eastAsia="Arial" w:hAnsi="Arial"/>
          <w:sz w:val="18"/>
          <w:szCs w:val="18"/>
          <w:u w:val="single" w:color="auto"/>
          <w:color w:val="auto"/>
        </w:rPr>
        <w:t>Schedule 13.2</w:t>
      </w:r>
      <w:r>
        <w:rPr>
          <w:rFonts w:ascii="Arial" w:cs="Arial" w:eastAsia="Arial" w:hAnsi="Arial"/>
          <w:sz w:val="18"/>
          <w:szCs w:val="18"/>
          <w:color w:val="auto"/>
        </w:rPr>
        <w:t xml:space="preserve"> or such other address or account as the Administrative Agent may from time to time notify the Borrower and the Lenders.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13.6(b)(ii)(D)</w:t>
      </w:r>
      <w:r>
        <w:rPr>
          <w:rFonts w:ascii="Arial" w:cs="Arial" w:eastAsia="Arial" w:hAnsi="Arial"/>
          <w:sz w:val="18"/>
          <w:szCs w:val="18"/>
          <w:color w:val="auto"/>
        </w:rPr>
        <w:t>.</w:t>
      </w:r>
    </w:p>
    <w:p>
      <w:pPr>
        <w:spacing w:after="0" w:line="225" w:lineRule="exact"/>
        <w:rPr>
          <w:sz w:val="20"/>
          <w:szCs w:val="20"/>
          <w:color w:val="auto"/>
        </w:rPr>
      </w:pPr>
    </w:p>
    <w:p>
      <w:pPr>
        <w:ind w:right="14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shall mean, with respect to any Person, any other Person directly or indirectly controlling, controlled by, or under direct or indirect common control with such Person. A Person shall be deemed to control another Person if such Person possesses, directly or indirectly, the power to direct or cause the direction of the management and policies of such other Person, whether through the ownership of voting securities, by contract or otherwise.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810" w:right="23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Parties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13.17(b)</w:t>
      </w:r>
      <w:r>
        <w:rPr>
          <w:rFonts w:ascii="Arial" w:cs="Arial" w:eastAsia="Arial" w:hAnsi="Arial"/>
          <w:sz w:val="18"/>
          <w:szCs w:val="18"/>
          <w:color w:val="auto"/>
        </w:rPr>
        <w:t>.</w:t>
      </w:r>
    </w:p>
    <w:p>
      <w:pPr>
        <w:spacing w:after="0" w:line="225"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w:t>
      </w:r>
      <w:r>
        <w:rPr>
          <w:rFonts w:ascii="Arial" w:cs="Arial" w:eastAsia="Arial" w:hAnsi="Arial"/>
          <w:sz w:val="18"/>
          <w:szCs w:val="18"/>
          <w:color w:val="auto"/>
        </w:rPr>
        <w:t>” shall mean the Administrative Agent, the Collateral Agent and each Syndication Agent, Documentation Agent and Joint Lead Arranger and Bookrunner.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mean this Credit Agreement.</w:t>
      </w:r>
    </w:p>
    <w:p>
      <w:pPr>
        <w:spacing w:after="0" w:line="225" w:lineRule="exact"/>
        <w:rPr>
          <w:sz w:val="20"/>
          <w:szCs w:val="20"/>
          <w:color w:val="auto"/>
        </w:rPr>
      </w:pPr>
    </w:p>
    <w:p>
      <w:pPr>
        <w:ind w:right="2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shall mean all laws, rules, and regulations of any jurisdiction applicable to the Borrower or any of its Subsidiaries from time to time concerning or relating to bribery, money laundering or corruption, including the United States Foreign Corrupt Practices Act of 1977, as amended, and the rules and regulations promulgated thereunder.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shall mean a percentage per annum equal to:</w:t>
      </w:r>
    </w:p>
    <w:p>
      <w:pPr>
        <w:spacing w:after="0" w:line="229" w:lineRule="exact"/>
        <w:rPr>
          <w:sz w:val="20"/>
          <w:szCs w:val="20"/>
          <w:color w:val="auto"/>
        </w:rPr>
      </w:pPr>
    </w:p>
    <w:p>
      <w:pPr>
        <w:ind w:left="660" w:right="100" w:firstLine="645"/>
        <w:spacing w:after="0" w:line="264" w:lineRule="auto"/>
        <w:tabs>
          <w:tab w:leader="none" w:pos="1733"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until delivery of financial statements and a related Compliance Certificate for the period ending on September 30, 2019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(1) for LIBOR Loans, 1.50%, (2) for ABR Loans, 0.50%, (3) for Letter of Credit Fees, 1.50% per annum and (4) for Commitment Fees, 0.25% per annum and</w:t>
      </w:r>
    </w:p>
    <w:p>
      <w:pPr>
        <w:spacing w:after="0" w:line="181" w:lineRule="exact"/>
        <w:rPr>
          <w:rFonts w:ascii="Arial" w:cs="Arial" w:eastAsia="Arial" w:hAnsi="Arial"/>
          <w:sz w:val="18"/>
          <w:szCs w:val="18"/>
          <w:color w:val="auto"/>
        </w:rPr>
      </w:pPr>
    </w:p>
    <w:p>
      <w:pPr>
        <w:ind w:left="660" w:right="300" w:firstLine="645"/>
        <w:spacing w:after="0" w:line="342" w:lineRule="auto"/>
        <w:tabs>
          <w:tab w:leader="none" w:pos="1743"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thereafter, the percentages per annum set forth in the table below, based upon the Consolidated First Lien Secured Debt to Consolidated EBITDA Ratio as set forth in the most recent Compliance Certificate received by the Administrative Agent pursuant to </w:t>
      </w:r>
      <w:r>
        <w:rPr>
          <w:rFonts w:ascii="Arial" w:cs="Arial" w:eastAsia="Arial" w:hAnsi="Arial"/>
          <w:sz w:val="16"/>
          <w:szCs w:val="16"/>
          <w:u w:val="single" w:color="auto"/>
          <w:color w:val="auto"/>
        </w:rPr>
        <w:t>Section 9.1</w:t>
      </w:r>
      <w:r>
        <w:rPr>
          <w:rFonts w:ascii="Arial" w:cs="Arial" w:eastAsia="Arial" w:hAnsi="Arial"/>
          <w:sz w:val="16"/>
          <w:szCs w:val="16"/>
          <w:color w:val="auto"/>
        </w:rPr>
        <w:t>:</w:t>
      </w: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280" w:type="dxa"/>
            <w:vAlign w:val="bottom"/>
            <w:tcBorders>
              <w:top w:val="single" w:sz="8" w:color="auto"/>
              <w:left w:val="single" w:sz="8" w:color="00000A"/>
              <w:right w:val="single" w:sz="8" w:color="auto"/>
            </w:tcBorders>
          </w:tcPr>
          <w:p>
            <w:pPr>
              <w:spacing w:after="0"/>
              <w:rPr>
                <w:sz w:val="20"/>
                <w:szCs w:val="20"/>
                <w:color w:val="auto"/>
              </w:rPr>
            </w:pPr>
          </w:p>
        </w:tc>
        <w:tc>
          <w:tcPr>
            <w:tcW w:w="208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Consolidated First Lien</w:t>
            </w:r>
          </w:p>
        </w:tc>
        <w:tc>
          <w:tcPr>
            <w:tcW w:w="1360" w:type="dxa"/>
            <w:vAlign w:val="bottom"/>
            <w:tcBorders>
              <w:top w:val="single" w:sz="8" w:color="auto"/>
              <w:right w:val="single" w:sz="8" w:color="auto"/>
            </w:tcBorders>
          </w:tcPr>
          <w:p>
            <w:pPr>
              <w:spacing w:after="0"/>
              <w:rPr>
                <w:sz w:val="20"/>
                <w:szCs w:val="20"/>
                <w:color w:val="auto"/>
              </w:rPr>
            </w:pPr>
          </w:p>
        </w:tc>
        <w:tc>
          <w:tcPr>
            <w:tcW w:w="2160" w:type="dxa"/>
            <w:vAlign w:val="bottom"/>
            <w:tcBorders>
              <w:top w:val="single" w:sz="8" w:color="auto"/>
              <w:right w:val="single" w:sz="8" w:color="auto"/>
            </w:tcBorders>
          </w:tcPr>
          <w:p>
            <w:pPr>
              <w:spacing w:after="0"/>
              <w:rPr>
                <w:sz w:val="20"/>
                <w:szCs w:val="20"/>
                <w:color w:val="auto"/>
              </w:rPr>
            </w:pPr>
          </w:p>
        </w:tc>
        <w:tc>
          <w:tcPr>
            <w:tcW w:w="2280" w:type="dxa"/>
            <w:vAlign w:val="bottom"/>
            <w:tcBorders>
              <w:top w:val="single" w:sz="8" w:color="auto"/>
              <w:right w:val="single" w:sz="8" w:color="auto"/>
            </w:tcBorders>
          </w:tcPr>
          <w:p>
            <w:pPr>
              <w:spacing w:after="0"/>
              <w:rPr>
                <w:sz w:val="20"/>
                <w:szCs w:val="20"/>
                <w:color w:val="auto"/>
              </w:rPr>
            </w:pPr>
          </w:p>
        </w:tc>
        <w:tc>
          <w:tcPr>
            <w:tcW w:w="2280" w:type="dxa"/>
            <w:vAlign w:val="bottom"/>
            <w:tcBorders>
              <w:top w:val="single" w:sz="8" w:color="auto"/>
              <w:right w:val="single" w:sz="8" w:color="00000A"/>
            </w:tcBorders>
          </w:tcPr>
          <w:p>
            <w:pPr>
              <w:spacing w:after="0"/>
              <w:rPr>
                <w:sz w:val="20"/>
                <w:szCs w:val="20"/>
                <w:color w:val="auto"/>
              </w:rPr>
            </w:pPr>
          </w:p>
        </w:tc>
      </w:tr>
      <w:tr>
        <w:trPr>
          <w:trHeight w:val="216"/>
        </w:trPr>
        <w:tc>
          <w:tcPr>
            <w:tcW w:w="1280" w:type="dxa"/>
            <w:vAlign w:val="bottom"/>
            <w:tcBorders>
              <w:left w:val="single" w:sz="8" w:color="00000A"/>
              <w:right w:val="single" w:sz="8" w:color="auto"/>
            </w:tcBorders>
          </w:tcPr>
          <w:p>
            <w:pPr>
              <w:spacing w:after="0"/>
              <w:rPr>
                <w:sz w:val="18"/>
                <w:szCs w:val="18"/>
                <w:color w:val="auto"/>
              </w:rPr>
            </w:pPr>
          </w:p>
        </w:tc>
        <w:tc>
          <w:tcPr>
            <w:tcW w:w="208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Secured Debt to</w:t>
            </w:r>
          </w:p>
        </w:tc>
        <w:tc>
          <w:tcPr>
            <w:tcW w:w="13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280" w:type="dxa"/>
            <w:vAlign w:val="bottom"/>
            <w:tcBorders>
              <w:right w:val="single" w:sz="8" w:color="00000A"/>
            </w:tcBorders>
          </w:tcPr>
          <w:p>
            <w:pPr>
              <w:spacing w:after="0"/>
              <w:rPr>
                <w:sz w:val="18"/>
                <w:szCs w:val="18"/>
                <w:color w:val="auto"/>
              </w:rPr>
            </w:pPr>
          </w:p>
        </w:tc>
      </w:tr>
      <w:tr>
        <w:trPr>
          <w:trHeight w:val="216"/>
        </w:trPr>
        <w:tc>
          <w:tcPr>
            <w:tcW w:w="1280" w:type="dxa"/>
            <w:vAlign w:val="bottom"/>
            <w:tcBorders>
              <w:left w:val="single" w:sz="8" w:color="00000A"/>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Pricing</w:t>
            </w:r>
          </w:p>
        </w:tc>
        <w:tc>
          <w:tcPr>
            <w:tcW w:w="208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Consolidated EBITDA</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Letter of</w:t>
            </w:r>
          </w:p>
        </w:tc>
        <w:tc>
          <w:tcPr>
            <w:tcW w:w="21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280" w:type="dxa"/>
            <w:vAlign w:val="bottom"/>
            <w:tcBorders>
              <w:right w:val="single" w:sz="8" w:color="00000A"/>
            </w:tcBorders>
          </w:tcPr>
          <w:p>
            <w:pPr>
              <w:spacing w:after="0"/>
              <w:rPr>
                <w:sz w:val="18"/>
                <w:szCs w:val="18"/>
                <w:color w:val="auto"/>
              </w:rPr>
            </w:pPr>
          </w:p>
        </w:tc>
      </w:tr>
      <w:tr>
        <w:trPr>
          <w:trHeight w:val="234"/>
        </w:trPr>
        <w:tc>
          <w:tcPr>
            <w:tcW w:w="1280" w:type="dxa"/>
            <w:vAlign w:val="bottom"/>
            <w:tcBorders>
              <w:left w:val="single" w:sz="8" w:color="00000A"/>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b w:val="1"/>
                <w:bCs w:val="1"/>
                <w:color w:val="auto"/>
                <w:w w:val="93"/>
              </w:rPr>
              <w:t>Ratio</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Credit Fees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ABR Rate Credit Loans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LIBOR Rate Credit Loans</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1"/>
              </w:rPr>
              <w:t>Commitment Fee Rate</w:t>
            </w:r>
          </w:p>
        </w:tc>
      </w:tr>
      <w:tr>
        <w:trPr>
          <w:trHeight w:val="27"/>
        </w:trPr>
        <w:tc>
          <w:tcPr>
            <w:tcW w:w="1280" w:type="dxa"/>
            <w:vAlign w:val="bottom"/>
            <w:tcBorders>
              <w:left w:val="single" w:sz="8" w:color="00000A"/>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2080" w:type="dxa"/>
            <w:vAlign w:val="bottom"/>
            <w:tcBorders>
              <w:right w:val="single" w:sz="8" w:color="auto"/>
            </w:tcBorders>
            <w:gridSpan w:val="3"/>
          </w:tcPr>
          <w:p>
            <w:pPr>
              <w:ind w:left="640"/>
              <w:spacing w:after="0"/>
              <w:rPr>
                <w:sz w:val="20"/>
                <w:szCs w:val="20"/>
                <w:color w:val="auto"/>
              </w:rPr>
            </w:pPr>
            <w:r>
              <w:rPr>
                <w:rFonts w:ascii="Arial" w:cs="Arial" w:eastAsia="Arial" w:hAnsi="Arial"/>
                <w:sz w:val="18"/>
                <w:szCs w:val="18"/>
                <w:color w:val="auto"/>
              </w:rPr>
              <w:t>&gt;3.75:1.00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2.00%</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0.35%</w:t>
            </w:r>
          </w:p>
        </w:tc>
      </w:tr>
      <w:tr>
        <w:trPr>
          <w:trHeight w:val="27"/>
        </w:trPr>
        <w:tc>
          <w:tcPr>
            <w:tcW w:w="1280" w:type="dxa"/>
            <w:vAlign w:val="bottom"/>
            <w:tcBorders>
              <w:left w:val="single" w:sz="8" w:color="00000A"/>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196"/>
        </w:trPr>
        <w:tc>
          <w:tcPr>
            <w:tcW w:w="1280" w:type="dxa"/>
            <w:vAlign w:val="bottom"/>
            <w:tcBorders>
              <w:left w:val="single" w:sz="8" w:color="00000A"/>
              <w:right w:val="single" w:sz="8" w:color="auto"/>
            </w:tcBorders>
          </w:tcPr>
          <w:p>
            <w:pPr>
              <w:spacing w:after="0"/>
              <w:rPr>
                <w:sz w:val="17"/>
                <w:szCs w:val="17"/>
                <w:color w:val="auto"/>
              </w:rPr>
            </w:pPr>
          </w:p>
        </w:tc>
        <w:tc>
          <w:tcPr>
            <w:tcW w:w="2080" w:type="dxa"/>
            <w:vAlign w:val="bottom"/>
            <w:tcBorders>
              <w:right w:val="single" w:sz="8" w:color="auto"/>
            </w:tcBorders>
            <w:gridSpan w:val="3"/>
          </w:tcPr>
          <w:p>
            <w:pPr>
              <w:ind w:left="660"/>
              <w:spacing w:after="0" w:line="196" w:lineRule="exact"/>
              <w:rPr>
                <w:sz w:val="20"/>
                <w:szCs w:val="20"/>
                <w:color w:val="auto"/>
              </w:rPr>
            </w:pPr>
            <w:r>
              <w:rPr>
                <w:rFonts w:ascii="Arial" w:cs="Arial" w:eastAsia="Arial" w:hAnsi="Arial"/>
                <w:sz w:val="18"/>
                <w:szCs w:val="18"/>
                <w:color w:val="auto"/>
              </w:rPr>
              <w:t>&lt; 3.75:1.00</w:t>
            </w:r>
          </w:p>
        </w:tc>
        <w:tc>
          <w:tcPr>
            <w:tcW w:w="13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00000A"/>
            </w:tcBorders>
          </w:tcPr>
          <w:p>
            <w:pPr>
              <w:spacing w:after="0"/>
              <w:rPr>
                <w:sz w:val="17"/>
                <w:szCs w:val="17"/>
                <w:color w:val="auto"/>
              </w:rPr>
            </w:pPr>
          </w:p>
        </w:tc>
      </w:tr>
      <w:tr>
        <w:trPr>
          <w:trHeight w:val="222"/>
        </w:trPr>
        <w:tc>
          <w:tcPr>
            <w:tcW w:w="1280" w:type="dxa"/>
            <w:vAlign w:val="bottom"/>
            <w:tcBorders>
              <w:left w:val="single" w:sz="8" w:color="00000A"/>
              <w:right w:val="single" w:sz="8" w:color="auto"/>
            </w:tcBorders>
          </w:tcPr>
          <w:p>
            <w:pPr>
              <w:jc w:val="center"/>
              <w:spacing w:after="0"/>
              <w:rPr>
                <w:sz w:val="20"/>
                <w:szCs w:val="20"/>
                <w:color w:val="auto"/>
              </w:rPr>
            </w:pPr>
            <w:r>
              <w:rPr>
                <w:rFonts w:ascii="Arial" w:cs="Arial" w:eastAsia="Arial" w:hAnsi="Arial"/>
                <w:sz w:val="18"/>
                <w:szCs w:val="18"/>
                <w:color w:val="auto"/>
              </w:rPr>
              <w:t>II</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but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0.75%</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1.75%</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0.30%</w:t>
            </w:r>
          </w:p>
        </w:tc>
      </w:tr>
      <w:tr>
        <w:trPr>
          <w:trHeight w:val="230"/>
        </w:trPr>
        <w:tc>
          <w:tcPr>
            <w:tcW w:w="1280" w:type="dxa"/>
            <w:vAlign w:val="bottom"/>
            <w:tcBorders>
              <w:left w:val="single" w:sz="8" w:color="00000A"/>
              <w:right w:val="single" w:sz="8" w:color="auto"/>
            </w:tcBorders>
          </w:tcPr>
          <w:p>
            <w:pPr>
              <w:spacing w:after="0"/>
              <w:rPr>
                <w:sz w:val="20"/>
                <w:szCs w:val="20"/>
                <w:color w:val="auto"/>
              </w:rPr>
            </w:pPr>
          </w:p>
        </w:tc>
        <w:tc>
          <w:tcPr>
            <w:tcW w:w="2080" w:type="dxa"/>
            <w:vAlign w:val="bottom"/>
            <w:tcBorders>
              <w:right w:val="single" w:sz="8" w:color="auto"/>
            </w:tcBorders>
            <w:gridSpan w:val="3"/>
          </w:tcPr>
          <w:p>
            <w:pPr>
              <w:ind w:left="660"/>
              <w:spacing w:after="0"/>
              <w:rPr>
                <w:sz w:val="20"/>
                <w:szCs w:val="20"/>
                <w:color w:val="auto"/>
              </w:rPr>
            </w:pPr>
            <w:r>
              <w:rPr>
                <w:rFonts w:ascii="Arial" w:cs="Arial" w:eastAsia="Arial" w:hAnsi="Arial"/>
                <w:sz w:val="18"/>
                <w:szCs w:val="18"/>
                <w:color w:val="auto"/>
              </w:rPr>
              <w:t>&gt; 2.75:1.00</w:t>
            </w:r>
          </w:p>
        </w:tc>
        <w:tc>
          <w:tcPr>
            <w:tcW w:w="13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80" w:type="dxa"/>
            <w:vAlign w:val="bottom"/>
            <w:tcBorders>
              <w:right w:val="single" w:sz="8" w:color="00000A"/>
            </w:tcBorders>
          </w:tcPr>
          <w:p>
            <w:pPr>
              <w:spacing w:after="0"/>
              <w:rPr>
                <w:sz w:val="20"/>
                <w:szCs w:val="20"/>
                <w:color w:val="auto"/>
              </w:rPr>
            </w:pPr>
          </w:p>
        </w:tc>
      </w:tr>
      <w:tr>
        <w:trPr>
          <w:trHeight w:val="27"/>
        </w:trPr>
        <w:tc>
          <w:tcPr>
            <w:tcW w:w="1280" w:type="dxa"/>
            <w:vAlign w:val="bottom"/>
            <w:tcBorders>
              <w:left w:val="single" w:sz="8" w:color="00000A"/>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196"/>
        </w:trPr>
        <w:tc>
          <w:tcPr>
            <w:tcW w:w="1280" w:type="dxa"/>
            <w:vAlign w:val="bottom"/>
            <w:tcBorders>
              <w:left w:val="single" w:sz="8" w:color="00000A"/>
              <w:right w:val="single" w:sz="8" w:color="auto"/>
            </w:tcBorders>
          </w:tcPr>
          <w:p>
            <w:pPr>
              <w:spacing w:after="0"/>
              <w:rPr>
                <w:sz w:val="17"/>
                <w:szCs w:val="17"/>
                <w:color w:val="auto"/>
              </w:rPr>
            </w:pPr>
          </w:p>
        </w:tc>
        <w:tc>
          <w:tcPr>
            <w:tcW w:w="2080" w:type="dxa"/>
            <w:vAlign w:val="bottom"/>
            <w:tcBorders>
              <w:right w:val="single" w:sz="8" w:color="auto"/>
            </w:tcBorders>
            <w:gridSpan w:val="3"/>
          </w:tcPr>
          <w:p>
            <w:pPr>
              <w:ind w:left="660"/>
              <w:spacing w:after="0" w:line="196" w:lineRule="exact"/>
              <w:rPr>
                <w:sz w:val="20"/>
                <w:szCs w:val="20"/>
                <w:color w:val="auto"/>
              </w:rPr>
            </w:pPr>
            <w:r>
              <w:rPr>
                <w:rFonts w:ascii="Arial" w:cs="Arial" w:eastAsia="Arial" w:hAnsi="Arial"/>
                <w:sz w:val="18"/>
                <w:szCs w:val="18"/>
                <w:color w:val="auto"/>
              </w:rPr>
              <w:t>&lt; 2.75:1.00</w:t>
            </w:r>
          </w:p>
        </w:tc>
        <w:tc>
          <w:tcPr>
            <w:tcW w:w="13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00000A"/>
            </w:tcBorders>
          </w:tcPr>
          <w:p>
            <w:pPr>
              <w:spacing w:after="0"/>
              <w:rPr>
                <w:sz w:val="17"/>
                <w:szCs w:val="17"/>
                <w:color w:val="auto"/>
              </w:rPr>
            </w:pPr>
          </w:p>
        </w:tc>
      </w:tr>
      <w:tr>
        <w:trPr>
          <w:trHeight w:val="222"/>
        </w:trPr>
        <w:tc>
          <w:tcPr>
            <w:tcW w:w="1280" w:type="dxa"/>
            <w:vAlign w:val="bottom"/>
            <w:tcBorders>
              <w:left w:val="single" w:sz="8" w:color="00000A"/>
              <w:right w:val="single" w:sz="8" w:color="auto"/>
            </w:tcBorders>
          </w:tcPr>
          <w:p>
            <w:pPr>
              <w:jc w:val="center"/>
              <w:spacing w:after="0"/>
              <w:rPr>
                <w:sz w:val="20"/>
                <w:szCs w:val="20"/>
                <w:color w:val="auto"/>
              </w:rPr>
            </w:pPr>
            <w:r>
              <w:rPr>
                <w:rFonts w:ascii="Arial" w:cs="Arial" w:eastAsia="Arial" w:hAnsi="Arial"/>
                <w:sz w:val="18"/>
                <w:szCs w:val="18"/>
                <w:color w:val="auto"/>
              </w:rPr>
              <w:t>III</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but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0.50%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1.50%</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0.25%</w:t>
            </w:r>
          </w:p>
        </w:tc>
      </w:tr>
      <w:tr>
        <w:trPr>
          <w:trHeight w:val="230"/>
        </w:trPr>
        <w:tc>
          <w:tcPr>
            <w:tcW w:w="1280" w:type="dxa"/>
            <w:vAlign w:val="bottom"/>
            <w:tcBorders>
              <w:left w:val="single" w:sz="8" w:color="00000A"/>
              <w:right w:val="single" w:sz="8" w:color="auto"/>
            </w:tcBorders>
          </w:tcPr>
          <w:p>
            <w:pPr>
              <w:spacing w:after="0"/>
              <w:rPr>
                <w:sz w:val="20"/>
                <w:szCs w:val="20"/>
                <w:color w:val="auto"/>
              </w:rPr>
            </w:pPr>
          </w:p>
        </w:tc>
        <w:tc>
          <w:tcPr>
            <w:tcW w:w="2080" w:type="dxa"/>
            <w:vAlign w:val="bottom"/>
            <w:tcBorders>
              <w:right w:val="single" w:sz="8" w:color="auto"/>
            </w:tcBorders>
            <w:gridSpan w:val="3"/>
          </w:tcPr>
          <w:p>
            <w:pPr>
              <w:ind w:left="660"/>
              <w:spacing w:after="0"/>
              <w:rPr>
                <w:sz w:val="20"/>
                <w:szCs w:val="20"/>
                <w:color w:val="auto"/>
              </w:rPr>
            </w:pPr>
            <w:r>
              <w:rPr>
                <w:rFonts w:ascii="Arial" w:cs="Arial" w:eastAsia="Arial" w:hAnsi="Arial"/>
                <w:sz w:val="18"/>
                <w:szCs w:val="18"/>
                <w:color w:val="auto"/>
              </w:rPr>
              <w:t>&gt; 1.75:1.00</w:t>
            </w:r>
          </w:p>
        </w:tc>
        <w:tc>
          <w:tcPr>
            <w:tcW w:w="13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80" w:type="dxa"/>
            <w:vAlign w:val="bottom"/>
            <w:tcBorders>
              <w:right w:val="single" w:sz="8" w:color="00000A"/>
            </w:tcBorders>
          </w:tcPr>
          <w:p>
            <w:pPr>
              <w:spacing w:after="0"/>
              <w:rPr>
                <w:sz w:val="20"/>
                <w:szCs w:val="20"/>
                <w:color w:val="auto"/>
              </w:rPr>
            </w:pPr>
          </w:p>
        </w:tc>
      </w:tr>
      <w:tr>
        <w:trPr>
          <w:trHeight w:val="27"/>
        </w:trPr>
        <w:tc>
          <w:tcPr>
            <w:tcW w:w="1280" w:type="dxa"/>
            <w:vAlign w:val="bottom"/>
            <w:tcBorders>
              <w:left w:val="single" w:sz="8" w:color="00000A"/>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196"/>
        </w:trPr>
        <w:tc>
          <w:tcPr>
            <w:tcW w:w="1280" w:type="dxa"/>
            <w:vAlign w:val="bottom"/>
            <w:tcBorders>
              <w:left w:val="single" w:sz="8" w:color="00000A"/>
              <w:right w:val="single" w:sz="8" w:color="auto"/>
            </w:tcBorders>
          </w:tcPr>
          <w:p>
            <w:pPr>
              <w:spacing w:after="0"/>
              <w:rPr>
                <w:sz w:val="17"/>
                <w:szCs w:val="17"/>
                <w:color w:val="auto"/>
              </w:rPr>
            </w:pPr>
          </w:p>
        </w:tc>
        <w:tc>
          <w:tcPr>
            <w:tcW w:w="2080" w:type="dxa"/>
            <w:vAlign w:val="bottom"/>
            <w:tcBorders>
              <w:right w:val="single" w:sz="8" w:color="auto"/>
            </w:tcBorders>
            <w:gridSpan w:val="3"/>
          </w:tcPr>
          <w:p>
            <w:pPr>
              <w:ind w:left="660"/>
              <w:spacing w:after="0" w:line="196" w:lineRule="exact"/>
              <w:rPr>
                <w:sz w:val="20"/>
                <w:szCs w:val="20"/>
                <w:color w:val="auto"/>
              </w:rPr>
            </w:pPr>
            <w:r>
              <w:rPr>
                <w:rFonts w:ascii="Arial" w:cs="Arial" w:eastAsia="Arial" w:hAnsi="Arial"/>
                <w:sz w:val="18"/>
                <w:szCs w:val="18"/>
                <w:color w:val="auto"/>
              </w:rPr>
              <w:t>&lt; 1.75:1.00</w:t>
            </w:r>
          </w:p>
        </w:tc>
        <w:tc>
          <w:tcPr>
            <w:tcW w:w="13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00000A"/>
            </w:tcBorders>
          </w:tcPr>
          <w:p>
            <w:pPr>
              <w:spacing w:after="0"/>
              <w:rPr>
                <w:sz w:val="17"/>
                <w:szCs w:val="17"/>
                <w:color w:val="auto"/>
              </w:rPr>
            </w:pPr>
          </w:p>
        </w:tc>
      </w:tr>
      <w:tr>
        <w:trPr>
          <w:trHeight w:val="222"/>
        </w:trPr>
        <w:tc>
          <w:tcPr>
            <w:tcW w:w="1280" w:type="dxa"/>
            <w:vAlign w:val="bottom"/>
            <w:tcBorders>
              <w:left w:val="single" w:sz="8" w:color="00000A"/>
              <w:right w:val="single" w:sz="8" w:color="auto"/>
            </w:tcBorders>
          </w:tcPr>
          <w:p>
            <w:pPr>
              <w:jc w:val="center"/>
              <w:spacing w:after="0"/>
              <w:rPr>
                <w:sz w:val="20"/>
                <w:szCs w:val="20"/>
                <w:color w:val="auto"/>
              </w:rPr>
            </w:pPr>
            <w:r>
              <w:rPr>
                <w:rFonts w:ascii="Arial" w:cs="Arial" w:eastAsia="Arial" w:hAnsi="Arial"/>
                <w:sz w:val="18"/>
                <w:szCs w:val="18"/>
                <w:color w:val="auto"/>
              </w:rPr>
              <w:t>IV</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but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0.25%</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1.25%</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0.20%</w:t>
            </w:r>
          </w:p>
        </w:tc>
      </w:tr>
      <w:tr>
        <w:trPr>
          <w:trHeight w:val="230"/>
        </w:trPr>
        <w:tc>
          <w:tcPr>
            <w:tcW w:w="1280" w:type="dxa"/>
            <w:vAlign w:val="bottom"/>
            <w:tcBorders>
              <w:left w:val="single" w:sz="8" w:color="00000A"/>
              <w:right w:val="single" w:sz="8" w:color="auto"/>
            </w:tcBorders>
          </w:tcPr>
          <w:p>
            <w:pPr>
              <w:spacing w:after="0"/>
              <w:rPr>
                <w:sz w:val="20"/>
                <w:szCs w:val="20"/>
                <w:color w:val="auto"/>
              </w:rPr>
            </w:pPr>
          </w:p>
        </w:tc>
        <w:tc>
          <w:tcPr>
            <w:tcW w:w="2080" w:type="dxa"/>
            <w:vAlign w:val="bottom"/>
            <w:tcBorders>
              <w:right w:val="single" w:sz="8" w:color="auto"/>
            </w:tcBorders>
            <w:gridSpan w:val="3"/>
          </w:tcPr>
          <w:p>
            <w:pPr>
              <w:ind w:left="660"/>
              <w:spacing w:after="0"/>
              <w:rPr>
                <w:sz w:val="20"/>
                <w:szCs w:val="20"/>
                <w:color w:val="auto"/>
              </w:rPr>
            </w:pPr>
            <w:r>
              <w:rPr>
                <w:rFonts w:ascii="Arial" w:cs="Arial" w:eastAsia="Arial" w:hAnsi="Arial"/>
                <w:sz w:val="18"/>
                <w:szCs w:val="18"/>
                <w:color w:val="auto"/>
              </w:rPr>
              <w:t>&gt; 0.75:1.00</w:t>
            </w:r>
          </w:p>
        </w:tc>
        <w:tc>
          <w:tcPr>
            <w:tcW w:w="13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80" w:type="dxa"/>
            <w:vAlign w:val="bottom"/>
            <w:tcBorders>
              <w:right w:val="single" w:sz="8" w:color="00000A"/>
            </w:tcBorders>
          </w:tcPr>
          <w:p>
            <w:pPr>
              <w:spacing w:after="0"/>
              <w:rPr>
                <w:sz w:val="20"/>
                <w:szCs w:val="20"/>
                <w:color w:val="auto"/>
              </w:rPr>
            </w:pPr>
          </w:p>
        </w:tc>
      </w:tr>
      <w:tr>
        <w:trPr>
          <w:trHeight w:val="27"/>
        </w:trPr>
        <w:tc>
          <w:tcPr>
            <w:tcW w:w="1280" w:type="dxa"/>
            <w:vAlign w:val="bottom"/>
            <w:tcBorders>
              <w:left w:val="single" w:sz="8" w:color="00000A"/>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00000A"/>
            </w:tcBorders>
          </w:tcPr>
          <w:p>
            <w:pPr>
              <w:spacing w:after="0"/>
              <w:rPr>
                <w:sz w:val="2"/>
                <w:szCs w:val="2"/>
                <w:color w:val="auto"/>
              </w:rPr>
            </w:pPr>
          </w:p>
        </w:tc>
      </w:tr>
      <w:tr>
        <w:trPr>
          <w:trHeight w:val="196"/>
        </w:trPr>
        <w:tc>
          <w:tcPr>
            <w:tcW w:w="1280" w:type="dxa"/>
            <w:vAlign w:val="bottom"/>
            <w:tcBorders>
              <w:left w:val="single" w:sz="8" w:color="00000A"/>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V</w:t>
            </w:r>
          </w:p>
        </w:tc>
        <w:tc>
          <w:tcPr>
            <w:tcW w:w="2080" w:type="dxa"/>
            <w:vAlign w:val="bottom"/>
            <w:tcBorders>
              <w:right w:val="single" w:sz="8" w:color="auto"/>
            </w:tcBorders>
            <w:gridSpan w:val="3"/>
          </w:tcPr>
          <w:p>
            <w:pPr>
              <w:ind w:left="660"/>
              <w:spacing w:after="0" w:line="196" w:lineRule="exact"/>
              <w:rPr>
                <w:sz w:val="20"/>
                <w:szCs w:val="20"/>
                <w:color w:val="auto"/>
              </w:rPr>
            </w:pPr>
            <w:r>
              <w:rPr>
                <w:rFonts w:ascii="Arial" w:cs="Arial" w:eastAsia="Arial" w:hAnsi="Arial"/>
                <w:sz w:val="18"/>
                <w:szCs w:val="18"/>
                <w:color w:val="auto"/>
              </w:rPr>
              <w:t>&lt; 0.75:1.00</w:t>
            </w:r>
          </w:p>
        </w:tc>
        <w:tc>
          <w:tcPr>
            <w:tcW w:w="136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1.00%</w:t>
            </w:r>
          </w:p>
        </w:tc>
        <w:tc>
          <w:tcPr>
            <w:tcW w:w="216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0.00%</w:t>
            </w:r>
          </w:p>
        </w:tc>
        <w:tc>
          <w:tcPr>
            <w:tcW w:w="228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1.00%</w:t>
            </w:r>
          </w:p>
        </w:tc>
        <w:tc>
          <w:tcPr>
            <w:tcW w:w="2280" w:type="dxa"/>
            <w:vAlign w:val="bottom"/>
            <w:tcBorders>
              <w:right w:val="single" w:sz="8" w:color="00000A"/>
            </w:tcBorders>
          </w:tcPr>
          <w:p>
            <w:pPr>
              <w:jc w:val="center"/>
              <w:spacing w:after="0" w:line="196" w:lineRule="exact"/>
              <w:rPr>
                <w:sz w:val="20"/>
                <w:szCs w:val="20"/>
                <w:color w:val="auto"/>
              </w:rPr>
            </w:pPr>
            <w:r>
              <w:rPr>
                <w:rFonts w:ascii="Arial" w:cs="Arial" w:eastAsia="Arial" w:hAnsi="Arial"/>
                <w:sz w:val="18"/>
                <w:szCs w:val="18"/>
                <w:color w:val="auto"/>
                <w:w w:val="90"/>
              </w:rPr>
              <w:t>0.15%</w:t>
            </w:r>
          </w:p>
        </w:tc>
      </w:tr>
      <w:tr>
        <w:trPr>
          <w:trHeight w:val="48"/>
        </w:trPr>
        <w:tc>
          <w:tcPr>
            <w:tcW w:w="1280" w:type="dxa"/>
            <w:vAlign w:val="bottom"/>
            <w:tcBorders>
              <w:left w:val="single" w:sz="8" w:color="00000A"/>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right w:val="single" w:sz="8" w:color="00000A"/>
            </w:tcBorders>
          </w:tcPr>
          <w:p>
            <w:pPr>
              <w:spacing w:after="0"/>
              <w:rPr>
                <w:sz w:val="4"/>
                <w:szCs w:val="4"/>
                <w:color w:val="auto"/>
              </w:rPr>
            </w:pPr>
          </w:p>
        </w:tc>
      </w:tr>
    </w:tbl>
    <w:p>
      <w:pPr>
        <w:spacing w:after="0" w:line="202" w:lineRule="exact"/>
        <w:rPr>
          <w:sz w:val="20"/>
          <w:szCs w:val="20"/>
          <w:color w:val="auto"/>
        </w:rPr>
      </w:pPr>
    </w:p>
    <w:p>
      <w:pPr>
        <w:jc w:val="both"/>
        <w:ind w:right="280" w:firstLine="648"/>
        <w:spacing w:after="0" w:line="342" w:lineRule="auto"/>
        <w:rPr>
          <w:sz w:val="20"/>
          <w:szCs w:val="20"/>
          <w:color w:val="auto"/>
        </w:rPr>
      </w:pPr>
      <w:r>
        <w:rPr>
          <w:rFonts w:ascii="Arial" w:cs="Arial" w:eastAsia="Arial" w:hAnsi="Arial"/>
          <w:sz w:val="16"/>
          <w:szCs w:val="16"/>
          <w:color w:val="auto"/>
        </w:rPr>
        <w:t xml:space="preserve">Any increase or decrease in the Applicable Margin resulting from a change in the Consolidated First Lien Secured Debt to Consolidated EBITDA Ratio shall become effective as of the first Business Day immediately following the date a Compliance Certificate is delivered pursuant to </w:t>
      </w:r>
      <w:r>
        <w:rPr>
          <w:rFonts w:ascii="Arial" w:cs="Arial" w:eastAsia="Arial" w:hAnsi="Arial"/>
          <w:sz w:val="16"/>
          <w:szCs w:val="16"/>
          <w:u w:val="single" w:color="auto"/>
          <w:color w:val="auto"/>
        </w:rPr>
        <w:t>Section 9.1(d)</w:t>
      </w:r>
      <w:r>
        <w:rPr>
          <w:rFonts w:ascii="Arial" w:cs="Arial" w:eastAsia="Arial" w:hAnsi="Arial"/>
          <w:sz w:val="16"/>
          <w:szCs w:val="16"/>
          <w:color w:val="auto"/>
        </w:rPr>
        <w:t>.</w:t>
      </w:r>
    </w:p>
    <w:p>
      <w:pPr>
        <w:spacing w:after="0" w:line="12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Notwithstanding the foregoing, (a) the Applicable Margin in respect of any Class of Extended Revolving Credit Commitments or any Extended Term Loans or Revolving Credit Loans made pursuant to any Extended Revolving Credit Commitments shall be the applicable percentages per annum set forth in the relevant Extension Amendment, (b) the Applicable Margin in respect of any Class of Incremental Loans, shall be the applicable percentages per annum set forth in the relevant Joinder Agreement and (c) the Applicable Margin in respect of any Class of Replacement Term Loans shall be the applicable percentages per annum set forth in the relevant agreement.</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40"/>
          </w:cols>
          <w:pgMar w:left="240" w:top="810" w:right="219" w:bottom="1440" w:gutter="0" w:footer="0" w:header="0"/>
        </w:sectPr>
      </w:pPr>
    </w:p>
    <w:bookmarkStart w:id="83" w:name="page84"/>
    <w:bookmarkEnd w:id="83"/>
    <w:p>
      <w:pPr>
        <w:ind w:firstLine="648"/>
        <w:spacing w:after="0" w:line="286" w:lineRule="auto"/>
        <w:rPr>
          <w:sz w:val="20"/>
          <w:szCs w:val="20"/>
          <w:color w:val="auto"/>
        </w:rPr>
      </w:pPr>
      <w:r>
        <w:rPr>
          <w:rFonts w:ascii="Arial" w:cs="Arial" w:eastAsia="Arial" w:hAnsi="Arial"/>
          <w:sz w:val="16"/>
          <w:szCs w:val="16"/>
          <w:color w:val="auto"/>
        </w:rPr>
        <w:t xml:space="preserve">Notwithstanding anything to the contrary contained above in this definition or elsewhere in this Agreement, if it is subsequently determined that any Consolidated First Lien Secured Debt to Consolidated EBITDA Ratio set forth in any Compliance Certificate delivered to the Administrative Agent is inaccurate for any reason and the result thereof is that the Lenders received interest or fees for any period based on an Applicable Margin that is less than that which would have been applicable had such Consolidated First Lien Secured Debt to Consolidated EBITDA Ratio been accurately determined, then, for all purposes of this Agreement, the Applicable Margin for any day occurring within the period covered by such Compliance Certificate shall retroactively be deemed to be the relevant percentage as based upon the accurately determined Consolidated First Lien Secured Debt to Consolidated EBITDA Ratio for such period, and any shortfall in the interest or fees theretofore paid by the Borrower for the relevant period as a result of the miscalculation of such Consolidated First Lien Secured Debt to Consolidated EBITDA Ratio shall be deemed to be (and shall be) due and payable, at the time the interest or fees for such period were required to be 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so long as an Event of Default described in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has not occurred with respect to the Borrower, such shortfall shall be due and payable within five Business Days following the written demand thereof by the Administrative Agent and no Default shall be deemed to have occurred as a result of such non-payment until the expiration of such five Business Day period. In addition, at the option of the Required Lenders, at any time during which the Borrower shall have failed to deliver any of the Section 9.1 Financials by the applicable date required under </w:t>
      </w:r>
      <w:r>
        <w:rPr>
          <w:rFonts w:ascii="Arial" w:cs="Arial" w:eastAsia="Arial" w:hAnsi="Arial"/>
          <w:sz w:val="16"/>
          <w:szCs w:val="16"/>
          <w:u w:val="single" w:color="auto"/>
          <w:color w:val="auto"/>
        </w:rPr>
        <w:t>Section 9.1</w:t>
      </w:r>
      <w:r>
        <w:rPr>
          <w:rFonts w:ascii="Arial" w:cs="Arial" w:eastAsia="Arial" w:hAnsi="Arial"/>
          <w:sz w:val="16"/>
          <w:szCs w:val="16"/>
          <w:color w:val="auto"/>
        </w:rPr>
        <w:t>, then the Consolidated First Lien Secured Debt to Consolidated EBITDA Ratio shall be deemed to be in pricing level I for the purposes of determining the Applicable Margin (but only for so long as such failure continues, after which such ratio and pricing level shall be determined based on the then existing Consolidated First Lien Secured Debt to Consolidated EBITDA Ratio</w:t>
      </w:r>
    </w:p>
    <w:p>
      <w:pPr>
        <w:spacing w:after="0" w:line="16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shall mean any Fund that is administered or managed by (i) a Lender, (ii) an Affiliate of a Lender, or (iii) an entity or an Affiliate of an entity that administers, advises or manages a Lender.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Sale</w:t>
      </w:r>
      <w:r>
        <w:rPr>
          <w:rFonts w:ascii="Arial" w:cs="Arial" w:eastAsia="Arial" w:hAnsi="Arial"/>
          <w:sz w:val="18"/>
          <w:szCs w:val="18"/>
          <w:color w:val="auto"/>
        </w:rPr>
        <w:t>” shall mean:</w:t>
      </w:r>
    </w:p>
    <w:p>
      <w:pPr>
        <w:spacing w:after="0" w:line="229" w:lineRule="exact"/>
        <w:rPr>
          <w:sz w:val="20"/>
          <w:szCs w:val="20"/>
          <w:color w:val="auto"/>
        </w:rPr>
      </w:pPr>
    </w:p>
    <w:p>
      <w:pPr>
        <w:ind w:left="660" w:right="260" w:firstLine="1536"/>
        <w:spacing w:after="0" w:line="342" w:lineRule="auto"/>
        <w:tabs>
          <w:tab w:leader="none" w:pos="255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sale, conveyance, transfer, or other disposition, whether in a single transaction or a series of related transactions, of property or assets (including by way of a Sale Leaseback) (each a “</w:t>
      </w:r>
      <w:r>
        <w:rPr>
          <w:rFonts w:ascii="Arial" w:cs="Arial" w:eastAsia="Arial" w:hAnsi="Arial"/>
          <w:sz w:val="16"/>
          <w:szCs w:val="16"/>
          <w:b w:val="1"/>
          <w:bCs w:val="1"/>
          <w:color w:val="auto"/>
        </w:rPr>
        <w:t>disposition</w:t>
      </w:r>
      <w:r>
        <w:rPr>
          <w:rFonts w:ascii="Arial" w:cs="Arial" w:eastAsia="Arial" w:hAnsi="Arial"/>
          <w:sz w:val="16"/>
          <w:szCs w:val="16"/>
          <w:color w:val="auto"/>
        </w:rPr>
        <w:t>”) of Holdings or any Restricted Subsidiary, or</w:t>
      </w:r>
    </w:p>
    <w:p>
      <w:pPr>
        <w:spacing w:after="0" w:line="123" w:lineRule="exact"/>
        <w:rPr>
          <w:rFonts w:ascii="Arial" w:cs="Arial" w:eastAsia="Arial" w:hAnsi="Arial"/>
          <w:sz w:val="16"/>
          <w:szCs w:val="16"/>
          <w:color w:val="auto"/>
        </w:rPr>
      </w:pPr>
    </w:p>
    <w:p>
      <w:pPr>
        <w:ind w:left="660" w:right="60" w:firstLine="1536"/>
        <w:spacing w:after="0" w:line="342" w:lineRule="auto"/>
        <w:tabs>
          <w:tab w:leader="none" w:pos="26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the issuance or sale of Equity Interests of any Restricted Subsidiary (other than preferred stock of Restricted Subsidiaries issued in compliance with </w:t>
      </w:r>
      <w:r>
        <w:rPr>
          <w:rFonts w:ascii="Arial" w:cs="Arial" w:eastAsia="Arial" w:hAnsi="Arial"/>
          <w:sz w:val="16"/>
          <w:szCs w:val="16"/>
          <w:u w:val="single" w:color="auto"/>
          <w:color w:val="auto"/>
        </w:rPr>
        <w:t>Section 10.1</w:t>
      </w:r>
      <w:r>
        <w:rPr>
          <w:rFonts w:ascii="Arial" w:cs="Arial" w:eastAsia="Arial" w:hAnsi="Arial"/>
          <w:sz w:val="16"/>
          <w:szCs w:val="16"/>
          <w:color w:val="auto"/>
        </w:rPr>
        <w:t>), whether in a single transaction or a series of related transactions, in each case, other than:</w:t>
      </w:r>
    </w:p>
    <w:p>
      <w:pPr>
        <w:spacing w:after="0" w:line="123" w:lineRule="exact"/>
        <w:rPr>
          <w:rFonts w:ascii="Arial" w:cs="Arial" w:eastAsia="Arial" w:hAnsi="Arial"/>
          <w:sz w:val="16"/>
          <w:szCs w:val="16"/>
          <w:color w:val="auto"/>
        </w:rPr>
      </w:pPr>
    </w:p>
    <w:p>
      <w:pPr>
        <w:ind w:left="1300" w:right="80" w:firstLine="653"/>
        <w:spacing w:after="0" w:line="279" w:lineRule="auto"/>
        <w:tabs>
          <w:tab w:leader="none" w:pos="2328"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disposition of Cash Equivalents or Investment Grade Securities or obsolete, worn out or surplus property or property (including leasehold property interests) that is no longer economically practical in its business or commercially desirable to maintain or no longer used or useful equipment in the ordinary course of business or any disposition of inventory, immaterial assets, or goods (or other assets) in the ordinary course of business (including the disposition of optical goods to FirstSight);</w:t>
      </w:r>
    </w:p>
    <w:p>
      <w:pPr>
        <w:spacing w:after="0" w:line="171" w:lineRule="exact"/>
        <w:rPr>
          <w:rFonts w:ascii="Arial" w:cs="Arial" w:eastAsia="Arial" w:hAnsi="Arial"/>
          <w:sz w:val="17"/>
          <w:szCs w:val="17"/>
          <w:color w:val="auto"/>
        </w:rPr>
      </w:pPr>
    </w:p>
    <w:p>
      <w:pPr>
        <w:ind w:left="2340" w:hanging="387"/>
        <w:spacing w:after="0"/>
        <w:tabs>
          <w:tab w:leader="none" w:pos="2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the disposition of all or substantially all of the assets of Holdings or the Borrower in a manner permitted pursuant to </w:t>
      </w:r>
      <w:r>
        <w:rPr>
          <w:rFonts w:ascii="Arial" w:cs="Arial" w:eastAsia="Arial" w:hAnsi="Arial"/>
          <w:sz w:val="16"/>
          <w:szCs w:val="16"/>
          <w:u w:val="single" w:color="auto"/>
          <w:color w:val="auto"/>
        </w:rPr>
        <w:t>Section</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u w:val="single" w:color="auto"/>
          <w:color w:val="auto"/>
        </w:rPr>
        <w:t>10.3</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1300" w:right="20" w:firstLine="653"/>
        <w:spacing w:after="0" w:line="264" w:lineRule="auto"/>
        <w:tabs>
          <w:tab w:leader="none" w:pos="2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incurrence of Liens that are permitted to be incurred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or the making of any Restricted Payment or Permitted Investment (other than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the definition thereof) that is permitted to be made, and is made, pursuant to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300" w:right="260" w:firstLine="653"/>
        <w:spacing w:after="0" w:line="277" w:lineRule="auto"/>
        <w:tabs>
          <w:tab w:leader="none" w:pos="233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disposition of assets or issuance or sale of Equity Interests of any Restricted Subsidiary in any transaction or series of transactions with an aggregate Fair Market Value of less than $10,000,000;</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360"/>
          </w:cols>
          <w:pgMar w:left="240" w:top="814" w:right="299" w:bottom="1440" w:gutter="0" w:footer="0" w:header="0"/>
        </w:sectPr>
      </w:pPr>
    </w:p>
    <w:bookmarkStart w:id="84" w:name="page85"/>
    <w:bookmarkEnd w:id="84"/>
    <w:p>
      <w:pPr>
        <w:ind w:left="100" w:right="40" w:firstLine="653"/>
        <w:spacing w:after="0" w:line="277" w:lineRule="auto"/>
        <w:tabs>
          <w:tab w:leader="none" w:pos="11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disposition of property or assets or issuance of securities by (1) a Restricted Subsidiary to Holdings or (2) by Holdings or a Restricted Subsidiary to another Restricted Subsidiary;</w:t>
      </w:r>
    </w:p>
    <w:p>
      <w:pPr>
        <w:spacing w:after="0" w:line="170" w:lineRule="exact"/>
        <w:rPr>
          <w:rFonts w:ascii="Arial" w:cs="Arial" w:eastAsia="Arial" w:hAnsi="Arial"/>
          <w:sz w:val="18"/>
          <w:szCs w:val="18"/>
          <w:color w:val="auto"/>
        </w:rPr>
      </w:pPr>
    </w:p>
    <w:p>
      <w:pPr>
        <w:ind w:left="100" w:right="460" w:firstLine="653"/>
        <w:spacing w:after="0" w:line="277" w:lineRule="auto"/>
        <w:tabs>
          <w:tab w:leader="none" w:pos="110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the extent allowable under Section 1031 of the Code, or any comparable or successor provision, any exchange of like property (excluding any boot thereon) for use in a Similar Business;</w:t>
      </w:r>
    </w:p>
    <w:p>
      <w:pPr>
        <w:spacing w:after="0" w:line="170" w:lineRule="exact"/>
        <w:rPr>
          <w:rFonts w:ascii="Arial" w:cs="Arial" w:eastAsia="Arial" w:hAnsi="Arial"/>
          <w:sz w:val="18"/>
          <w:szCs w:val="18"/>
          <w:color w:val="auto"/>
        </w:rPr>
      </w:pPr>
    </w:p>
    <w:p>
      <w:pPr>
        <w:ind w:left="1140" w:hanging="387"/>
        <w:spacing w:after="0"/>
        <w:tabs>
          <w:tab w:leader="none" w:pos="11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issuance, sale or pledge of Equity Interests in, or Indebtedness, or other securities of, an Unrestricted Subsidiary;</w:t>
      </w:r>
    </w:p>
    <w:p>
      <w:pPr>
        <w:spacing w:after="0" w:line="236" w:lineRule="exact"/>
        <w:rPr>
          <w:rFonts w:ascii="Arial" w:cs="Arial" w:eastAsia="Arial" w:hAnsi="Arial"/>
          <w:sz w:val="17"/>
          <w:szCs w:val="17"/>
          <w:color w:val="auto"/>
        </w:rPr>
      </w:pPr>
    </w:p>
    <w:p>
      <w:pPr>
        <w:ind w:left="1140" w:hanging="387"/>
        <w:spacing w:after="0"/>
        <w:tabs>
          <w:tab w:leader="none" w:pos="11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foreclosures, condemnation, casualty or any similar action on assets (including dispositions in connection therewith);</w:t>
      </w:r>
    </w:p>
    <w:p>
      <w:pPr>
        <w:spacing w:after="0" w:line="236" w:lineRule="exact"/>
        <w:rPr>
          <w:rFonts w:ascii="Arial" w:cs="Arial" w:eastAsia="Arial" w:hAnsi="Arial"/>
          <w:sz w:val="17"/>
          <w:szCs w:val="17"/>
          <w:color w:val="auto"/>
        </w:rPr>
      </w:pPr>
    </w:p>
    <w:p>
      <w:pPr>
        <w:ind w:left="1100" w:hanging="347"/>
        <w:spacing w:after="0"/>
        <w:tabs>
          <w:tab w:leader="none" w:pos="11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sales of accounts receivable, or participations therein, and related assets in connection with any Receivables Facility;</w:t>
      </w:r>
    </w:p>
    <w:p>
      <w:pPr>
        <w:spacing w:after="0" w:line="236" w:lineRule="exact"/>
        <w:rPr>
          <w:rFonts w:ascii="Arial" w:cs="Arial" w:eastAsia="Arial" w:hAnsi="Arial"/>
          <w:sz w:val="17"/>
          <w:szCs w:val="17"/>
          <w:color w:val="auto"/>
        </w:rPr>
      </w:pPr>
    </w:p>
    <w:p>
      <w:pPr>
        <w:ind w:left="100" w:right="620" w:firstLine="653"/>
        <w:spacing w:after="0" w:line="308" w:lineRule="auto"/>
        <w:tabs>
          <w:tab w:leader="none" w:pos="1098"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financing transaction with respect to property built or acquired by Holdings or any Restricted Subsidiary after the Restatement Effective Date, including Sale Leasebacks and asset securitizations permitted by this Agreement;</w:t>
      </w:r>
    </w:p>
    <w:p>
      <w:pPr>
        <w:spacing w:after="0" w:line="146" w:lineRule="exact"/>
        <w:rPr>
          <w:rFonts w:ascii="Arial" w:cs="Arial" w:eastAsia="Arial" w:hAnsi="Arial"/>
          <w:sz w:val="17"/>
          <w:szCs w:val="17"/>
          <w:color w:val="auto"/>
        </w:rPr>
      </w:pPr>
    </w:p>
    <w:p>
      <w:pPr>
        <w:ind w:left="100" w:firstLine="653"/>
        <w:spacing w:after="0" w:line="257" w:lineRule="auto"/>
        <w:tabs>
          <w:tab w:leader="none" w:pos="11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(1) any surrender or waiver of contractual rights or the settlement, release, or surrender of contractual rights or other litigation claims, (2) the termination or collapse of cost sharing agreements with Holdings or any Subsidiary and the settlement of any crossing payments in connection therewith, or (3) the settlement, discount, write off, forgiveness, or cancellation of any Indebtedness owing by any present or former consultants, directors, officers, or employees of Holdings (or any direct or indirect parent company of Holdings) or any Subsidiary or any of their successors or assigns;</w:t>
      </w:r>
    </w:p>
    <w:p>
      <w:pPr>
        <w:spacing w:after="0" w:line="188" w:lineRule="exact"/>
        <w:rPr>
          <w:rFonts w:ascii="Arial" w:cs="Arial" w:eastAsia="Arial" w:hAnsi="Arial"/>
          <w:sz w:val="18"/>
          <w:szCs w:val="18"/>
          <w:color w:val="auto"/>
        </w:rPr>
      </w:pPr>
    </w:p>
    <w:p>
      <w:pPr>
        <w:ind w:left="100" w:right="400" w:firstLine="653"/>
        <w:spacing w:after="0" w:line="277" w:lineRule="auto"/>
        <w:tabs>
          <w:tab w:leader="none" w:pos="10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disposition or discount of inventory, accounts receivable, or notes receivable in the ordinary course of business or the conversion of accounts receivable to notes receivable;</w:t>
      </w:r>
    </w:p>
    <w:p>
      <w:pPr>
        <w:spacing w:after="0" w:line="170" w:lineRule="exact"/>
        <w:rPr>
          <w:rFonts w:ascii="Arial" w:cs="Arial" w:eastAsia="Arial" w:hAnsi="Arial"/>
          <w:sz w:val="18"/>
          <w:szCs w:val="18"/>
          <w:color w:val="auto"/>
        </w:rPr>
      </w:pPr>
    </w:p>
    <w:p>
      <w:pPr>
        <w:ind w:left="100" w:right="60" w:firstLine="653"/>
        <w:spacing w:after="0" w:line="277" w:lineRule="auto"/>
        <w:tabs>
          <w:tab w:leader="none" w:pos="118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licensing or sub-licensing of Intellectual Property or other general intangibles (whether pursuant to franchise agreements or otherwise) in the ordinary course of business;</w:t>
      </w:r>
    </w:p>
    <w:p>
      <w:pPr>
        <w:spacing w:after="0" w:line="170" w:lineRule="exact"/>
        <w:rPr>
          <w:rFonts w:ascii="Arial" w:cs="Arial" w:eastAsia="Arial" w:hAnsi="Arial"/>
          <w:sz w:val="18"/>
          <w:szCs w:val="18"/>
          <w:color w:val="auto"/>
        </w:rPr>
      </w:pPr>
    </w:p>
    <w:p>
      <w:pPr>
        <w:ind w:left="1140" w:hanging="387"/>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unwinding of any Hedging Obligations or obligations in respect of Cash Management Services;</w:t>
      </w:r>
    </w:p>
    <w:p>
      <w:pPr>
        <w:spacing w:after="0" w:line="225" w:lineRule="exact"/>
        <w:rPr>
          <w:rFonts w:ascii="Arial" w:cs="Arial" w:eastAsia="Arial" w:hAnsi="Arial"/>
          <w:sz w:val="18"/>
          <w:szCs w:val="18"/>
          <w:color w:val="auto"/>
        </w:rPr>
      </w:pPr>
    </w:p>
    <w:p>
      <w:pPr>
        <w:ind w:left="100" w:right="20" w:firstLine="653"/>
        <w:spacing w:after="0" w:line="342" w:lineRule="auto"/>
        <w:tabs>
          <w:tab w:leader="none" w:pos="1138" w:val="left"/>
        </w:tabs>
        <w:numPr>
          <w:ilvl w:val="0"/>
          <w:numId w:val="36"/>
        </w:numPr>
        <w:rPr>
          <w:rFonts w:ascii="Arial" w:cs="Arial" w:eastAsia="Arial" w:hAnsi="Arial"/>
          <w:sz w:val="16"/>
          <w:szCs w:val="16"/>
          <w:color w:val="auto"/>
        </w:rPr>
      </w:pPr>
      <w:r>
        <w:rPr>
          <w:rFonts w:ascii="Arial" w:cs="Arial" w:eastAsia="Arial" w:hAnsi="Arial"/>
          <w:sz w:val="16"/>
          <w:szCs w:val="16"/>
          <w:color w:val="auto"/>
        </w:rPr>
        <w:t>sales, transfers, and other dispositions of Investments in joint ventures to the extent required by, or made pursuant to, customary buy/sell arrangements between the joint venture parties set forth in joint venture arrangements and similar binding arrangements;</w:t>
      </w:r>
    </w:p>
    <w:p>
      <w:pPr>
        <w:spacing w:after="0" w:line="123" w:lineRule="exact"/>
        <w:rPr>
          <w:rFonts w:ascii="Arial" w:cs="Arial" w:eastAsia="Arial" w:hAnsi="Arial"/>
          <w:sz w:val="16"/>
          <w:szCs w:val="16"/>
          <w:color w:val="auto"/>
        </w:rPr>
      </w:pPr>
    </w:p>
    <w:p>
      <w:pPr>
        <w:ind w:left="100" w:right="120" w:firstLine="653"/>
        <w:spacing w:after="0" w:line="342" w:lineRule="auto"/>
        <w:tabs>
          <w:tab w:leader="none" w:pos="1138"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lapse or abandonment of Intellectual Property rights in the ordinary course of business, which in the reasonable business judgment of the Borrower are not material to the conduct of the business of Holdings and the Restricted Subsidiaries taken as a whole;</w:t>
      </w:r>
    </w:p>
    <w:p>
      <w:pPr>
        <w:spacing w:after="0" w:line="123" w:lineRule="exact"/>
        <w:rPr>
          <w:rFonts w:ascii="Arial" w:cs="Arial" w:eastAsia="Arial" w:hAnsi="Arial"/>
          <w:sz w:val="16"/>
          <w:szCs w:val="16"/>
          <w:color w:val="auto"/>
        </w:rPr>
      </w:pPr>
    </w:p>
    <w:p>
      <w:pPr>
        <w:ind w:left="1140" w:hanging="387"/>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issuance of directors’ qualifying shares and shares issued to foreign nationals as required by applicable law;</w:t>
      </w:r>
    </w:p>
    <w:p>
      <w:pPr>
        <w:spacing w:after="0" w:line="225" w:lineRule="exact"/>
        <w:rPr>
          <w:rFonts w:ascii="Arial" w:cs="Arial" w:eastAsia="Arial" w:hAnsi="Arial"/>
          <w:sz w:val="18"/>
          <w:szCs w:val="18"/>
          <w:color w:val="auto"/>
        </w:rPr>
      </w:pPr>
    </w:p>
    <w:p>
      <w:pPr>
        <w:ind w:left="100" w:right="180" w:firstLine="653"/>
        <w:spacing w:after="0" w:line="264" w:lineRule="auto"/>
        <w:tabs>
          <w:tab w:leader="none" w:pos="1108"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dispositions of property to the extent that (1) such property is exchanged for credit against the purchase price of similar replacement property that is promptly purchased or (2) the proceeds of such Asset Sale are promptly applied to the purchase price of such replacement property (which replacement property is actually promptly purchased);</w:t>
      </w:r>
    </w:p>
    <w:p>
      <w:pPr>
        <w:spacing w:after="0" w:line="200" w:lineRule="exact"/>
        <w:rPr>
          <w:sz w:val="20"/>
          <w:szCs w:val="20"/>
          <w:color w:val="auto"/>
        </w:rPr>
      </w:pPr>
    </w:p>
    <w:p>
      <w:pPr>
        <w:spacing w:after="0" w:line="222"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200"/>
          </w:cols>
          <w:pgMar w:left="1440" w:top="814" w:right="259" w:bottom="1440" w:gutter="0" w:footer="0" w:header="0"/>
        </w:sectPr>
      </w:pPr>
    </w:p>
    <w:bookmarkStart w:id="85" w:name="page86"/>
    <w:bookmarkEnd w:id="85"/>
    <w:p>
      <w:pPr>
        <w:ind w:left="1300" w:right="360" w:firstLine="653"/>
        <w:spacing w:after="0" w:line="277" w:lineRule="auto"/>
        <w:tabs>
          <w:tab w:leader="none" w:pos="2318"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leases, assignments, subleases, licenses, or sublicenses, in each case in the ordinary course of business and which do not materially interfere with the business of Holdings and the Restricted Subsidiaries, taken as a whole;</w:t>
      </w:r>
    </w:p>
    <w:p>
      <w:pPr>
        <w:spacing w:after="0" w:line="170" w:lineRule="exact"/>
        <w:rPr>
          <w:rFonts w:ascii="Arial" w:cs="Arial" w:eastAsia="Arial" w:hAnsi="Arial"/>
          <w:sz w:val="18"/>
          <w:szCs w:val="18"/>
          <w:color w:val="auto"/>
        </w:rPr>
      </w:pPr>
    </w:p>
    <w:p>
      <w:pPr>
        <w:ind w:left="2340" w:hanging="387"/>
        <w:spacing w:after="0"/>
        <w:tabs>
          <w:tab w:leader="none" w:pos="2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dispositions of non-core assets acquired in connection with any Permitted Acquisition or Investment permitted hereunder;</w:t>
      </w:r>
    </w:p>
    <w:p>
      <w:pPr>
        <w:spacing w:after="0" w:line="248" w:lineRule="exact"/>
        <w:rPr>
          <w:rFonts w:ascii="Arial" w:cs="Arial" w:eastAsia="Arial" w:hAnsi="Arial"/>
          <w:sz w:val="16"/>
          <w:szCs w:val="16"/>
          <w:color w:val="auto"/>
        </w:rPr>
      </w:pPr>
    </w:p>
    <w:p>
      <w:pPr>
        <w:jc w:val="both"/>
        <w:ind w:left="1300" w:firstLine="653"/>
        <w:spacing w:after="0" w:line="342" w:lineRule="auto"/>
        <w:tabs>
          <w:tab w:leader="none" w:pos="2338"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 the extent necessary or reasonably considered advisable by the Borrower to comply with requirements of law at such time, dispositions of (A) any retail location or any eye facility located in California and/or (B) FirstSight or any other Managed Care Subsidiary;</w:t>
      </w:r>
    </w:p>
    <w:p>
      <w:pPr>
        <w:spacing w:after="0" w:line="123" w:lineRule="exact"/>
        <w:rPr>
          <w:rFonts w:ascii="Arial" w:cs="Arial" w:eastAsia="Arial" w:hAnsi="Arial"/>
          <w:sz w:val="16"/>
          <w:szCs w:val="16"/>
          <w:color w:val="auto"/>
        </w:rPr>
      </w:pPr>
    </w:p>
    <w:p>
      <w:pPr>
        <w:ind w:left="2340" w:hanging="387"/>
        <w:spacing w:after="0"/>
        <w:tabs>
          <w:tab w:leader="none" w:pos="2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dispositions pursuant to the Wal-Mart Agreements; and</w:t>
      </w:r>
    </w:p>
    <w:p>
      <w:pPr>
        <w:spacing w:after="0" w:line="225" w:lineRule="exact"/>
        <w:rPr>
          <w:rFonts w:ascii="Arial" w:cs="Arial" w:eastAsia="Arial" w:hAnsi="Arial"/>
          <w:sz w:val="18"/>
          <w:szCs w:val="18"/>
          <w:color w:val="auto"/>
        </w:rPr>
      </w:pPr>
    </w:p>
    <w:p>
      <w:pPr>
        <w:ind w:left="1300" w:right="300" w:firstLine="653"/>
        <w:spacing w:after="0" w:line="277" w:lineRule="auto"/>
        <w:tabs>
          <w:tab w:leader="none" w:pos="23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lease or sublease of real property and related office equipment and personal property to health care professionals (or their Affiliates) or a Managed Care Subsidiary in the ordinary course of business.</w:t>
      </w:r>
    </w:p>
    <w:p>
      <w:pPr>
        <w:spacing w:after="0" w:line="166"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Sale Prepayment Event</w:t>
      </w:r>
      <w:r>
        <w:rPr>
          <w:rFonts w:ascii="Arial" w:cs="Arial" w:eastAsia="Arial" w:hAnsi="Arial"/>
          <w:sz w:val="18"/>
          <w:szCs w:val="18"/>
          <w:color w:val="auto"/>
        </w:rPr>
        <w:t xml:space="preserve">” shall mean any Asset Sale subject to the Reinvestment Period allowed in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with respect to any Asset Sale Prepayment Event, the Borrower shall not be obligated to make any prepayment otherwise required by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unless and until the aggregate amount of Net Cash Proceeds from all such Asset Sale Prepayment Events, after giving effect to the reinvestment rights set forth herein, exceeds $10,000,000 (the “</w:t>
      </w:r>
      <w:r>
        <w:rPr>
          <w:rFonts w:ascii="Arial" w:cs="Arial" w:eastAsia="Arial" w:hAnsi="Arial"/>
          <w:sz w:val="18"/>
          <w:szCs w:val="18"/>
          <w:b w:val="1"/>
          <w:bCs w:val="1"/>
          <w:color w:val="auto"/>
        </w:rPr>
        <w:t>Prepayment Trigger</w:t>
      </w:r>
      <w:r>
        <w:rPr>
          <w:rFonts w:ascii="Arial" w:cs="Arial" w:eastAsia="Arial" w:hAnsi="Arial"/>
          <w:sz w:val="18"/>
          <w:szCs w:val="18"/>
          <w:color w:val="auto"/>
        </w:rPr>
        <w:t>”) in any fiscal year of Holdings, but then from all such Net Cash Proceeds (excluding amounts below the Prepayment Trigger).</w:t>
      </w:r>
    </w:p>
    <w:p>
      <w:pPr>
        <w:spacing w:after="0" w:line="184"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Acceptance</w:t>
      </w:r>
      <w:r>
        <w:rPr>
          <w:rFonts w:ascii="Arial" w:cs="Arial" w:eastAsia="Arial" w:hAnsi="Arial"/>
          <w:sz w:val="18"/>
          <w:szCs w:val="18"/>
          <w:color w:val="auto"/>
        </w:rPr>
        <w:t xml:space="preserve">” shall mean an assignment and acceptance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or such other form as may be approved by the Administrative Agent.</w:t>
      </w:r>
    </w:p>
    <w:p>
      <w:pPr>
        <w:spacing w:after="0" w:line="162"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Officer</w:t>
      </w:r>
      <w:r>
        <w:rPr>
          <w:rFonts w:ascii="Arial" w:cs="Arial" w:eastAsia="Arial" w:hAnsi="Arial"/>
          <w:sz w:val="18"/>
          <w:szCs w:val="18"/>
          <w:color w:val="auto"/>
        </w:rPr>
        <w:t>” shall mean, with respect to any Person, any individual holding the position of chairman of the board (if an officer), the Chief Executive Officer, President, the Chief Financial Officer, the Treasurer, the Controller, the Vice President-Finance, a Senior Vice President, a Director, a Manager, or any other senior officer or agent with express authority to act on behalf of such Person designated as such by the board of directors or other managing authority of such Person.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Auto-Extension Letter of Credit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3.2(d)</w:t>
      </w:r>
      <w:r>
        <w:rPr>
          <w:rFonts w:ascii="Arial" w:cs="Arial" w:eastAsia="Arial" w:hAnsi="Arial"/>
          <w:sz w:val="18"/>
          <w:szCs w:val="18"/>
          <w:color w:val="auto"/>
        </w:rPr>
        <w:t>.</w:t>
      </w:r>
    </w:p>
    <w:p>
      <w:pPr>
        <w:spacing w:after="0" w:line="225"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shall mean an amount equal to the excess, if any, of (i) the amount of the Total Revolving Credit Commitment over (ii) the sum of the aggregate principal amount of (a) all Revolving Credit Loans (but not Swingline Loans) then outstanding and (b) the aggregate Letters of Credit Outstanding at such time.</w:t>
      </w:r>
    </w:p>
    <w:p>
      <w:pPr>
        <w:spacing w:after="0" w:line="176" w:lineRule="exact"/>
        <w:rPr>
          <w:sz w:val="20"/>
          <w:szCs w:val="20"/>
          <w:color w:val="auto"/>
        </w:rPr>
      </w:pPr>
    </w:p>
    <w:p>
      <w:pPr>
        <w:ind w:right="360" w:firstLine="648"/>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Average New Store Consolidated EBITDA</w:t>
      </w:r>
      <w:r>
        <w:rPr>
          <w:rFonts w:ascii="Arial" w:cs="Arial" w:eastAsia="Arial" w:hAnsi="Arial"/>
          <w:sz w:val="18"/>
          <w:szCs w:val="18"/>
          <w:color w:val="auto"/>
        </w:rPr>
        <w:t>” shall mean, with respect to any Test Period, the numeric average of the amount of Consolidated EBITDA of Stores (excluding New Stores) in their 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through 10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fiscal quarters after opening of such Stores (e.g., the sum of each such Store’s Consolidated EBITDA for such four quarter period, divided by the number of applicable Stores).</w:t>
      </w:r>
    </w:p>
    <w:p>
      <w:pPr>
        <w:spacing w:after="0" w:line="198"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shall mean the exercise of any Write-Down and Conversion Powers by the applicable EEA Resolution Authority in respect of any liability of an EEA Financial Institution.</w:t>
      </w:r>
    </w:p>
    <w:p>
      <w:pPr>
        <w:spacing w:after="0" w:line="162"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shall mean,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11.5</w:t>
      </w:r>
      <w:r>
        <w:rPr>
          <w:rFonts w:ascii="Arial" w:cs="Arial" w:eastAsia="Arial" w:hAnsi="Arial"/>
          <w:sz w:val="18"/>
          <w:szCs w:val="18"/>
          <w:color w:val="auto"/>
        </w:rPr>
        <w:t>.</w:t>
      </w: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340"/>
          </w:cols>
          <w:pgMar w:left="240" w:top="814" w:right="319" w:bottom="1440" w:gutter="0" w:footer="0" w:header="0"/>
        </w:sectPr>
      </w:pPr>
    </w:p>
    <w:bookmarkStart w:id="86" w:name="page87"/>
    <w:bookmarkEnd w:id="86"/>
    <w:p>
      <w:pPr>
        <w:ind w:right="8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Certification</w:t>
      </w:r>
      <w:r>
        <w:rPr>
          <w:rFonts w:ascii="Arial" w:cs="Arial" w:eastAsia="Arial" w:hAnsi="Arial"/>
          <w:sz w:val="18"/>
          <w:szCs w:val="18"/>
          <w:color w:val="auto"/>
        </w:rPr>
        <w:t>” shall mean a certification regarding beneficial ownership as required by the Beneficial Ownership Regulation.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Regulation</w:t>
      </w:r>
      <w:r>
        <w:rPr>
          <w:rFonts w:ascii="Arial" w:cs="Arial" w:eastAsia="Arial" w:hAnsi="Arial"/>
          <w:sz w:val="18"/>
          <w:szCs w:val="18"/>
          <w:color w:val="auto"/>
        </w:rPr>
        <w:t>” shall mean 31 C.F.R. § 1010.230.</w:t>
      </w:r>
    </w:p>
    <w:p>
      <w:pPr>
        <w:spacing w:after="0" w:line="22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Plan</w:t>
      </w:r>
      <w:r>
        <w:rPr>
          <w:rFonts w:ascii="Arial" w:cs="Arial" w:eastAsia="Arial" w:hAnsi="Arial"/>
          <w:sz w:val="18"/>
          <w:szCs w:val="18"/>
          <w:color w:val="auto"/>
        </w:rPr>
        <w:t>” 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Benefited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Governors of the Federal Reserve System of the United States (or any successor).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shall have the meaning provided in the preamble to this Agreement.</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w:t>
      </w:r>
      <w:r>
        <w:rPr>
          <w:rFonts w:ascii="Arial" w:cs="Arial" w:eastAsia="Arial" w:hAnsi="Arial"/>
          <w:sz w:val="18"/>
          <w:szCs w:val="18"/>
          <w:color w:val="auto"/>
        </w:rPr>
        <w:t>” shall mean (i) Loans of the same Class and Type, made, converted, or continued on the same date and, in the case of LIBOR Loans, as to which a single Interest Period is in effect, or (ii) a Swingline Loan.</w:t>
      </w:r>
    </w:p>
    <w:p>
      <w:pPr>
        <w:spacing w:after="0" w:line="162"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excluding Saturday, Sunday, and any other day on which banking institutions in New York City are authorized by law or other governmental actions to close, and, if such day relates to any interest rate settings as to a LIBOR Loan, any fundings, disbursements, settlements, and payments in respect of any such LIBOR Loan, or any other dealings in Dollars to be carried out pursuant to this Agreement in respect of any such LIBOR Loan, such day shall be a day on which dealings in deposits in Dollars are conducted by and between banks in the applicable London interbank market.</w:t>
      </w:r>
    </w:p>
    <w:p>
      <w:pPr>
        <w:spacing w:after="0" w:line="184"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Lease</w:t>
      </w:r>
      <w:r>
        <w:rPr>
          <w:rFonts w:ascii="Arial" w:cs="Arial" w:eastAsia="Arial" w:hAnsi="Arial"/>
          <w:sz w:val="17"/>
          <w:szCs w:val="17"/>
          <w:color w:val="auto"/>
        </w:rPr>
        <w:t xml:space="preserve">” shall mean, as applied to any Person, any lease of any property (whether real, personal, or mixed) by that Person as lessee that, in conformity with GAAP, is, or is required to be, accounted for as a capital lease on the balance sheet of that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all leases of any Person that are or would be characterized as operating leases in accordance with GAAP immediately prior to December 31, 2013 (whether or not such operating leases were in effect on such date) shall continue to be accounted for as operating leases (and not as Capital Leases) for purposes of this Agreement regardless of any change in GAAP following the date that would otherwise require such leases to be recharacterized as Capital Leases and (ii) all leases for Stores shall be accounted for as operating leases for purposes of this Agreement.</w:t>
      </w:r>
    </w:p>
    <w:p>
      <w:pPr>
        <w:spacing w:after="0" w:line="174"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Stock</w:t>
      </w:r>
      <w:r>
        <w:rPr>
          <w:rFonts w:ascii="Arial" w:cs="Arial" w:eastAsia="Arial" w:hAnsi="Arial"/>
          <w:sz w:val="16"/>
          <w:szCs w:val="16"/>
          <w:color w:val="auto"/>
        </w:rPr>
        <w:t>” shall mean (i) in the case of a corporation, corporate stock,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 (it being understood and agreed, for the avoidance of doubt, that “cash-settled phantom appreciation programs” in connection with employee benefits that do not require a dividend or distribution shall not constitute Capital Stock).</w:t>
      </w:r>
    </w:p>
    <w:p>
      <w:pPr>
        <w:spacing w:after="0" w:line="154"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Capitalized Lease Obligation</w:t>
      </w:r>
      <w:r>
        <w:rPr>
          <w:rFonts w:ascii="Arial" w:cs="Arial" w:eastAsia="Arial" w:hAnsi="Arial"/>
          <w:sz w:val="17"/>
          <w:szCs w:val="17"/>
          <w:color w:val="auto"/>
        </w:rPr>
        <w:t xml:space="preserve">” shall mean, at the time any determination thereof is to be made, the amount of the liability in respect of a Capital Lease that would at such time be required to be capitalized and reflected as a liability on a balance sheet (excluding the footnotes thereto) prepared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obligations of any Person that are or would be characterized as operating lease obligations in accordance with GAAP immediately prior to December 31, 2013 (whether or not such operating lease obligations were in effect on such date) shall continue to be accounted for as operating lease obligations (and not as Capitalized Lease Obligations) for purposes of this Agreement regardless of any change in GAAP following the date that would otherwise require such obligations to be recharacterized as Capitalized Lease Obligations.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00"/>
          </w:cols>
          <w:pgMar w:left="240" w:top="810" w:right="259" w:bottom="1440" w:gutter="0" w:footer="0" w:header="0"/>
        </w:sectPr>
      </w:pPr>
    </w:p>
    <w:bookmarkStart w:id="87" w:name="page88"/>
    <w:bookmarkEnd w:id="87"/>
    <w:p>
      <w:pPr>
        <w:ind w:right="26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Collateralize</w:t>
      </w:r>
      <w:r>
        <w:rPr>
          <w:rFonts w:ascii="Arial" w:cs="Arial" w:eastAsia="Arial" w:hAnsi="Arial"/>
          <w:sz w:val="16"/>
          <w:szCs w:val="16"/>
          <w:color w:val="auto"/>
        </w:rPr>
        <w:t>” shall mean to pledge and deposit with or deliver to the Administrative Agent, for the benefit of one or more of the Letter of Credit Issuer or the Lenders, as collateral for L/C Obligations or obligations of the Lenders to fund participations in respect of L/C Obligations, cash or deposit account balances or, if the Administrative Agent and the Letter of Credit Issuer shall agree in their sole discretion, other credit support. “</w:t>
      </w:r>
      <w:r>
        <w:rPr>
          <w:rFonts w:ascii="Arial" w:cs="Arial" w:eastAsia="Arial" w:hAnsi="Arial"/>
          <w:sz w:val="16"/>
          <w:szCs w:val="16"/>
          <w:b w:val="1"/>
          <w:bCs w:val="1"/>
          <w:color w:val="auto"/>
        </w:rPr>
        <w:t>Cash</w:t>
      </w:r>
      <w:r>
        <w:rPr>
          <w:rFonts w:ascii="Arial" w:cs="Arial" w:eastAsia="Arial" w:hAnsi="Arial"/>
          <w:sz w:val="16"/>
          <w:szCs w:val="16"/>
          <w:color w:val="auto"/>
        </w:rPr>
        <w:t xml:space="preserve"> </w:t>
      </w:r>
      <w:r>
        <w:rPr>
          <w:rFonts w:ascii="Arial" w:cs="Arial" w:eastAsia="Arial" w:hAnsi="Arial"/>
          <w:sz w:val="16"/>
          <w:szCs w:val="16"/>
          <w:b w:val="1"/>
          <w:bCs w:val="1"/>
          <w:color w:val="auto"/>
        </w:rPr>
        <w:t>Collateral</w:t>
      </w:r>
      <w:r>
        <w:rPr>
          <w:rFonts w:ascii="Arial" w:cs="Arial" w:eastAsia="Arial" w:hAnsi="Arial"/>
          <w:sz w:val="16"/>
          <w:szCs w:val="16"/>
          <w:color w:val="auto"/>
        </w:rPr>
        <w:t>” shall have a meaning correlative to the foregoing and shall include the proceeds of such cash collateral and other credit support.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shall mean:</w:t>
      </w:r>
    </w:p>
    <w:p>
      <w:pPr>
        <w:spacing w:after="0" w:line="229" w:lineRule="exact"/>
        <w:rPr>
          <w:sz w:val="20"/>
          <w:szCs w:val="20"/>
          <w:color w:val="auto"/>
        </w:rPr>
      </w:pPr>
    </w:p>
    <w:p>
      <w:pPr>
        <w:ind w:left="2540" w:hanging="344"/>
        <w:spacing w:after="0"/>
        <w:tabs>
          <w:tab w:leader="none" w:pos="2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Dollars,</w:t>
      </w:r>
    </w:p>
    <w:p>
      <w:pPr>
        <w:spacing w:after="0" w:line="225" w:lineRule="exact"/>
        <w:rPr>
          <w:rFonts w:ascii="Arial" w:cs="Arial" w:eastAsia="Arial" w:hAnsi="Arial"/>
          <w:sz w:val="18"/>
          <w:szCs w:val="18"/>
          <w:color w:val="auto"/>
        </w:rPr>
      </w:pPr>
    </w:p>
    <w:p>
      <w:pPr>
        <w:ind w:left="660" w:right="80" w:firstLine="1536"/>
        <w:spacing w:after="0" w:line="277" w:lineRule="auto"/>
        <w:tabs>
          <w:tab w:leader="none" w:pos="2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Euro, Pounds Sterling, Canadian Dollars, or any national currency of any Participating Member State in the European Union or (b) local currencies held from time to time in the ordinary course of business,</w:t>
      </w:r>
    </w:p>
    <w:p>
      <w:pPr>
        <w:spacing w:after="0" w:line="170" w:lineRule="exact"/>
        <w:rPr>
          <w:rFonts w:ascii="Arial" w:cs="Arial" w:eastAsia="Arial" w:hAnsi="Arial"/>
          <w:sz w:val="18"/>
          <w:szCs w:val="18"/>
          <w:color w:val="auto"/>
        </w:rPr>
      </w:pPr>
    </w:p>
    <w:p>
      <w:pPr>
        <w:ind w:left="660" w:firstLine="1536"/>
        <w:spacing w:after="0" w:line="286" w:lineRule="auto"/>
        <w:tabs>
          <w:tab w:leader="none" w:pos="265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securities issued or directly and fully and unconditionally guaranteed or insured by the United States government or any country that is a member state of the European Union or any agency or instrumentality thereof the securities of which are unconditionally guaranteed as a full faith and credit obligation of such government with maturities of 24 months or less from the date of acquisition,</w:t>
      </w:r>
    </w:p>
    <w:p>
      <w:pPr>
        <w:spacing w:after="0" w:line="165" w:lineRule="exact"/>
        <w:rPr>
          <w:rFonts w:ascii="Arial" w:cs="Arial" w:eastAsia="Arial" w:hAnsi="Arial"/>
          <w:sz w:val="17"/>
          <w:szCs w:val="17"/>
          <w:color w:val="auto"/>
        </w:rPr>
      </w:pPr>
    </w:p>
    <w:p>
      <w:pPr>
        <w:ind w:left="660" w:right="340" w:firstLine="1536"/>
        <w:spacing w:after="0" w:line="259" w:lineRule="auto"/>
        <w:tabs>
          <w:tab w:leader="none" w:pos="2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certificates of deposit, time deposits, and eurodollar time deposits with maturities of one year or less from the date of acquisition, bankers’ acceptances with maturities not exceeding one year, and overnight bank deposits, in each case with any commercial bank having capital and surplus of not less than $250,000,000 in the case of U.S. banks and $100,000,000 (or the Dollar Equivalent as of the date of determination) in the case of foreign banks,</w:t>
      </w:r>
    </w:p>
    <w:p>
      <w:pPr>
        <w:spacing w:after="0" w:line="186" w:lineRule="exact"/>
        <w:rPr>
          <w:rFonts w:ascii="Arial" w:cs="Arial" w:eastAsia="Arial" w:hAnsi="Arial"/>
          <w:sz w:val="18"/>
          <w:szCs w:val="18"/>
          <w:color w:val="auto"/>
        </w:rPr>
      </w:pPr>
    </w:p>
    <w:p>
      <w:pPr>
        <w:ind w:left="660" w:right="120" w:firstLine="1536"/>
        <w:spacing w:after="0" w:line="277" w:lineRule="auto"/>
        <w:tabs>
          <w:tab w:leader="none" w:pos="259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repurchase obligations for underlying securities of the types described in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entered into with any financial institution meeting the qualifications specified in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w:t>
      </w:r>
    </w:p>
    <w:p>
      <w:pPr>
        <w:spacing w:after="0" w:line="170" w:lineRule="exact"/>
        <w:rPr>
          <w:rFonts w:ascii="Arial" w:cs="Arial" w:eastAsia="Arial" w:hAnsi="Arial"/>
          <w:sz w:val="18"/>
          <w:szCs w:val="18"/>
          <w:color w:val="auto"/>
        </w:rPr>
      </w:pPr>
    </w:p>
    <w:p>
      <w:pPr>
        <w:ind w:left="660" w:right="40" w:firstLine="1536"/>
        <w:spacing w:after="0" w:line="277" w:lineRule="auto"/>
        <w:tabs>
          <w:tab w:leader="none" w:pos="2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commercial paper rated at least P-2 by Moody’s or at least A-2 by S&amp;P and in each case maturing within 24 months after the date of creation thereof,</w:t>
      </w:r>
    </w:p>
    <w:p>
      <w:pPr>
        <w:spacing w:after="0" w:line="170" w:lineRule="exact"/>
        <w:rPr>
          <w:rFonts w:ascii="Arial" w:cs="Arial" w:eastAsia="Arial" w:hAnsi="Arial"/>
          <w:sz w:val="18"/>
          <w:szCs w:val="18"/>
          <w:color w:val="auto"/>
        </w:rPr>
      </w:pPr>
    </w:p>
    <w:p>
      <w:pPr>
        <w:ind w:left="660" w:right="60" w:firstLine="1536"/>
        <w:spacing w:after="0" w:line="286" w:lineRule="auto"/>
        <w:tabs>
          <w:tab w:leader="none" w:pos="269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marketable short-term money market and similar securities having a rating of at least P-2 or A-2 from either Moody’s or S&amp;P, respectively (or, if at any time neither Moody’s nor S&amp;P shall be rating such obligations, an equivalent rating from another nationally recognized ratings agency) and in each case maturing within 24 months after the date of creation or acquisition thereof,</w:t>
      </w:r>
    </w:p>
    <w:p>
      <w:pPr>
        <w:spacing w:after="0" w:line="165" w:lineRule="exact"/>
        <w:rPr>
          <w:rFonts w:ascii="Arial" w:cs="Arial" w:eastAsia="Arial" w:hAnsi="Arial"/>
          <w:sz w:val="17"/>
          <w:szCs w:val="17"/>
          <w:color w:val="auto"/>
        </w:rPr>
      </w:pPr>
    </w:p>
    <w:p>
      <w:pPr>
        <w:ind w:left="660" w:right="580" w:firstLine="1536"/>
        <w:spacing w:after="0" w:line="264" w:lineRule="auto"/>
        <w:tabs>
          <w:tab w:leader="none" w:pos="2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readily marketable direct obligations issued by any state, commonwealth, or territory of the United States or any political subdivision or taxing authority thereof having one of the two highest rating categories obtainable from either Moody’s or S&amp;P with maturities of 24 months or less from the date of acquisition,</w:t>
      </w:r>
    </w:p>
    <w:p>
      <w:pPr>
        <w:spacing w:after="0" w:line="181" w:lineRule="exact"/>
        <w:rPr>
          <w:rFonts w:ascii="Arial" w:cs="Arial" w:eastAsia="Arial" w:hAnsi="Arial"/>
          <w:sz w:val="18"/>
          <w:szCs w:val="18"/>
          <w:color w:val="auto"/>
        </w:rPr>
      </w:pPr>
    </w:p>
    <w:p>
      <w:pPr>
        <w:ind w:left="660" w:right="500" w:firstLine="1536"/>
        <w:spacing w:after="0" w:line="277" w:lineRule="auto"/>
        <w:tabs>
          <w:tab w:leader="none" w:pos="2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Indebtedness or preferred stock issued by Persons with a rating of “A” or higher from S&amp;P or “A2” or higher from Moody’s with maturities of 24 months or less from the date of acquisition,</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00"/>
          </w:cols>
          <w:pgMar w:left="240" w:top="810" w:right="259" w:bottom="1440" w:gutter="0" w:footer="0" w:header="0"/>
        </w:sectPr>
      </w:pPr>
    </w:p>
    <w:bookmarkStart w:id="88" w:name="page89"/>
    <w:bookmarkEnd w:id="88"/>
    <w:p>
      <w:pPr>
        <w:ind w:left="660" w:right="220" w:firstLine="1536"/>
        <w:spacing w:after="0" w:line="288" w:lineRule="auto"/>
        <w:tabs>
          <w:tab w:leader="none" w:pos="26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solely with respect to any Foreign Subsidiary: (a) obligations of the national government of the country in which such Foreign Subsidiary maintains its chief executive office and principal place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country is a member of the Organization for Economic Cooperation and Development, in each case maturing within one year after the date of investment therein, (b) certificates of deposit of, bankers acceptances of, or time deposits with, any commercial bank which is organized and existing under the laws of the country in which such Foreign Subsidiary maintains its chief executive office and principal place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Arial" w:cs="Arial" w:eastAsia="Arial" w:hAnsi="Arial"/>
          <w:sz w:val="16"/>
          <w:szCs w:val="16"/>
          <w:b w:val="1"/>
          <w:bCs w:val="1"/>
          <w:color w:val="auto"/>
        </w:rPr>
        <w:t>Approved Foreign Bank</w:t>
      </w:r>
      <w:r>
        <w:rPr>
          <w:rFonts w:ascii="Arial" w:cs="Arial" w:eastAsia="Arial" w:hAnsi="Arial"/>
          <w:sz w:val="16"/>
          <w:szCs w:val="16"/>
          <w:color w:val="auto"/>
        </w:rPr>
        <w:t>”), and in each case with maturities of not more than 24 months from the date of acquisition, and (c) the equivalent of demand deposit accounts which are maintained with an Approved Foreign Bank, in each case, customarily used by corporations for cash management purposes in any jurisdiction outside the United States to the extent reasonably required in connection with any business conducted by such Foreign Subsidiary organized in such jurisdiction,</w:t>
      </w:r>
    </w:p>
    <w:p>
      <w:pPr>
        <w:spacing w:after="0" w:line="169" w:lineRule="exact"/>
        <w:rPr>
          <w:rFonts w:ascii="Arial" w:cs="Arial" w:eastAsia="Arial" w:hAnsi="Arial"/>
          <w:sz w:val="16"/>
          <w:szCs w:val="16"/>
          <w:color w:val="auto"/>
        </w:rPr>
      </w:pPr>
    </w:p>
    <w:p>
      <w:pPr>
        <w:ind w:left="660" w:firstLine="1536"/>
        <w:spacing w:after="0" w:line="264" w:lineRule="auto"/>
        <w:tabs>
          <w:tab w:leader="none" w:pos="26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in the case of investments by any Foreign Subsidiary or investments made in a country outside the United States, Cash Equivalents shall also include investments of the type and maturity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above of foreign obligors, which investments have ratings, described in such clauses or equivalent ratings from comparable foreign rating agencies, and</w:t>
      </w:r>
    </w:p>
    <w:p>
      <w:pPr>
        <w:spacing w:after="0" w:line="181" w:lineRule="exact"/>
        <w:rPr>
          <w:rFonts w:ascii="Arial" w:cs="Arial" w:eastAsia="Arial" w:hAnsi="Arial"/>
          <w:sz w:val="18"/>
          <w:szCs w:val="18"/>
          <w:color w:val="auto"/>
        </w:rPr>
      </w:pPr>
    </w:p>
    <w:p>
      <w:pPr>
        <w:ind w:left="2680" w:hanging="484"/>
        <w:spacing w:after="0"/>
        <w:tabs>
          <w:tab w:leader="none" w:pos="2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investment funds investing 90% of their assets in securities of the types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above.</w:t>
      </w:r>
    </w:p>
    <w:p>
      <w:pPr>
        <w:spacing w:after="0" w:line="23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 xml:space="preserve">Notwithstanding the foregoing, Cash Equivalents shall include amounts denominated in currencies other than those set forth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amounts are converted into any currency listed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as promptly as practicable and in any event within ten Business Days following the receipt of such amounts.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Agreement</w:t>
      </w:r>
      <w:r>
        <w:rPr>
          <w:rFonts w:ascii="Arial" w:cs="Arial" w:eastAsia="Arial" w:hAnsi="Arial"/>
          <w:sz w:val="18"/>
          <w:szCs w:val="18"/>
          <w:color w:val="auto"/>
        </w:rPr>
        <w:t>” shall mean any agreement or arrangement to provide Cash Management Services.</w:t>
      </w:r>
    </w:p>
    <w:p>
      <w:pPr>
        <w:spacing w:after="0" w:line="225"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Bank</w:t>
      </w:r>
      <w:r>
        <w:rPr>
          <w:rFonts w:ascii="Arial" w:cs="Arial" w:eastAsia="Arial" w:hAnsi="Arial"/>
          <w:sz w:val="18"/>
          <w:szCs w:val="18"/>
          <w:color w:val="auto"/>
        </w:rPr>
        <w:t>” shall mean (i) any Person that, at the time it enters into a Cash Management Agreement, is an Agent or a Lender or an Affiliate of an Agent or a Lender or (ii) with respect to any Cash Management Agreement entered into prior to the Restatement Effective Date, any Person that is a Lender or an Affiliate of a Lender on the Restatement Effective Date.</w:t>
      </w:r>
    </w:p>
    <w:p>
      <w:pPr>
        <w:spacing w:after="0" w:line="176" w:lineRule="exact"/>
        <w:rPr>
          <w:sz w:val="20"/>
          <w:szCs w:val="20"/>
          <w:color w:val="auto"/>
        </w:rPr>
      </w:pPr>
    </w:p>
    <w:p>
      <w:pPr>
        <w:ind w:right="24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Management Services</w:t>
      </w:r>
      <w:r>
        <w:rPr>
          <w:rFonts w:ascii="Arial" w:cs="Arial" w:eastAsia="Arial" w:hAnsi="Arial"/>
          <w:sz w:val="16"/>
          <w:szCs w:val="16"/>
          <w:color w:val="auto"/>
        </w:rPr>
        <w:t>” shall mean any one or more of the following types of services or facilities: (i) commercial credit cards, merchant card services, purchase or debit cards, including non-card e-payables services, or electronic funds transfer services, (ii) treasury management services (including controlled disbursement, overdraft automatic clearing house fund transfer services, return items, and interstate depository network services) and</w:t>
      </w:r>
    </w:p>
    <w:p>
      <w:pPr>
        <w:spacing w:after="0" w:line="2" w:lineRule="exact"/>
        <w:rPr>
          <w:sz w:val="20"/>
          <w:szCs w:val="20"/>
          <w:color w:val="auto"/>
        </w:rPr>
      </w:pPr>
    </w:p>
    <w:p>
      <w:pPr>
        <w:ind w:right="860" w:firstLine="8"/>
        <w:spacing w:after="0" w:line="261" w:lineRule="auto"/>
        <w:tabs>
          <w:tab w:leader="none" w:pos="3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demand deposit or operating account relationships or other cash management services, including pursuant to any Cash Management Agreements.</w:t>
      </w:r>
    </w:p>
    <w:p>
      <w:pPr>
        <w:spacing w:after="0" w:line="180"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Casualty Event</w:t>
      </w:r>
      <w:r>
        <w:rPr>
          <w:rFonts w:ascii="Arial" w:cs="Arial" w:eastAsia="Arial" w:hAnsi="Arial"/>
          <w:sz w:val="17"/>
          <w:szCs w:val="17"/>
          <w:color w:val="auto"/>
        </w:rPr>
        <w:t xml:space="preserve">” shall mean, with respect to any property of any Person, any loss of or damage to, or any condemnation or other taking by a Governmental Authority of, such property for which such Person or any of its Restricted Subsidiaries receives insurance proceeds or proceeds of a condemnation award in respect of any equipment, fixed assets, or real property (including any improvements thereon) to replace or repair such equipment, fixed assets, or real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with respect to any Casualty Event, the Borrower shall not be obligated to make any prepayment otherwise required by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unless and until the aggregate amount of Net Cash Proceeds from all such Casualty Events, after giving effect to the reinvestment rights set forth herein, exceeds $10,000,000 (the “</w:t>
      </w:r>
      <w:r>
        <w:rPr>
          <w:rFonts w:ascii="Arial" w:cs="Arial" w:eastAsia="Arial" w:hAnsi="Arial"/>
          <w:sz w:val="17"/>
          <w:szCs w:val="17"/>
          <w:b w:val="1"/>
          <w:bCs w:val="1"/>
          <w:color w:val="auto"/>
        </w:rPr>
        <w:t>Casualty Prepayment Trigger</w:t>
      </w:r>
      <w:r>
        <w:rPr>
          <w:rFonts w:ascii="Arial" w:cs="Arial" w:eastAsia="Arial" w:hAnsi="Arial"/>
          <w:sz w:val="17"/>
          <w:szCs w:val="17"/>
          <w:color w:val="auto"/>
        </w:rPr>
        <w:t>”) in any fiscal year of Holdings, but then from all such Net Cash Proceeds (excluding amounts below the Casualty Prepayment Trigger).</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00"/>
          </w:cols>
          <w:pgMar w:left="240" w:top="814" w:right="259" w:bottom="1440" w:gutter="0" w:footer="0" w:header="0"/>
        </w:sectPr>
      </w:pPr>
    </w:p>
    <w:bookmarkStart w:id="89" w:name="page90"/>
    <w:bookmarkEnd w:id="8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w:t>
      </w:r>
      <w:r>
        <w:rPr>
          <w:rFonts w:ascii="Arial" w:cs="Arial" w:eastAsia="Arial" w:hAnsi="Arial"/>
          <w:sz w:val="18"/>
          <w:szCs w:val="18"/>
          <w:color w:val="auto"/>
        </w:rPr>
        <w:t>” shall mean a Subsidiary of the Borrower that is a “controlled foreign corporation” within the meaning of Section 957 of the Code.</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 Holding Company</w:t>
      </w:r>
      <w:r>
        <w:rPr>
          <w:rFonts w:ascii="Arial" w:cs="Arial" w:eastAsia="Arial" w:hAnsi="Arial"/>
          <w:sz w:val="18"/>
          <w:szCs w:val="18"/>
          <w:color w:val="auto"/>
        </w:rPr>
        <w:t>” shall mean a Domestic Subsidiary of the Borrower substantially all of the assets of which consist of equity or debt of one or more Foreign Subsidiaries that are CFCs.</w:t>
      </w:r>
    </w:p>
    <w:p>
      <w:pPr>
        <w:spacing w:after="0" w:line="16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Law</w:t>
      </w:r>
      <w:r>
        <w:rPr>
          <w:rFonts w:ascii="Arial" w:cs="Arial" w:eastAsia="Arial" w:hAnsi="Arial"/>
          <w:sz w:val="17"/>
          <w:szCs w:val="17"/>
          <w:color w:val="auto"/>
        </w:rPr>
        <w:t>” shall mean (i) the adoption of any law, treaty, order, policy, rule, or regulation after the Restatement Effective Date, (ii) any change in any law, treaty, order, policy, rule, or regulation or in the administration, implementation, interpretation or application thereof by any Governmental Authority after the Restatement Effective Date or (iii) compliance by any Lender with any guideline, request, directive, or order issued or made after the Restatement Effective Date by any central bank or other governmental or quasi-governmental authority (whether or not having the force of law), including, for avoidance of doubt any such adoption, change or compliance in respect of (a) the Dodd-Frank Wall Street Reform and Consumer Protection Act and all requests, rules, regulations, guidelines, or directives thereunder or issued in connection therewith and (b) all requests, rules, guidelines, requirements, or directives promulgated by the Bank for International Settlements, the Basel Committee on Banking Supervision (or any successor or similar authority), or the United States or foreign regulatory authorities pursuant to Basel III.</w:t>
      </w:r>
    </w:p>
    <w:p>
      <w:pPr>
        <w:spacing w:after="0" w:line="172" w:lineRule="exact"/>
        <w:rPr>
          <w:sz w:val="20"/>
          <w:szCs w:val="20"/>
          <w:color w:val="auto"/>
        </w:rPr>
      </w:pPr>
    </w:p>
    <w:p>
      <w:pPr>
        <w:ind w:right="2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shall mean and be deemed to have occurred if any Person, entity, or “group” (within the meaning of Section 13(d) or 14(d) of the Securities Exchange Act of 1934, as amended), other than the Permitted Holders, shall at any time have acquired direct or indirect beneficial ownership of a percentage of the voting power of the outstanding Voting Stock of Holdings that exceeds 35% thereof, unless the Permitted Holders have, at such time, the right or the ability by voting power, contract, or otherwise to elect or designate for election at least a majority of the board of directors of Holdings.</w:t>
      </w:r>
    </w:p>
    <w:p>
      <w:pPr>
        <w:spacing w:after="0" w:line="151"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w:t>
      </w:r>
      <w:r>
        <w:rPr>
          <w:rFonts w:ascii="Arial" w:cs="Arial" w:eastAsia="Arial" w:hAnsi="Arial"/>
          <w:sz w:val="18"/>
          <w:szCs w:val="18"/>
          <w:color w:val="auto"/>
        </w:rPr>
        <w:t>” (i) when used in reference to any Loan or Borrowing, shall refer to whether such Loan, or the Loans comprising such Borrowing, are Revolving Credit Loans, Term A Loans, New Term Loans (of each Series), Extended Term Loans (of the same Extension Series), Replacement Term Loans (of the same Series), Extended Revolving Credit Loans (of the same Extension Series), or Swingline Loans and (ii) when used in reference to any Commitment, refers to whether such Commitment is a Revolving Credit Commitment, an Extended Revolving Credit Commitment (of the same Extension Series), a Term A Loan Commitment or a New Term Loan Commitment.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mean March 13,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 from time to time.</w:t>
      </w:r>
    </w:p>
    <w:p>
      <w:pPr>
        <w:spacing w:after="0" w:line="225"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shall mean all property pledged or mortgaged or purported to be pledged or mortgaged pursuant to the Security Documents, excluding in all events Excluded Property.</w:t>
      </w:r>
    </w:p>
    <w:p>
      <w:pPr>
        <w:spacing w:after="0" w:line="162" w:lineRule="exact"/>
        <w:rPr>
          <w:sz w:val="20"/>
          <w:szCs w:val="20"/>
          <w:color w:val="auto"/>
        </w:rPr>
      </w:pPr>
    </w:p>
    <w:p>
      <w:pPr>
        <w:ind w:right="6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Agent</w:t>
      </w:r>
      <w:r>
        <w:rPr>
          <w:rFonts w:ascii="Arial" w:cs="Arial" w:eastAsia="Arial" w:hAnsi="Arial"/>
          <w:sz w:val="16"/>
          <w:szCs w:val="16"/>
          <w:color w:val="auto"/>
        </w:rPr>
        <w:t xml:space="preserve">” shall mean Bank of America, N.A., as collateral agent under the Security Documents, or any successor collateral agent pursuant to </w:t>
      </w:r>
      <w:r>
        <w:rPr>
          <w:rFonts w:ascii="Arial" w:cs="Arial" w:eastAsia="Arial" w:hAnsi="Arial"/>
          <w:sz w:val="16"/>
          <w:szCs w:val="16"/>
          <w:u w:val="single" w:color="auto"/>
          <w:color w:val="auto"/>
        </w:rPr>
        <w:t>Section 12.9</w:t>
      </w:r>
      <w:r>
        <w:rPr>
          <w:rFonts w:ascii="Arial" w:cs="Arial" w:eastAsia="Arial" w:hAnsi="Arial"/>
          <w:sz w:val="16"/>
          <w:szCs w:val="16"/>
          <w:color w:val="auto"/>
        </w:rPr>
        <w:t xml:space="preserve">, and any Affiliate or designee of Bank of America, N.A. may act as the Collateral Agent under any Credit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matters relating to the Original Credit Agreement or periods prior to the Restatement Effective Date, such term shall refer to the Former Agent.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Fee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225"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Fee Rate</w:t>
      </w:r>
      <w:r>
        <w:rPr>
          <w:rFonts w:ascii="Arial" w:cs="Arial" w:eastAsia="Arial" w:hAnsi="Arial"/>
          <w:sz w:val="18"/>
          <w:szCs w:val="18"/>
          <w:color w:val="auto"/>
        </w:rPr>
        <w:t>” shall mean the rate per annum for Commitment Fees determined in accordance with the definition of “Applicable Margin”.</w:t>
      </w:r>
    </w:p>
    <w:p>
      <w:pPr>
        <w:spacing w:after="0" w:line="162" w:lineRule="exact"/>
        <w:rPr>
          <w:sz w:val="20"/>
          <w:szCs w:val="20"/>
          <w:color w:val="auto"/>
        </w:rPr>
      </w:pPr>
    </w:p>
    <w:p>
      <w:pPr>
        <w:ind w:right="60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Commitments</w:t>
      </w:r>
      <w:r>
        <w:rPr>
          <w:rFonts w:ascii="Arial" w:cs="Arial" w:eastAsia="Arial" w:hAnsi="Arial"/>
          <w:sz w:val="17"/>
          <w:szCs w:val="17"/>
          <w:color w:val="auto"/>
        </w:rPr>
        <w:t>” shall mean, with respect to each Lender (to the extent applicable), such Lender’s Revolving Credit Commitment, Extended Revolving Credit Commitment, New Revolving Credit Commitment, Term A Loan Commitment or New Term Loan Commitment.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00"/>
          </w:cols>
          <w:pgMar w:left="240" w:top="810" w:right="259" w:bottom="1440" w:gutter="0" w:footer="0" w:header="0"/>
        </w:sectPr>
      </w:pPr>
    </w:p>
    <w:bookmarkStart w:id="90" w:name="page91"/>
    <w:bookmarkEnd w:id="90"/>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Commodity Exchange Act</w:t>
      </w:r>
      <w:r>
        <w:rPr>
          <w:rFonts w:ascii="Arial" w:cs="Arial" w:eastAsia="Arial" w:hAnsi="Arial"/>
          <w:sz w:val="16"/>
          <w:szCs w:val="16"/>
          <w:color w:val="auto"/>
        </w:rPr>
        <w:t>” shall mean the Commodity Exchange Act (7 U.S.C. § 1 et seq.), as amended from time to time, and any successor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13.17</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shall mean a certificate of a responsible financial or accounting officer of Holdings or the Borrower delivered pursuant to </w:t>
      </w:r>
      <w:r>
        <w:rPr>
          <w:rFonts w:ascii="Arial" w:cs="Arial" w:eastAsia="Arial" w:hAnsi="Arial"/>
          <w:sz w:val="18"/>
          <w:szCs w:val="18"/>
          <w:u w:val="single" w:color="auto"/>
          <w:color w:val="auto"/>
        </w:rPr>
        <w:t>Section 9.1(d)</w:t>
      </w:r>
      <w:r>
        <w:rPr>
          <w:rFonts w:ascii="Arial" w:cs="Arial" w:eastAsia="Arial" w:hAnsi="Arial"/>
          <w:sz w:val="18"/>
          <w:szCs w:val="18"/>
          <w:color w:val="auto"/>
        </w:rPr>
        <w:t xml:space="preserve"> for the applicable Test Period.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13.16</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Depreciation and Amortization Expense</w:t>
      </w:r>
      <w:r>
        <w:rPr>
          <w:rFonts w:ascii="Arial" w:cs="Arial" w:eastAsia="Arial" w:hAnsi="Arial"/>
          <w:sz w:val="18"/>
          <w:szCs w:val="18"/>
          <w:color w:val="auto"/>
        </w:rPr>
        <w:t>” shall mean with respect to any Person for any period, the total amount of depreciation and amortization expense, including the amortization of deferred financing fees or costs, debt issuance costs, commissions, fees, and expenses, capitalized expenditures, customer acquisition costs, the amortization of original issue discount resulting from the issuance of Indebtedness at less than par and incentive payments, conversion costs, and contract acquisition costs of such Person and its Restricted Subsidiaries for such period on a consolidated basis and otherwise determined in accordance with GAAP.</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EBITDA</w:t>
      </w:r>
      <w:r>
        <w:rPr>
          <w:rFonts w:ascii="Arial" w:cs="Arial" w:eastAsia="Arial" w:hAnsi="Arial"/>
          <w:sz w:val="17"/>
          <w:szCs w:val="17"/>
          <w:color w:val="auto"/>
        </w:rPr>
        <w:t>” shall mean, with respect to any Person for any period, the Consolidated Net Income of such Person for such period:</w:t>
      </w:r>
    </w:p>
    <w:p>
      <w:pPr>
        <w:spacing w:after="0" w:line="241" w:lineRule="exact"/>
        <w:rPr>
          <w:sz w:val="20"/>
          <w:szCs w:val="20"/>
          <w:color w:val="auto"/>
        </w:rPr>
      </w:pPr>
    </w:p>
    <w:p>
      <w:pPr>
        <w:ind w:left="2540" w:hanging="344"/>
        <w:spacing w:after="0"/>
        <w:tabs>
          <w:tab w:leader="none" w:pos="25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increased (without duplication) by:</w:t>
      </w:r>
    </w:p>
    <w:p>
      <w:pPr>
        <w:spacing w:after="0" w:line="225" w:lineRule="exact"/>
        <w:rPr>
          <w:rFonts w:ascii="Arial" w:cs="Arial" w:eastAsia="Arial" w:hAnsi="Arial"/>
          <w:sz w:val="18"/>
          <w:szCs w:val="18"/>
          <w:color w:val="auto"/>
        </w:rPr>
      </w:pPr>
    </w:p>
    <w:p>
      <w:pPr>
        <w:ind w:left="1300" w:right="60" w:firstLine="653"/>
        <w:spacing w:after="0" w:line="259" w:lineRule="auto"/>
        <w:tabs>
          <w:tab w:leader="none" w:pos="2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or capital, including, without limitation, U.S. federal, state, non-U.S., franchise, excise, value added, and similar taxes and foreign withholding taxes of such Person paid or accrued during such period deducted, including any penalties and interest related to such taxes or arising from any tax examinations (and not added back) in computing Consolidated Net Income, </w:t>
      </w:r>
      <w:r>
        <w:rPr>
          <w:rFonts w:ascii="Arial" w:cs="Arial" w:eastAsia="Arial" w:hAnsi="Arial"/>
          <w:sz w:val="18"/>
          <w:szCs w:val="18"/>
          <w:i w:val="1"/>
          <w:iCs w:val="1"/>
          <w:color w:val="auto"/>
        </w:rPr>
        <w:t>plus</w:t>
      </w:r>
    </w:p>
    <w:p>
      <w:pPr>
        <w:spacing w:after="0" w:line="186" w:lineRule="exact"/>
        <w:rPr>
          <w:rFonts w:ascii="Arial" w:cs="Arial" w:eastAsia="Arial" w:hAnsi="Arial"/>
          <w:sz w:val="18"/>
          <w:szCs w:val="18"/>
          <w:color w:val="auto"/>
        </w:rPr>
      </w:pPr>
    </w:p>
    <w:p>
      <w:pPr>
        <w:ind w:left="1300" w:right="20" w:firstLine="653"/>
        <w:spacing w:after="0" w:line="257" w:lineRule="auto"/>
        <w:tabs>
          <w:tab w:leader="none" w:pos="2338"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Fixed Charges of such Person for such period (including (1) net losses on Hedging Obligations or other derivative instruments entered into for the purpose of hedging interest rate risk and (2) costs of surety bonds in connection with financing activities, in each case, to the extent included in Fixed Charges), together with items excluded from the definition of “Consolidated Interest Expense” and any non-cash interest expense, to the extent the same were deducted (and not added back) in calculating such Consolidated Net Income, </w:t>
      </w:r>
      <w:r>
        <w:rPr>
          <w:rFonts w:ascii="Arial" w:cs="Arial" w:eastAsia="Arial" w:hAnsi="Arial"/>
          <w:sz w:val="18"/>
          <w:szCs w:val="18"/>
          <w:i w:val="1"/>
          <w:iCs w:val="1"/>
          <w:color w:val="auto"/>
        </w:rPr>
        <w:t>plus</w:t>
      </w:r>
    </w:p>
    <w:p>
      <w:pPr>
        <w:spacing w:after="0" w:line="188" w:lineRule="exact"/>
        <w:rPr>
          <w:rFonts w:ascii="Arial" w:cs="Arial" w:eastAsia="Arial" w:hAnsi="Arial"/>
          <w:sz w:val="18"/>
          <w:szCs w:val="18"/>
          <w:color w:val="auto"/>
        </w:rPr>
      </w:pPr>
    </w:p>
    <w:p>
      <w:pPr>
        <w:ind w:left="1300" w:right="80" w:firstLine="653"/>
        <w:spacing w:after="0" w:line="277" w:lineRule="auto"/>
        <w:tabs>
          <w:tab w:leader="none" w:pos="2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Consolidated Depreciation and Amortization Expense of such Person for such period to the extent the same were deducted in computing Consolidated Net Income,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ind w:left="1300" w:right="120" w:firstLine="653"/>
        <w:spacing w:after="0" w:line="272" w:lineRule="auto"/>
        <w:tabs>
          <w:tab w:leader="none" w:pos="2338"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any expenses, fees, charges, or losses (other than depreciation or amortization expense) related to any Equity Offering, Permitted Investment, Restricted Payment, acquisition, disposition, recapitalization, or the incurrence of Indebtedness permitted to be incurred by this Agreement (including a refinancing thereof) (whether or not successful and including any such transaction consummated prior to the Restatement Effective Date), including (1) such fees, expenses, or charges related to the incurrence of the Loans hereunder and all Transaction Expenses, (2) such fees, expenses, or charges related to the offering of the Credit Documents and any other credit facilities, and (3) any amendment or other modification of Loans hereunder, or other Indebtedness, and, in each case, deducted (and not added back) in computing Consolidated Net Income, </w:t>
      </w:r>
      <w:r>
        <w:rPr>
          <w:rFonts w:ascii="Arial" w:cs="Arial" w:eastAsia="Arial" w:hAnsi="Arial"/>
          <w:sz w:val="17"/>
          <w:szCs w:val="17"/>
          <w:i w:val="1"/>
          <w:iCs w:val="1"/>
          <w:color w:val="auto"/>
        </w:rPr>
        <w:t>plus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810" w:right="239" w:bottom="1440" w:gutter="0" w:footer="0" w:header="0"/>
        </w:sectPr>
      </w:pPr>
    </w:p>
    <w:bookmarkStart w:id="91" w:name="page92"/>
    <w:bookmarkEnd w:id="91"/>
    <w:p>
      <w:pPr>
        <w:ind w:left="100" w:right="160" w:firstLine="653"/>
        <w:spacing w:after="0" w:line="302" w:lineRule="auto"/>
        <w:tabs>
          <w:tab w:leader="none" w:pos="1128"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other non-cash charges, including any write offs, write downs, expenses, losses, or items to the extent the same were deducted (and not added back) in computing Consolidated Net Income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non-cash charges represent an accrual or reserve for potential cash items in any future period, the cash payment in respect thereof in such future period shall be deducted from Consolidated EBITDA to such extent, and excluding amortization of a prepaid cash item that was paid in a prior period), </w:t>
      </w:r>
      <w:r>
        <w:rPr>
          <w:rFonts w:ascii="Arial" w:cs="Arial" w:eastAsia="Arial" w:hAnsi="Arial"/>
          <w:sz w:val="16"/>
          <w:szCs w:val="16"/>
          <w:i w:val="1"/>
          <w:iCs w:val="1"/>
          <w:color w:val="auto"/>
        </w:rPr>
        <w:t>plus</w:t>
      </w:r>
    </w:p>
    <w:p>
      <w:pPr>
        <w:spacing w:after="0" w:line="154" w:lineRule="exact"/>
        <w:rPr>
          <w:rFonts w:ascii="Arial" w:cs="Arial" w:eastAsia="Arial" w:hAnsi="Arial"/>
          <w:sz w:val="16"/>
          <w:szCs w:val="16"/>
          <w:color w:val="auto"/>
        </w:rPr>
      </w:pPr>
    </w:p>
    <w:p>
      <w:pPr>
        <w:ind w:left="100" w:right="140" w:firstLine="653"/>
        <w:spacing w:after="0" w:line="342" w:lineRule="auto"/>
        <w:tabs>
          <w:tab w:leader="none" w:pos="1108"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the amount of any minority interest expense consisting of Subsidiary income attributable to minority equity interests of third parties in any non-Wholly Owned Subsidiary deducted (and not added back) in such period in calculating Consolidated Net Income, </w:t>
      </w:r>
      <w:r>
        <w:rPr>
          <w:rFonts w:ascii="Arial" w:cs="Arial" w:eastAsia="Arial" w:hAnsi="Arial"/>
          <w:sz w:val="16"/>
          <w:szCs w:val="16"/>
          <w:i w:val="1"/>
          <w:iCs w:val="1"/>
          <w:color w:val="auto"/>
        </w:rPr>
        <w:t>plus</w:t>
      </w:r>
    </w:p>
    <w:p>
      <w:pPr>
        <w:spacing w:after="0" w:line="123" w:lineRule="exact"/>
        <w:rPr>
          <w:rFonts w:ascii="Arial" w:cs="Arial" w:eastAsia="Arial" w:hAnsi="Arial"/>
          <w:sz w:val="16"/>
          <w:szCs w:val="16"/>
          <w:color w:val="auto"/>
        </w:rPr>
      </w:pPr>
    </w:p>
    <w:p>
      <w:pPr>
        <w:ind w:left="100" w:right="260" w:firstLine="653"/>
        <w:spacing w:after="0" w:line="277" w:lineRule="auto"/>
        <w:tabs>
          <w:tab w:leader="none" w:pos="1138"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amount of management, monitoring, consulting, and advisory fees (including termination fees) and related indemnities and expenses paid or accrued in such period to the Initial Investors or any of their respective Affiliates,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ind w:left="1140" w:hanging="387"/>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costs of surety bonds incurred in such period in connection with financing activities,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100" w:firstLine="653"/>
        <w:spacing w:after="0" w:line="254" w:lineRule="auto"/>
        <w:tabs>
          <w:tab w:leader="none" w:pos="1098"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amount of reasonably identifiable and factually supportable “run-rate” cost savings, operating expense reductions, and synergies that are projected by the Borrower in good faith to result from actions either taken or expected to be taken within 24 months of the determination to take such action, net of the amount of actual benefits realized prior to or during such period from such actions (which cost savings, operating expense reductions, and synergies shall be calculated on a Pro Forma Basis as though such cost savings, operating expense reductions, or synergies had been realized on the first day of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increase to Consolidated EBITDA for any period pursuant to this clause (i), clause (q) below, clause (r) below and the definition of “Pro Forma Adjustment” shall not exceed 25% of Consolidated EBITDA for such period (after giving effect to any increase in Consolidated EBITDA pursuant to the definition of “Acquired EBITDA”), </w:t>
      </w:r>
      <w:r>
        <w:rPr>
          <w:rFonts w:ascii="Arial" w:cs="Arial" w:eastAsia="Arial" w:hAnsi="Arial"/>
          <w:sz w:val="18"/>
          <w:szCs w:val="18"/>
          <w:i w:val="1"/>
          <w:iCs w:val="1"/>
          <w:color w:val="auto"/>
        </w:rPr>
        <w:t>plus</w:t>
      </w:r>
    </w:p>
    <w:p>
      <w:pPr>
        <w:spacing w:after="0" w:line="192" w:lineRule="exact"/>
        <w:rPr>
          <w:rFonts w:ascii="Arial" w:cs="Arial" w:eastAsia="Arial" w:hAnsi="Arial"/>
          <w:sz w:val="18"/>
          <w:szCs w:val="18"/>
          <w:color w:val="auto"/>
        </w:rPr>
      </w:pPr>
    </w:p>
    <w:p>
      <w:pPr>
        <w:ind w:left="100" w:right="340" w:firstLine="653"/>
        <w:spacing w:after="0" w:line="277" w:lineRule="auto"/>
        <w:tabs>
          <w:tab w:leader="none" w:pos="1098"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amount of loss or discount on sale of receivables and related assets to the Receivables Subsidiary in connection with a Receivables Facility,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ind w:left="100" w:right="20" w:firstLine="653"/>
        <w:spacing w:after="0" w:line="255" w:lineRule="auto"/>
        <w:tabs>
          <w:tab w:leader="none" w:pos="1138"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any costs or expense incurred by Holdings or a Restricted Subsidiary pursuant to any management equity plan or stock option plan or any other management or employee benefit plan or agreement or any stock subscription or shareholder agreement, to the extent that such cost or expenses are funded with cash proceeds contributed to the capital of Holdings or net cash proceeds of an issuance of Equity Interests of Holdings (other than Disqualified Stock) solely to the extent that such net cash proceeds are excluded from the calculation set forth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10.5(a)</w:t>
      </w:r>
      <w:r>
        <w:rPr>
          <w:rFonts w:ascii="Arial" w:cs="Arial" w:eastAsia="Arial" w:hAnsi="Arial"/>
          <w:sz w:val="18"/>
          <w:szCs w:val="18"/>
          <w:color w:val="auto"/>
        </w:rPr>
        <w:t xml:space="preserve"> and have not been relied on for purposes of any incurrence of Indebtedness pursuant to </w:t>
      </w:r>
      <w:r>
        <w:rPr>
          <w:rFonts w:ascii="Arial" w:cs="Arial" w:eastAsia="Arial" w:hAnsi="Arial"/>
          <w:sz w:val="18"/>
          <w:szCs w:val="18"/>
          <w:u w:val="single" w:color="auto"/>
          <w:color w:val="auto"/>
        </w:rPr>
        <w:t>clause (l)(i)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t>
      </w:r>
      <w:r>
        <w:rPr>
          <w:rFonts w:ascii="Arial" w:cs="Arial" w:eastAsia="Arial" w:hAnsi="Arial"/>
          <w:sz w:val="18"/>
          <w:szCs w:val="18"/>
          <w:i w:val="1"/>
          <w:iCs w:val="1"/>
          <w:color w:val="auto"/>
        </w:rPr>
        <w:t>plus</w:t>
      </w:r>
    </w:p>
    <w:p>
      <w:pPr>
        <w:spacing w:after="0" w:line="193" w:lineRule="exact"/>
        <w:rPr>
          <w:rFonts w:ascii="Arial" w:cs="Arial" w:eastAsia="Arial" w:hAnsi="Arial"/>
          <w:sz w:val="18"/>
          <w:szCs w:val="18"/>
          <w:color w:val="auto"/>
        </w:rPr>
      </w:pPr>
    </w:p>
    <w:p>
      <w:pPr>
        <w:ind w:left="100" w:right="160" w:firstLine="653"/>
        <w:spacing w:after="0" w:line="302" w:lineRule="auto"/>
        <w:tabs>
          <w:tab w:leader="none" w:pos="1098"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the amount of expenses relating to payments made to option holders of any direct or indirect parent company of Holdings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under this Agreement, </w:t>
      </w:r>
      <w:r>
        <w:rPr>
          <w:rFonts w:ascii="Arial" w:cs="Arial" w:eastAsia="Arial" w:hAnsi="Arial"/>
          <w:sz w:val="16"/>
          <w:szCs w:val="16"/>
          <w:i w:val="1"/>
          <w:iCs w:val="1"/>
          <w:color w:val="auto"/>
        </w:rPr>
        <w:t>plus</w:t>
      </w:r>
    </w:p>
    <w:p>
      <w:pPr>
        <w:spacing w:after="0" w:line="154" w:lineRule="exact"/>
        <w:rPr>
          <w:rFonts w:ascii="Arial" w:cs="Arial" w:eastAsia="Arial" w:hAnsi="Arial"/>
          <w:sz w:val="16"/>
          <w:szCs w:val="16"/>
          <w:color w:val="auto"/>
        </w:rPr>
      </w:pPr>
    </w:p>
    <w:p>
      <w:pPr>
        <w:ind w:left="100" w:right="20" w:firstLine="653"/>
        <w:spacing w:after="0" w:line="312" w:lineRule="auto"/>
        <w:tabs>
          <w:tab w:leader="none" w:pos="1188"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with respect to any joint venture that is not a Restricted Subsidiary, an amount equal to the proportion of those items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relating to such joint venture corresponding to Holdings’ and the Restricted Subsidiaries’ proportionate share of such joint venture’s Consolidated Net Income (determined as if such joint venture were a Restricted Subsidiary), </w:t>
      </w:r>
      <w:r>
        <w:rPr>
          <w:rFonts w:ascii="Arial" w:cs="Arial" w:eastAsia="Arial" w:hAnsi="Arial"/>
          <w:sz w:val="16"/>
          <w:szCs w:val="16"/>
          <w:i w:val="1"/>
          <w:iCs w:val="1"/>
          <w:color w:val="auto"/>
        </w:rPr>
        <w:t>plus</w:t>
      </w:r>
    </w:p>
    <w:p>
      <w:pPr>
        <w:spacing w:after="0" w:line="387"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220"/>
          </w:cols>
          <w:pgMar w:left="1440" w:top="814" w:right="239" w:bottom="1440" w:gutter="0" w:footer="0" w:header="0"/>
        </w:sectPr>
      </w:pPr>
    </w:p>
    <w:bookmarkStart w:id="92" w:name="page93"/>
    <w:bookmarkEnd w:id="92"/>
    <w:p>
      <w:pPr>
        <w:ind w:left="100" w:firstLine="653"/>
        <w:spacing w:after="0" w:line="277" w:lineRule="auto"/>
        <w:tabs>
          <w:tab w:leader="none" w:pos="1138"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costs associated with, or in anticipation of, or preparation for, compliance with the requirements of the Sarbanes-Oxley Act of 2002 and the rules and regulations promulgated in connection therewith and Public Company Costs,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jc w:val="both"/>
        <w:ind w:left="100" w:right="100" w:firstLine="653"/>
        <w:spacing w:after="0" w:line="264" w:lineRule="auto"/>
        <w:tabs>
          <w:tab w:leader="none" w:pos="1138"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cash receipts (or any netting arrangements resulting in reduced cash expenses) not included in Consolidated EBITDA in any period solely to the extent that the corresponding non-cash gains relating to such receipts were deducted in the calculation of Consolidated EBITDA pursuant to paragraph (2) below for any previous period and not added back, </w:t>
      </w:r>
      <w:r>
        <w:rPr>
          <w:rFonts w:ascii="Arial" w:cs="Arial" w:eastAsia="Arial" w:hAnsi="Arial"/>
          <w:sz w:val="18"/>
          <w:szCs w:val="18"/>
          <w:i w:val="1"/>
          <w:iCs w:val="1"/>
          <w:color w:val="auto"/>
        </w:rPr>
        <w:t>plus</w:t>
      </w:r>
    </w:p>
    <w:p>
      <w:pPr>
        <w:spacing w:after="0" w:line="181" w:lineRule="exact"/>
        <w:rPr>
          <w:rFonts w:ascii="Arial" w:cs="Arial" w:eastAsia="Arial" w:hAnsi="Arial"/>
          <w:sz w:val="18"/>
          <w:szCs w:val="18"/>
          <w:color w:val="auto"/>
        </w:rPr>
      </w:pPr>
    </w:p>
    <w:p>
      <w:pPr>
        <w:ind w:left="100" w:right="40" w:firstLine="653"/>
        <w:spacing w:after="0" w:line="272" w:lineRule="auto"/>
        <w:tabs>
          <w:tab w:leader="none" w:pos="1138"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to the extent not already included in the Consolidated Net Income, (1) any expenses and charges that are reimbursed by indemnification or other similar provisions in connection with any investment or any sale, conveyance, transfer, or other Asset Sale of assets permitted hereunder and (2) to the extent covered by insurance and actually reimbursed, or, so long as the Borrower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the determination by Borrower that there exists such evidence (with a deduction for any amount so added back to the extent not so reimbursed within such 365 days), expenses with respect to liability or casualty events or business interruption, </w:t>
      </w:r>
      <w:r>
        <w:rPr>
          <w:rFonts w:ascii="Arial" w:cs="Arial" w:eastAsia="Arial" w:hAnsi="Arial"/>
          <w:sz w:val="17"/>
          <w:szCs w:val="17"/>
          <w:i w:val="1"/>
          <w:iCs w:val="1"/>
          <w:color w:val="auto"/>
        </w:rPr>
        <w:t>plus</w:t>
      </w:r>
    </w:p>
    <w:p>
      <w:pPr>
        <w:spacing w:after="0" w:line="177" w:lineRule="exact"/>
        <w:rPr>
          <w:rFonts w:ascii="Arial" w:cs="Arial" w:eastAsia="Arial" w:hAnsi="Arial"/>
          <w:sz w:val="17"/>
          <w:szCs w:val="17"/>
          <w:color w:val="auto"/>
        </w:rPr>
      </w:pPr>
    </w:p>
    <w:p>
      <w:pPr>
        <w:ind w:left="100" w:right="60" w:firstLine="653"/>
        <w:spacing w:after="0" w:line="271" w:lineRule="auto"/>
        <w:tabs>
          <w:tab w:leader="none" w:pos="1138"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for any Test Period, the aggregate amount of “run-rate” Consolidated Net Income projected by the Borrower in good faith to be attributable to New Contracts entered into during such Test Period (or following such Test Period but prior to the date for the delivery of the financial statements for such Test Period pursuant to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(which amount shall be calculated on a Pro Forma Basis as though the full annual amount of such Consolidated Net Income attributable to such New Contracts had been realized during such Test Period (without duplication of any amounts attributable to such New Contracts already received in such Test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increase to Consolidated EBITDA for any period pursuant to this clause (q), clause (i) above, clause (r) below and the definition of “Pro Forma Adjustment” shall not exceed 25% of Consolidated EBITDA for such period (after giving effect to any increase in Consolidated EBITDA pursuant to such provision), </w:t>
      </w:r>
      <w:r>
        <w:rPr>
          <w:rFonts w:ascii="Arial" w:cs="Arial" w:eastAsia="Arial" w:hAnsi="Arial"/>
          <w:sz w:val="17"/>
          <w:szCs w:val="17"/>
          <w:i w:val="1"/>
          <w:iCs w:val="1"/>
          <w:color w:val="auto"/>
        </w:rPr>
        <w:t>plus</w:t>
      </w:r>
    </w:p>
    <w:p>
      <w:pPr>
        <w:spacing w:after="0" w:line="178" w:lineRule="exact"/>
        <w:rPr>
          <w:rFonts w:ascii="Arial" w:cs="Arial" w:eastAsia="Arial" w:hAnsi="Arial"/>
          <w:sz w:val="17"/>
          <w:szCs w:val="17"/>
          <w:color w:val="auto"/>
        </w:rPr>
      </w:pPr>
    </w:p>
    <w:p>
      <w:pPr>
        <w:ind w:left="100" w:right="20" w:firstLine="653"/>
        <w:spacing w:after="0" w:line="312" w:lineRule="auto"/>
        <w:tabs>
          <w:tab w:leader="none" w:pos="1108"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New Store Consolidated EBITDA Adjustments;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increase to Consolidated EBITDA for any period pursuant to this clause (r), clause (i) above, clause (q) above and the definition of “Pro Forma Adjustment” shall not exceed 25% of Consolidated EBITDA for such period (after giving effect to any increase in Consolidated EBITDA pursuant to any such provision), </w:t>
      </w:r>
      <w:r>
        <w:rPr>
          <w:rFonts w:ascii="Arial" w:cs="Arial" w:eastAsia="Arial" w:hAnsi="Arial"/>
          <w:sz w:val="16"/>
          <w:szCs w:val="16"/>
          <w:i w:val="1"/>
          <w:iCs w:val="1"/>
          <w:color w:val="auto"/>
        </w:rPr>
        <w:t>plus</w:t>
      </w:r>
    </w:p>
    <w:p>
      <w:pPr>
        <w:spacing w:after="0" w:line="146" w:lineRule="exact"/>
        <w:rPr>
          <w:rFonts w:ascii="Arial" w:cs="Arial" w:eastAsia="Arial" w:hAnsi="Arial"/>
          <w:sz w:val="16"/>
          <w:szCs w:val="16"/>
          <w:color w:val="auto"/>
        </w:rPr>
      </w:pPr>
    </w:p>
    <w:p>
      <w:pPr>
        <w:ind w:left="1120" w:hanging="367"/>
        <w:spacing w:after="0"/>
        <w:tabs>
          <w:tab w:leader="none" w:pos="11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pre-opening costs and expenses incurred during the Test Period for Stores or facilities opened during or after the Test Period,</w:t>
      </w:r>
    </w:p>
    <w:p>
      <w:pPr>
        <w:spacing w:after="0" w:line="46"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i w:val="1"/>
          <w:iCs w:val="1"/>
          <w:color w:val="auto"/>
        </w:rPr>
        <w:t>plus</w:t>
      </w:r>
    </w:p>
    <w:p>
      <w:pPr>
        <w:spacing w:after="0" w:line="210" w:lineRule="exact"/>
        <w:rPr>
          <w:rFonts w:ascii="Arial" w:cs="Arial" w:eastAsia="Arial" w:hAnsi="Arial"/>
          <w:sz w:val="16"/>
          <w:szCs w:val="16"/>
          <w:color w:val="auto"/>
        </w:rPr>
      </w:pPr>
    </w:p>
    <w:p>
      <w:pPr>
        <w:ind w:left="1100" w:hanging="347"/>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charges, expenses, and other items described in the Lender Presentation,</w:t>
      </w:r>
    </w:p>
    <w:p>
      <w:pPr>
        <w:spacing w:after="0" w:line="225" w:lineRule="exact"/>
        <w:rPr>
          <w:rFonts w:ascii="Arial" w:cs="Arial" w:eastAsia="Arial" w:hAnsi="Arial"/>
          <w:sz w:val="18"/>
          <w:szCs w:val="18"/>
          <w:color w:val="auto"/>
        </w:rPr>
      </w:pPr>
    </w:p>
    <w:p>
      <w:pPr>
        <w:ind w:left="1400" w:hanging="404"/>
        <w:spacing w:after="0"/>
        <w:tabs>
          <w:tab w:leader="none" w:pos="14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decreased by (without duplication):</w:t>
      </w:r>
    </w:p>
    <w:p>
      <w:pPr>
        <w:spacing w:after="0" w:line="200" w:lineRule="exact"/>
        <w:rPr>
          <w:sz w:val="20"/>
          <w:szCs w:val="20"/>
          <w:color w:val="auto"/>
        </w:rPr>
      </w:pPr>
    </w:p>
    <w:p>
      <w:pPr>
        <w:spacing w:after="0" w:line="266"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200"/>
          </w:cols>
          <w:pgMar w:left="1440" w:top="814" w:right="259" w:bottom="1440" w:gutter="0" w:footer="0" w:header="0"/>
        </w:sectPr>
      </w:pPr>
    </w:p>
    <w:bookmarkStart w:id="93" w:name="page94"/>
    <w:bookmarkEnd w:id="93"/>
    <w:p>
      <w:pPr>
        <w:ind w:left="640" w:firstLine="653"/>
        <w:spacing w:after="0" w:line="272" w:lineRule="auto"/>
        <w:tabs>
          <w:tab w:leader="none" w:pos="1668"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non-cash gains increasing Consolidated Net Income of such Person for such period, excluding any non-cash gains which represent the reversal of any accrual of, or cash reserve for, anticipated cash charges that reduced Consolidated EBITDA in any prior period other than non-cash gains relating to the application of Financial Accounting Standards Codification Topic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(formerly Financial Accounting Standards Board Statement No. 13);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non cash gains are deducted pursuant to this </w:t>
      </w:r>
      <w:r>
        <w:rPr>
          <w:rFonts w:ascii="Arial" w:cs="Arial" w:eastAsia="Arial" w:hAnsi="Arial"/>
          <w:sz w:val="17"/>
          <w:szCs w:val="17"/>
          <w:u w:val="single" w:color="auto"/>
          <w:color w:val="auto"/>
        </w:rPr>
        <w:t>clause</w:t>
      </w:r>
      <w:r>
        <w:rPr>
          <w:rFonts w:ascii="Arial" w:cs="Arial" w:eastAsia="Arial" w:hAnsi="Arial"/>
          <w:sz w:val="17"/>
          <w:szCs w:val="17"/>
          <w:color w:val="auto"/>
        </w:rPr>
        <w:t xml:space="preserve"> </w:t>
      </w:r>
      <w:r>
        <w:rPr>
          <w:rFonts w:ascii="Arial" w:cs="Arial" w:eastAsia="Arial" w:hAnsi="Arial"/>
          <w:sz w:val="17"/>
          <w:szCs w:val="17"/>
          <w:u w:val="single" w:color="auto"/>
          <w:color w:val="auto"/>
        </w:rPr>
        <w:t>(ii)(a)</w:t>
      </w:r>
      <w:r>
        <w:rPr>
          <w:rFonts w:ascii="Arial" w:cs="Arial" w:eastAsia="Arial" w:hAnsi="Arial"/>
          <w:sz w:val="17"/>
          <w:szCs w:val="17"/>
          <w:color w:val="auto"/>
        </w:rPr>
        <w:t xml:space="preserve"> for any previous period and not otherwise added back to Consolidated EBITDA, Consolidated EBITDA shall be increased by the amount of any cash receipts (or any netting arrangements resulting in reduced cash expenses) in respect of such non cash gains received in subsequent periods to the extent not already included therein, </w:t>
      </w:r>
      <w:r>
        <w:rPr>
          <w:rFonts w:ascii="Arial" w:cs="Arial" w:eastAsia="Arial" w:hAnsi="Arial"/>
          <w:sz w:val="17"/>
          <w:szCs w:val="17"/>
          <w:i w:val="1"/>
          <w:iCs w:val="1"/>
          <w:color w:val="auto"/>
        </w:rPr>
        <w:t>plus</w:t>
      </w:r>
    </w:p>
    <w:p>
      <w:pPr>
        <w:spacing w:after="0" w:line="177" w:lineRule="exact"/>
        <w:rPr>
          <w:rFonts w:ascii="Arial" w:cs="Arial" w:eastAsia="Arial" w:hAnsi="Arial"/>
          <w:sz w:val="17"/>
          <w:szCs w:val="17"/>
          <w:color w:val="auto"/>
        </w:rPr>
      </w:pPr>
    </w:p>
    <w:p>
      <w:pPr>
        <w:ind w:left="640" w:right="20" w:firstLine="653"/>
        <w:spacing w:after="0" w:line="302" w:lineRule="auto"/>
        <w:tabs>
          <w:tab w:leader="none" w:pos="1678"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for any Test Period, the aggregate amount of “run-rate” Consolidated Net Income attributable to Terminated Contracts that have terminated or expired during such Test Period (or following such Test Period but prior to the date for delivery of the financial statements for such Test Period pursuant to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(which amount shall be calculated on a Pro Forma Basis so as to eliminate the full annual amount of such Consolidated Net Income attributable to such Terminated Contracts during such Test Period), </w:t>
      </w:r>
      <w:r>
        <w:rPr>
          <w:rFonts w:ascii="Arial" w:cs="Arial" w:eastAsia="Arial" w:hAnsi="Arial"/>
          <w:sz w:val="16"/>
          <w:szCs w:val="16"/>
          <w:i w:val="1"/>
          <w:iCs w:val="1"/>
          <w:color w:val="auto"/>
        </w:rPr>
        <w:t>plus</w:t>
      </w:r>
    </w:p>
    <w:p>
      <w:pPr>
        <w:spacing w:after="0" w:line="154" w:lineRule="exact"/>
        <w:rPr>
          <w:rFonts w:ascii="Arial" w:cs="Arial" w:eastAsia="Arial" w:hAnsi="Arial"/>
          <w:sz w:val="16"/>
          <w:szCs w:val="16"/>
          <w:color w:val="auto"/>
        </w:rPr>
      </w:pPr>
    </w:p>
    <w:p>
      <w:pPr>
        <w:ind w:left="1980" w:hanging="444"/>
        <w:spacing w:after="0"/>
        <w:tabs>
          <w:tab w:leader="none" w:pos="1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increased or decreased by (without duplication):</w:t>
      </w:r>
    </w:p>
    <w:p>
      <w:pPr>
        <w:spacing w:after="0" w:line="225" w:lineRule="exact"/>
        <w:rPr>
          <w:sz w:val="20"/>
          <w:szCs w:val="20"/>
          <w:color w:val="auto"/>
        </w:rPr>
      </w:pPr>
    </w:p>
    <w:p>
      <w:pPr>
        <w:ind w:left="640" w:right="240" w:firstLine="653"/>
        <w:spacing w:after="0" w:line="277" w:lineRule="auto"/>
        <w:tabs>
          <w:tab w:leader="none" w:pos="1668"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net gain or loss resulting in such period from currency gains or losses related to Indebtedness, intercompany balances, and other balance sheet items, plus or minus, as the case may be, and</w:t>
      </w:r>
    </w:p>
    <w:p>
      <w:pPr>
        <w:spacing w:after="0" w:line="170" w:lineRule="exact"/>
        <w:rPr>
          <w:rFonts w:ascii="Arial" w:cs="Arial" w:eastAsia="Arial" w:hAnsi="Arial"/>
          <w:sz w:val="18"/>
          <w:szCs w:val="18"/>
          <w:color w:val="auto"/>
        </w:rPr>
      </w:pPr>
    </w:p>
    <w:p>
      <w:pPr>
        <w:ind w:left="640" w:right="140" w:firstLine="653"/>
        <w:spacing w:after="0" w:line="259" w:lineRule="auto"/>
        <w:tabs>
          <w:tab w:leader="none" w:pos="1678"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net gain or loss resulting in such period from Hedging Obligations, and the application of Financial Accounting Standards Codification Topic 815—Derivatives and Hedging (ASC 815) (formerly Financing Accounting Standards Board Statement No. 133), and its related pronouncements and interpretations, or the equivalent accounting standard under GAAP or an alternative basis of accounting applied in lieu of GAAP.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w:t>
      </w:r>
    </w:p>
    <w:p>
      <w:pPr>
        <w:spacing w:after="0" w:line="225" w:lineRule="exact"/>
        <w:rPr>
          <w:sz w:val="20"/>
          <w:szCs w:val="20"/>
          <w:color w:val="auto"/>
        </w:rPr>
      </w:pPr>
    </w:p>
    <w:p>
      <w:pPr>
        <w:jc w:val="both"/>
        <w:ind w:right="100" w:firstLine="1536"/>
        <w:spacing w:after="0" w:line="264" w:lineRule="auto"/>
        <w:tabs>
          <w:tab w:leader="none" w:pos="189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the extent included in Consolidated Net Income, there shall be excluded in determining Consolidated EBITDA for any period any adjustments resulting from the application of ASC 815 and its related pronouncements and interpretations, or the equivalent accounting standard under GAAP or an alternative basis of accounting applied in lieu of GAAP,</w:t>
      </w:r>
    </w:p>
    <w:p>
      <w:pPr>
        <w:spacing w:after="0" w:line="181" w:lineRule="exact"/>
        <w:rPr>
          <w:rFonts w:ascii="Arial" w:cs="Arial" w:eastAsia="Arial" w:hAnsi="Arial"/>
          <w:sz w:val="18"/>
          <w:szCs w:val="18"/>
          <w:color w:val="auto"/>
        </w:rPr>
      </w:pPr>
    </w:p>
    <w:p>
      <w:pPr>
        <w:ind w:right="20" w:firstLine="1536"/>
        <w:spacing w:after="0" w:line="270" w:lineRule="auto"/>
        <w:tabs>
          <w:tab w:leader="none" w:pos="19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there shall be included in determining Consolidated EBITDA for any period, without duplication, (1) the Acquired EBITDA of any Person or business, or attributable to any property or asset acquired by Holdings or any Restricted Subsidiary during such period (but not the Acquired EBITDA of any related Person or business or any Acquired EBITDA attributable to any assets or property, in each case to the extent not so acquired) to the extent not subsequently sold, transferred, abandoned, or otherwise disposed by Holdings or such Restricted Subsidiary during such period (each such Person, business, property, or asset acquired and not subsequently so disposed of, an “</w:t>
      </w:r>
      <w:r>
        <w:rPr>
          <w:rFonts w:ascii="Arial" w:cs="Arial" w:eastAsia="Arial" w:hAnsi="Arial"/>
          <w:sz w:val="17"/>
          <w:szCs w:val="17"/>
          <w:b w:val="1"/>
          <w:bCs w:val="1"/>
          <w:color w:val="auto"/>
        </w:rPr>
        <w:t>Acquired Entity or Business</w:t>
      </w:r>
      <w:r>
        <w:rPr>
          <w:rFonts w:ascii="Arial" w:cs="Arial" w:eastAsia="Arial" w:hAnsi="Arial"/>
          <w:sz w:val="17"/>
          <w:szCs w:val="17"/>
          <w:color w:val="auto"/>
        </w:rPr>
        <w:t>”) and the Acquired EBITDA of any Unrestricted Subsidiary that is converted into a Restricted Subsidiary during such period (each, a “</w:t>
      </w:r>
      <w:r>
        <w:rPr>
          <w:rFonts w:ascii="Arial" w:cs="Arial" w:eastAsia="Arial" w:hAnsi="Arial"/>
          <w:sz w:val="17"/>
          <w:szCs w:val="17"/>
          <w:b w:val="1"/>
          <w:bCs w:val="1"/>
          <w:color w:val="auto"/>
        </w:rPr>
        <w:t>Converted</w:t>
      </w:r>
      <w:r>
        <w:rPr>
          <w:rFonts w:ascii="Arial" w:cs="Arial" w:eastAsia="Arial" w:hAnsi="Arial"/>
          <w:sz w:val="17"/>
          <w:szCs w:val="17"/>
          <w:color w:val="auto"/>
        </w:rPr>
        <w:t xml:space="preserve"> </w:t>
      </w:r>
      <w:r>
        <w:rPr>
          <w:rFonts w:ascii="Arial" w:cs="Arial" w:eastAsia="Arial" w:hAnsi="Arial"/>
          <w:sz w:val="17"/>
          <w:szCs w:val="17"/>
          <w:b w:val="1"/>
          <w:bCs w:val="1"/>
          <w:color w:val="auto"/>
        </w:rPr>
        <w:t>Restricted Subsidiary</w:t>
      </w:r>
      <w:r>
        <w:rPr>
          <w:rFonts w:ascii="Arial" w:cs="Arial" w:eastAsia="Arial" w:hAnsi="Arial"/>
          <w:sz w:val="17"/>
          <w:szCs w:val="17"/>
          <w:color w:val="auto"/>
        </w:rPr>
        <w:t>”), based on the actual Acquired EBITDA of such Acquired Entity or Business or Converted Restricted Subsidiary for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period (including the portion thereof occurring prior to such acquisition or conversion) and (2) an adjustment in respect of each Acquired Entity or Business equal to the amount of the Pro Forma Adjustment with respect to such Acquired Entity or Business for such period (including the portion thereof occurring prior to such acquisition); and</w:t>
      </w:r>
    </w:p>
    <w:p>
      <w:pPr>
        <w:spacing w:after="0" w:line="200" w:lineRule="exact"/>
        <w:rPr>
          <w:sz w:val="20"/>
          <w:szCs w:val="20"/>
          <w:color w:val="auto"/>
        </w:rPr>
      </w:pPr>
    </w:p>
    <w:p>
      <w:pPr>
        <w:spacing w:after="0" w:line="218"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720"/>
          </w:cols>
          <w:pgMar w:left="900" w:top="814" w:right="279" w:bottom="1440" w:gutter="0" w:footer="0" w:header="0"/>
        </w:sectPr>
      </w:pPr>
    </w:p>
    <w:bookmarkStart w:id="94" w:name="page95"/>
    <w:bookmarkEnd w:id="94"/>
    <w:p>
      <w:pPr>
        <w:ind w:left="660" w:right="20" w:firstLine="1536"/>
        <w:spacing w:after="0" w:line="289" w:lineRule="auto"/>
        <w:tabs>
          <w:tab w:leader="none" w:pos="265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 the extent included in Consolidated Net Income, there shall be excluded in determining Consolidated EBITDA for any period the Disposed EBITDA of any Person, property, business, or asset sold, transferred, abandoned, or otherwise disposed of, closed or classified as discontinued operations by Holdings or any Restricted Subsidiary during such period (each such Person, property, business, or asset so sold or disposed of, a “</w:t>
      </w:r>
      <w:r>
        <w:rPr>
          <w:rFonts w:ascii="Arial" w:cs="Arial" w:eastAsia="Arial" w:hAnsi="Arial"/>
          <w:sz w:val="16"/>
          <w:szCs w:val="16"/>
          <w:b w:val="1"/>
          <w:bCs w:val="1"/>
          <w:color w:val="auto"/>
        </w:rPr>
        <w:t>Sold Entity or Business</w:t>
      </w:r>
      <w:r>
        <w:rPr>
          <w:rFonts w:ascii="Arial" w:cs="Arial" w:eastAsia="Arial" w:hAnsi="Arial"/>
          <w:sz w:val="16"/>
          <w:szCs w:val="16"/>
          <w:color w:val="auto"/>
        </w:rPr>
        <w:t>”), and the Disposed EBITDA of any Restricted Subsidiary that is converted into an Unrestricted Subsidiary during such period (each, a “</w:t>
      </w:r>
      <w:r>
        <w:rPr>
          <w:rFonts w:ascii="Arial" w:cs="Arial" w:eastAsia="Arial" w:hAnsi="Arial"/>
          <w:sz w:val="16"/>
          <w:szCs w:val="16"/>
          <w:b w:val="1"/>
          <w:bCs w:val="1"/>
          <w:color w:val="auto"/>
        </w:rPr>
        <w:t>Converted Unrestricted Subsidiary</w:t>
      </w:r>
      <w:r>
        <w:rPr>
          <w:rFonts w:ascii="Arial" w:cs="Arial" w:eastAsia="Arial" w:hAnsi="Arial"/>
          <w:sz w:val="16"/>
          <w:szCs w:val="16"/>
          <w:color w:val="auto"/>
        </w:rPr>
        <w:t xml:space="preserve">”) based on the actual Disposed EBITDA of such Sold Entity or Business or Converted Unrestricted Subsidiary for such period (including the portion thereof occurring prior to such sale, transfer, or disposition or conversion);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notwithstanding any classification under GAAP of any Person or business in respect of which a definitive agreement for the disposition thereof has been entered into as discontinued operations, the Disposed EBITDA of such Person or business shall not be excluded pursuant to this paragraph until such disposition shall have been consummated.</w:t>
      </w:r>
    </w:p>
    <w:p>
      <w:pPr>
        <w:spacing w:after="0" w:line="163"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First Lien Secured Debt</w:t>
      </w:r>
      <w:r>
        <w:rPr>
          <w:rFonts w:ascii="Arial" w:cs="Arial" w:eastAsia="Arial" w:hAnsi="Arial"/>
          <w:sz w:val="18"/>
          <w:szCs w:val="18"/>
          <w:color w:val="auto"/>
        </w:rPr>
        <w:t>” shall mean Consolidated Total Debt as of such date consisting of the Obligations and Indebtedness secured by a Lien on the Collateral on an equal priority basis (but without regard to the control of remedies) with liens on any of the Collateral securing the Obligations, pursuant to a First Lien Intercreditor Agreement.</w:t>
      </w:r>
    </w:p>
    <w:p>
      <w:pPr>
        <w:spacing w:after="0" w:line="17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First Lien Secured Debt to Consolidated EBITDA Ratio</w:t>
      </w:r>
      <w:r>
        <w:rPr>
          <w:rFonts w:ascii="Arial" w:cs="Arial" w:eastAsia="Arial" w:hAnsi="Arial"/>
          <w:sz w:val="18"/>
          <w:szCs w:val="18"/>
          <w:color w:val="auto"/>
        </w:rPr>
        <w:t xml:space="preserve">” shall mean, as of any date of determination, the ratio of (i) Consolidated First Lien Secured Debt as of such date of determination,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cash and cash equivalents (in each case, free and clear of all Liens other than Permitted Liens and with “cash and cash equivalents” determined in accordance with GAAP) of Holdings and the Restricted Subsidiaries (other than the proceeds of any Indebtedness being incurred and giving rise to the need to calculate the Consolidated First Lien Secured Debt to Consolidated EBITDA Ratio) to (ii) Consolidated EBITDA of Holdings for the Test Period then last ended, in each case with such pro forma adjustments to Consolidated First Lien Secured Debt and Consolidated EBITDA as are appropriate and consistent with the pro forma adjustment provisions set forth in the definition of “Fixed Charge Coverage Ratio”.</w:t>
      </w:r>
    </w:p>
    <w:p>
      <w:pPr>
        <w:spacing w:after="0" w:line="189"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Interest Coverage Ratio</w:t>
      </w:r>
      <w:r>
        <w:rPr>
          <w:rFonts w:ascii="Arial" w:cs="Arial" w:eastAsia="Arial" w:hAnsi="Arial"/>
          <w:sz w:val="18"/>
          <w:szCs w:val="18"/>
          <w:color w:val="auto"/>
        </w:rPr>
        <w:t>” shall mean, as of any date of determination, the ratio of (i) Consolidated EBITDA of Holdings for the Test Period then last ended to (ii) Consolidated Interest Expense of Holdings for such Test Period, in each case with such pro forma adjustments to Consolidated EBITDA and Consolidated Interest Expense as are appropriate and consistent with the pro forma adjustment provisions set forth in the definition of “Fixed Charge Coverage Ratio”.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Interest Expense</w:t>
      </w:r>
      <w:r>
        <w:rPr>
          <w:rFonts w:ascii="Arial" w:cs="Arial" w:eastAsia="Arial" w:hAnsi="Arial"/>
          <w:sz w:val="18"/>
          <w:szCs w:val="18"/>
          <w:color w:val="auto"/>
        </w:rPr>
        <w:t>” shall mean, with respect to any Person for any period, the sum, without duplication, of:</w:t>
      </w:r>
    </w:p>
    <w:p>
      <w:pPr>
        <w:spacing w:after="0" w:line="229" w:lineRule="exact"/>
        <w:rPr>
          <w:sz w:val="20"/>
          <w:szCs w:val="20"/>
          <w:color w:val="auto"/>
        </w:rPr>
      </w:pPr>
    </w:p>
    <w:p>
      <w:pPr>
        <w:ind w:left="660" w:firstLine="1536"/>
        <w:spacing w:after="0" w:line="283" w:lineRule="auto"/>
        <w:tabs>
          <w:tab w:leader="none" w:pos="2550" w:val="left"/>
        </w:tabs>
        <w:numPr>
          <w:ilvl w:val="1"/>
          <w:numId w:val="49"/>
        </w:numPr>
        <w:rPr>
          <w:rFonts w:ascii="Arial" w:cs="Arial" w:eastAsia="Arial" w:hAnsi="Arial"/>
          <w:sz w:val="16"/>
          <w:szCs w:val="16"/>
          <w:color w:val="auto"/>
        </w:rPr>
      </w:pPr>
      <w:r>
        <w:rPr>
          <w:rFonts w:ascii="Arial" w:cs="Arial" w:eastAsia="Arial" w:hAnsi="Arial"/>
          <w:sz w:val="16"/>
          <w:szCs w:val="16"/>
          <w:color w:val="auto"/>
        </w:rPr>
        <w:t>consolidated cash interest expense of such Person and its Restricted Subsidiaries for such period, to the extent such expense was deducted (and not added back) in computing Consolidated Net Income (including (a) all commissions, discounts, and other fees and charges owed with respect to letters of credit or bankers acceptances, (b) capitalized interest to the extent paid in cash, and (c) net payments, if any, pursuant to interest rate Hedging Obligations with respect to Indebtedness, and excluding (1) any one-time cash costs associated with breakage in respect of hedging agreements for interest rates, (2) all non-recurring cash interest expense consisting of liquidated damages for failure to timely comply with registration rights obligations, all as calculated on a consolidated basis in accordance with GAAP, (3) any “additional interest” owing pursuant to a registration rights agreement, (4) non-cash interest expense attributable to a parent entity resulting from push-down accounting, but solely to the extent not reducing consolidated cash interest expense in any prior period, (5) any non-cash expensing of bridge, commitment, and other financing fees that have been previously paid in cash, but solely to the extent not reducing consolidated cash interest expense in any prior period, and</w:t>
      </w:r>
    </w:p>
    <w:p>
      <w:pPr>
        <w:spacing w:after="0" w:line="6" w:lineRule="exact"/>
        <w:rPr>
          <w:rFonts w:ascii="Arial" w:cs="Arial" w:eastAsia="Arial" w:hAnsi="Arial"/>
          <w:sz w:val="16"/>
          <w:szCs w:val="16"/>
          <w:color w:val="auto"/>
        </w:rPr>
      </w:pPr>
    </w:p>
    <w:p>
      <w:pPr>
        <w:ind w:left="920" w:hanging="264"/>
        <w:spacing w:after="0"/>
        <w:tabs>
          <w:tab w:leader="none" w:pos="9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commissions, discounts, yield, and other fees and charges (including any interest expense) related to any Receivables Facility); less</w:t>
      </w:r>
    </w:p>
    <w:p>
      <w:pPr>
        <w:spacing w:after="0" w:line="222" w:lineRule="exact"/>
        <w:rPr>
          <w:rFonts w:ascii="Arial" w:cs="Arial" w:eastAsia="Arial" w:hAnsi="Arial"/>
          <w:sz w:val="17"/>
          <w:szCs w:val="17"/>
          <w:color w:val="auto"/>
        </w:rPr>
      </w:pPr>
    </w:p>
    <w:p>
      <w:pPr>
        <w:ind w:left="2600" w:hanging="404"/>
        <w:spacing w:after="0"/>
        <w:tabs>
          <w:tab w:leader="none" w:pos="26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cash interest income for such period.</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814" w:right="239" w:bottom="1440" w:gutter="0" w:footer="0" w:header="0"/>
        </w:sectPr>
      </w:pPr>
    </w:p>
    <w:bookmarkStart w:id="95" w:name="page96"/>
    <w:bookmarkEnd w:id="95"/>
    <w:p>
      <w:pPr>
        <w:ind w:firstLine="648"/>
        <w:spacing w:after="0" w:line="277" w:lineRule="auto"/>
        <w:rPr>
          <w:sz w:val="20"/>
          <w:szCs w:val="20"/>
          <w:color w:val="auto"/>
        </w:rPr>
      </w:pPr>
      <w:r>
        <w:rPr>
          <w:rFonts w:ascii="Arial" w:cs="Arial" w:eastAsia="Arial" w:hAnsi="Arial"/>
          <w:sz w:val="18"/>
          <w:szCs w:val="18"/>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166" w:lineRule="exact"/>
        <w:rPr>
          <w:sz w:val="20"/>
          <w:szCs w:val="20"/>
          <w:color w:val="auto"/>
        </w:rPr>
      </w:pPr>
    </w:p>
    <w:p>
      <w:pPr>
        <w:ind w:right="3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Income</w:t>
      </w:r>
      <w:r>
        <w:rPr>
          <w:rFonts w:ascii="Arial" w:cs="Arial" w:eastAsia="Arial" w:hAnsi="Arial"/>
          <w:sz w:val="16"/>
          <w:szCs w:val="16"/>
          <w:color w:val="auto"/>
        </w:rPr>
        <w:t xml:space="preserve">” shall mean, with respect to any Person for any period, the aggregate of the Net Income, of such Person and its Restricted Subsidiaries for such period, on a consolidated basis, and otherwise determined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duplication,</w:t>
      </w:r>
    </w:p>
    <w:p>
      <w:pPr>
        <w:spacing w:after="0" w:line="120" w:lineRule="exact"/>
        <w:rPr>
          <w:sz w:val="20"/>
          <w:szCs w:val="20"/>
          <w:color w:val="auto"/>
        </w:rPr>
      </w:pPr>
    </w:p>
    <w:p>
      <w:pPr>
        <w:ind w:left="660" w:right="160" w:firstLine="1536"/>
        <w:spacing w:after="0" w:line="276" w:lineRule="auto"/>
        <w:tabs>
          <w:tab w:leader="none" w:pos="255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after-tax effect of extraordinary, non-recurring, or unusual gains or losses (less all fees and expenses relating thereto) or expenses (including relating to the Transactions), severance, relocation costs, curtailments, or modifications to pension and post-retirement employee benefits plans, start-up, transition, integration, and other restructuring and business optimization costs, charges, reserves, or expenses (including related to acquisitions after the Restatement Effective Date and to the start-up, closure, and/or consolidation of facilities), new product introductions, and one-time compensation charges shall be excluded,</w:t>
      </w:r>
    </w:p>
    <w:p>
      <w:pPr>
        <w:spacing w:after="0" w:line="172" w:lineRule="exact"/>
        <w:rPr>
          <w:rFonts w:ascii="Arial" w:cs="Arial" w:eastAsia="Arial" w:hAnsi="Arial"/>
          <w:sz w:val="17"/>
          <w:szCs w:val="17"/>
          <w:color w:val="auto"/>
        </w:rPr>
      </w:pPr>
    </w:p>
    <w:p>
      <w:pPr>
        <w:ind w:left="660" w:right="20" w:firstLine="1536"/>
        <w:spacing w:after="0" w:line="277" w:lineRule="auto"/>
        <w:tabs>
          <w:tab w:leader="none" w:pos="2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Net Income for such period shall not include the cumulative effect of a change in accounting principles and changes as a result of the adoption or modification of accounting policies during such period,</w:t>
      </w:r>
    </w:p>
    <w:p>
      <w:pPr>
        <w:spacing w:after="0" w:line="170" w:lineRule="exact"/>
        <w:rPr>
          <w:rFonts w:ascii="Arial" w:cs="Arial" w:eastAsia="Arial" w:hAnsi="Arial"/>
          <w:sz w:val="18"/>
          <w:szCs w:val="18"/>
          <w:color w:val="auto"/>
        </w:rPr>
      </w:pPr>
    </w:p>
    <w:p>
      <w:pPr>
        <w:ind w:left="2640" w:hanging="444"/>
        <w:spacing w:after="0"/>
        <w:tabs>
          <w:tab w:leader="none" w:pos="2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net after-tax gains or losses on disposal of disposed, abandoned, transferred, closed, or discontinued operations 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Stores shall be excluded,</w:t>
      </w:r>
    </w:p>
    <w:p>
      <w:pPr>
        <w:spacing w:after="0" w:line="210" w:lineRule="exact"/>
        <w:rPr>
          <w:rFonts w:ascii="Arial" w:cs="Arial" w:eastAsia="Arial" w:hAnsi="Arial"/>
          <w:sz w:val="16"/>
          <w:szCs w:val="16"/>
          <w:color w:val="auto"/>
        </w:rPr>
      </w:pPr>
    </w:p>
    <w:p>
      <w:pPr>
        <w:ind w:left="660" w:right="320" w:firstLine="1536"/>
        <w:spacing w:after="0" w:line="342" w:lineRule="auto"/>
        <w:tabs>
          <w:tab w:leader="none" w:pos="2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after-tax effect of gains or losses (less all fees and expenses relating thereto) attributable to asset dispositions or abandonments other than in the ordinary course of business, as determined in good faith by the board of directors of Holdings, shall be excluded,</w:t>
      </w:r>
    </w:p>
    <w:p>
      <w:pPr>
        <w:spacing w:after="0" w:line="123" w:lineRule="exact"/>
        <w:rPr>
          <w:rFonts w:ascii="Arial" w:cs="Arial" w:eastAsia="Arial" w:hAnsi="Arial"/>
          <w:sz w:val="16"/>
          <w:szCs w:val="16"/>
          <w:color w:val="auto"/>
        </w:rPr>
      </w:pPr>
    </w:p>
    <w:p>
      <w:pPr>
        <w:ind w:left="660" w:right="20" w:firstLine="1536"/>
        <w:spacing w:after="0" w:line="259" w:lineRule="auto"/>
        <w:tabs>
          <w:tab w:leader="none" w:pos="259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Net Income for such period of any Person that is not a Subsidiary, or is an Unrestricted Subsidiary, or that is accounted for by the equity method of accounting, shall be excluded;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Consolidated Net Income of Holdings shall be increased by the amount of dividends or distributions or other payments that are actually paid in cash (or to the extent converted into cash or Cash Equivalents) to the referent Person or a Restricted Subsidiary thereof in respect of such period,</w:t>
      </w:r>
    </w:p>
    <w:p>
      <w:pPr>
        <w:spacing w:after="0" w:line="186" w:lineRule="exact"/>
        <w:rPr>
          <w:rFonts w:ascii="Arial" w:cs="Arial" w:eastAsia="Arial" w:hAnsi="Arial"/>
          <w:sz w:val="18"/>
          <w:szCs w:val="18"/>
          <w:color w:val="auto"/>
        </w:rPr>
      </w:pPr>
    </w:p>
    <w:p>
      <w:pPr>
        <w:ind w:left="660" w:right="60" w:firstLine="1536"/>
        <w:spacing w:after="0" w:line="269" w:lineRule="auto"/>
        <w:tabs>
          <w:tab w:leader="none" w:pos="2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solely for the purpose of determining the amount available for Restricted Payments under </w:t>
      </w:r>
      <w:r>
        <w:rPr>
          <w:rFonts w:ascii="Arial" w:cs="Arial" w:eastAsia="Arial" w:hAnsi="Arial"/>
          <w:sz w:val="17"/>
          <w:szCs w:val="17"/>
          <w:u w:val="single" w:color="auto"/>
          <w:color w:val="auto"/>
        </w:rPr>
        <w:t>clause (iii)(A)</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the Net Income for such period of any Restricted Subsidiary (other than any Guarantor) shall be excluded to the extent the declaration or payment of dividends or similar distributions by that Restricted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stockholders, unless such restriction with respect to the payment of dividends or similar distributions (a) has been legally waived, or otherwise released, (b) is imposed pursuant to this Agreement and other Credit Documents, Incremental Loans, or Permitted Other Indebtedness, or (c) arises pursuant to an agreement or instrument if the encumbrances and restrictions contained in any such agreement or instrument taken as a whole are not materially less favorable to the Secured Parties than the encumbrances and restrictions contained in the Credit Documents (as determined by the Borrower in good faith);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Consolidated Net Income of the referent Person will be increased by the amount of dividends or other distributions or other payments actually paid in cash (or to the extent converted into cash) or Cash Equivalents to such Person or a Restricted Subsidiary in respect of such period, to the extent not already included therein,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814" w:right="239" w:bottom="1440" w:gutter="0" w:footer="0" w:header="0"/>
        </w:sectPr>
      </w:pPr>
    </w:p>
    <w:bookmarkStart w:id="96" w:name="page97"/>
    <w:bookmarkEnd w:id="96"/>
    <w:p>
      <w:pPr>
        <w:ind w:left="-540" w:right="80" w:firstLine="1536"/>
        <w:spacing w:after="0" w:line="255" w:lineRule="auto"/>
        <w:tabs>
          <w:tab w:leader="none" w:pos="149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effects of adjustments (including the effects of such adjustments pushed down to Holdings and the Restricted Subsidiaries) in any line item in such Person’s consolidated financial statements required or permitted by Financial Accounting Standards Codification Topic 805 – Business Combinations and Topic 350 – Intangibles-Goodwill and Other (ASC 805 and ASC 350) (formerly Financial Accounting Standards Board Statement Nos. 141 and 142, respectively) resulting from the application of purchase accounting, including in relation to the Original Transactions and any acquisition that is consummated after the Closing Date or the amortization or write-off of any amounts thereof, net of taxes, shall be excluded,</w:t>
      </w:r>
    </w:p>
    <w:p>
      <w:pPr>
        <w:spacing w:after="0" w:line="193" w:lineRule="exact"/>
        <w:rPr>
          <w:rFonts w:ascii="Arial" w:cs="Arial" w:eastAsia="Arial" w:hAnsi="Arial"/>
          <w:sz w:val="18"/>
          <w:szCs w:val="18"/>
          <w:color w:val="auto"/>
        </w:rPr>
      </w:pPr>
    </w:p>
    <w:p>
      <w:pPr>
        <w:ind w:left="-540" w:right="60" w:firstLine="1536"/>
        <w:spacing w:after="0" w:line="276" w:lineRule="auto"/>
        <w:tabs>
          <w:tab w:leader="none" w:pos="1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any after-tax effect of income (loss) from the early extinguishment of Indebtedness or Hedging Obligations or other derivative instruments (including deferred financing costs written off and premiums paid), (b) any non-cash income (or loss) related to currency gains or losses related to Indebtedness, intercompany balances, and other balance sheet items and to Hedging Obligations pursuant to ASC 815 (or such successor provision), and (c) any non-cash expense, income, or loss attributable to the movement in mark to market valuation of foreign currencies, Indebtedness, or derivative instruments pursuant to GAAP, shall be excluded,</w:t>
      </w:r>
    </w:p>
    <w:p>
      <w:pPr>
        <w:spacing w:after="0" w:line="172" w:lineRule="exact"/>
        <w:rPr>
          <w:rFonts w:ascii="Arial" w:cs="Arial" w:eastAsia="Arial" w:hAnsi="Arial"/>
          <w:sz w:val="17"/>
          <w:szCs w:val="17"/>
          <w:color w:val="auto"/>
        </w:rPr>
      </w:pPr>
    </w:p>
    <w:p>
      <w:pPr>
        <w:ind w:left="-540" w:right="280" w:firstLine="1536"/>
        <w:spacing w:after="0" w:line="286" w:lineRule="auto"/>
        <w:tabs>
          <w:tab w:leader="none" w:pos="14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impairment charge, asset write-off, or write-down pursuant to ASC 350 and Financial Accounting Standards Codification Topic 360 – Impairment and Disposal of Long-Lived Assets (ASC 360) (formerly Financial Accounting Standards Board Statement Nos. 142 and 144, respectively) and the amortization of intangibles arising pursuant to ASC 805 shall be excluded,</w:t>
      </w:r>
    </w:p>
    <w:p>
      <w:pPr>
        <w:spacing w:after="0" w:line="165" w:lineRule="exact"/>
        <w:rPr>
          <w:rFonts w:ascii="Arial" w:cs="Arial" w:eastAsia="Arial" w:hAnsi="Arial"/>
          <w:sz w:val="17"/>
          <w:szCs w:val="17"/>
          <w:color w:val="auto"/>
        </w:rPr>
      </w:pPr>
    </w:p>
    <w:p>
      <w:pPr>
        <w:jc w:val="both"/>
        <w:ind w:left="-540" w:right="380" w:firstLine="1536"/>
        <w:spacing w:after="0" w:line="264" w:lineRule="auto"/>
        <w:tabs>
          <w:tab w:leader="none" w:pos="139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any non-cash compensation expense recorded from grants of stock appreciation or similar rights, phantom equity, stock options units, restricted stock, or other rights to officers, directors, managers, or employees and (b) non-cash income (loss) attributable to deferred compensation plans or trusts, shall be excluded,</w:t>
      </w:r>
    </w:p>
    <w:p>
      <w:pPr>
        <w:spacing w:after="0" w:line="181" w:lineRule="exact"/>
        <w:rPr>
          <w:rFonts w:ascii="Arial" w:cs="Arial" w:eastAsia="Arial" w:hAnsi="Arial"/>
          <w:sz w:val="18"/>
          <w:szCs w:val="18"/>
          <w:color w:val="auto"/>
        </w:rPr>
      </w:pPr>
    </w:p>
    <w:p>
      <w:pPr>
        <w:ind w:left="-540" w:right="60" w:firstLine="1536"/>
        <w:spacing w:after="0" w:line="257" w:lineRule="auto"/>
        <w:tabs>
          <w:tab w:leader="none" w:pos="1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fees and expenses incurred during such period, or any amortization thereof for such period, in connection with any acquisition, Investment, recapitalization, Asset Sale, issuance, or repayment of Indebtedness, issuance of Equity Interests, refinancing transaction or amendment or modification of any debt instrument (in each case, including any such transaction consummated prior to the Restatement Effective Date and any such transaction undertaken but not completed) and any charges or non-recurring merger costs incurred during such period as a result of any such transaction shall be excluded,</w:t>
      </w:r>
    </w:p>
    <w:p>
      <w:pPr>
        <w:spacing w:after="0" w:line="188" w:lineRule="exact"/>
        <w:rPr>
          <w:rFonts w:ascii="Arial" w:cs="Arial" w:eastAsia="Arial" w:hAnsi="Arial"/>
          <w:sz w:val="18"/>
          <w:szCs w:val="18"/>
          <w:color w:val="auto"/>
        </w:rPr>
      </w:pPr>
    </w:p>
    <w:p>
      <w:pPr>
        <w:ind w:left="-540" w:right="160" w:firstLine="1536"/>
        <w:spacing w:after="0" w:line="264" w:lineRule="auto"/>
        <w:tabs>
          <w:tab w:leader="none" w:pos="149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accruals and reserves (including contingent liabilities) that were established or adjusted within twelve months after the Closing Date that were so required to be established as a result of the Original Transactions in accordance with GAAP, or changes as a result of adoption or modification of accounting policies, shall be excluded,</w:t>
      </w:r>
    </w:p>
    <w:p>
      <w:pPr>
        <w:spacing w:after="0" w:line="181" w:lineRule="exact"/>
        <w:rPr>
          <w:rFonts w:ascii="Arial" w:cs="Arial" w:eastAsia="Arial" w:hAnsi="Arial"/>
          <w:sz w:val="18"/>
          <w:szCs w:val="18"/>
          <w:color w:val="auto"/>
        </w:rPr>
      </w:pPr>
    </w:p>
    <w:p>
      <w:pPr>
        <w:ind w:left="-540" w:right="20" w:firstLine="1536"/>
        <w:spacing w:after="0" w:line="297" w:lineRule="auto"/>
        <w:tabs>
          <w:tab w:leader="none" w:pos="1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the extent covered by insurance or indemnification and actually reimbursed, or, so long as the Borrower has made a determination that there exists reasonable evidence that such amount will in fact be reimbursed by the insurer or indemnifying party and only to the extent that such amount is (a) not denied by the applicable carrier or indemnifying party in writing within 180 days and (b) in fact reimbursed within 365 days of the date of the determination by Borrower that there exists such evidence (with a deduction for any amount so added back to the extent not so reimbursed within 365 days), losses and expenses with respect to liability or casualty events or business interruption shall be excluded,</w:t>
      </w:r>
    </w:p>
    <w:p>
      <w:pPr>
        <w:spacing w:after="0" w:line="158" w:lineRule="exact"/>
        <w:rPr>
          <w:rFonts w:ascii="Arial" w:cs="Arial" w:eastAsia="Arial" w:hAnsi="Arial"/>
          <w:sz w:val="16"/>
          <w:szCs w:val="16"/>
          <w:color w:val="auto"/>
        </w:rPr>
      </w:pPr>
    </w:p>
    <w:p>
      <w:pPr>
        <w:ind w:left="-540" w:firstLine="1536"/>
        <w:spacing w:after="0" w:line="277" w:lineRule="auto"/>
        <w:tabs>
          <w:tab w:leader="none" w:pos="15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deferred tax expense associated with tax deductions or net operating losses arising as a result of the Transactions, or the release of any valuation allowance related to such items, shall be excluded,</w:t>
      </w:r>
    </w:p>
    <w:p>
      <w:pPr>
        <w:spacing w:after="0" w:line="170" w:lineRule="exact"/>
        <w:rPr>
          <w:rFonts w:ascii="Arial" w:cs="Arial" w:eastAsia="Arial" w:hAnsi="Arial"/>
          <w:sz w:val="18"/>
          <w:szCs w:val="18"/>
          <w:color w:val="auto"/>
        </w:rPr>
      </w:pPr>
    </w:p>
    <w:p>
      <w:pPr>
        <w:ind w:left="-540" w:right="120" w:firstLine="1536"/>
        <w:spacing w:after="0" w:line="277" w:lineRule="auto"/>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costs or expenses incurred during such period relating to environmental remediation, litigation, or other disputes in respect of events and exposures that occurred prior to the Closing Date shall be excluded, and</w:t>
      </w:r>
    </w:p>
    <w:p>
      <w:pPr>
        <w:spacing w:after="0" w:line="200" w:lineRule="exact"/>
        <w:rPr>
          <w:sz w:val="20"/>
          <w:szCs w:val="20"/>
          <w:color w:val="auto"/>
        </w:rPr>
      </w:pPr>
    </w:p>
    <w:p>
      <w:pPr>
        <w:spacing w:after="0" w:line="211"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0180"/>
          </w:cols>
          <w:pgMar w:left="1440" w:top="814" w:right="279" w:bottom="1440" w:gutter="0" w:footer="0" w:header="0"/>
        </w:sectPr>
      </w:pPr>
    </w:p>
    <w:bookmarkStart w:id="97" w:name="page98"/>
    <w:bookmarkEnd w:id="97"/>
    <w:p>
      <w:pPr>
        <w:ind w:left="660" w:right="520" w:firstLine="1536"/>
        <w:spacing w:after="0" w:line="277" w:lineRule="auto"/>
        <w:tabs>
          <w:tab w:leader="none" w:pos="282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net increase or decrease in deferred revenue from the sale of Eye Care Club memberships, product warranty programs and other programs providing deferred revenue shall be excluded.</w:t>
      </w:r>
    </w:p>
    <w:p>
      <w:pPr>
        <w:spacing w:after="0" w:line="166"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Total Assets</w:t>
      </w:r>
      <w:r>
        <w:rPr>
          <w:rFonts w:ascii="Arial" w:cs="Arial" w:eastAsia="Arial" w:hAnsi="Arial"/>
          <w:sz w:val="16"/>
          <w:szCs w:val="16"/>
          <w:color w:val="auto"/>
        </w:rPr>
        <w:t>” shall mean, as of any date of determination, the amount that would, in conformity with GAAP, be set forth opposite the caption “total assets” (or any like caption) on the most recent consolidated balance sheet of Holdings and the Restricted Subsidiaries at such date.</w:t>
      </w:r>
    </w:p>
    <w:p>
      <w:pPr>
        <w:spacing w:after="0" w:line="116" w:lineRule="exact"/>
        <w:rPr>
          <w:sz w:val="20"/>
          <w:szCs w:val="20"/>
          <w:color w:val="auto"/>
        </w:rPr>
      </w:pPr>
    </w:p>
    <w:p>
      <w:pPr>
        <w:ind w:right="40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Total Debt</w:t>
      </w:r>
      <w:r>
        <w:rPr>
          <w:rFonts w:ascii="Arial" w:cs="Arial" w:eastAsia="Arial" w:hAnsi="Arial"/>
          <w:sz w:val="16"/>
          <w:szCs w:val="16"/>
          <w:color w:val="auto"/>
        </w:rPr>
        <w:t xml:space="preserve">” shall mean, as at any date of determination, an amount equal to the sum of the aggregate amount of all outstanding Indebtedness of Holdings and the Restricted Subsidiaries on a consolidated basis consisting of third-party Indebtedness for borrowed money, Capitalized Lease Obligations and debt obligations evidenced by promissory notes and similar instruments (and excluding, for the avoidance of doubt, Hedging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Consolidated Total Debt shall not include Letters of Credit, except to the extent of Unpaid Drawings thereunder.</w:t>
      </w:r>
    </w:p>
    <w:p>
      <w:pPr>
        <w:spacing w:after="0" w:line="151"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Total Debt to Consolidated EBITDA Ratio</w:t>
      </w:r>
      <w:r>
        <w:rPr>
          <w:rFonts w:ascii="Arial" w:cs="Arial" w:eastAsia="Arial" w:hAnsi="Arial"/>
          <w:sz w:val="17"/>
          <w:szCs w:val="17"/>
          <w:color w:val="auto"/>
        </w:rPr>
        <w:t xml:space="preserve">” shall mean, as of any date of determination, the ratio of (i) Consolidated Total Debt as of such date of determination, </w:t>
      </w:r>
      <w:r>
        <w:rPr>
          <w:rFonts w:ascii="Arial" w:cs="Arial" w:eastAsia="Arial" w:hAnsi="Arial"/>
          <w:sz w:val="17"/>
          <w:szCs w:val="17"/>
          <w:i w:val="1"/>
          <w:iCs w:val="1"/>
          <w:color w:val="auto"/>
        </w:rPr>
        <w:t>minus</w:t>
      </w:r>
      <w:r>
        <w:rPr>
          <w:rFonts w:ascii="Arial" w:cs="Arial" w:eastAsia="Arial" w:hAnsi="Arial"/>
          <w:sz w:val="17"/>
          <w:szCs w:val="17"/>
          <w:color w:val="auto"/>
        </w:rPr>
        <w:t xml:space="preserve"> cash and cash equivalents (in each case, free and clear of all Liens other than Permitted Liens and with “cash and cash equivalents” determined in accordance with GAAP) of Holdings and the Restricted Subsidiaries (other than the proceeds of any Indebtedness being incurred and giving rise to the need to calculate the Consolidated Total Debt to Consolidated EBITDA Ratio) to (ii) Consolidated EBITDA of Holdings for the Test Period then last ended, in each case with such pro forma adjustments to Consolidated Total Debt and Consolidated EBITDA as are appropriate and consistent with the pro forma adjustment provisions set forth in the definition of “Fixed Charge Coverage Ratio”.</w:t>
      </w:r>
    </w:p>
    <w:p>
      <w:pPr>
        <w:spacing w:after="0" w:line="17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Obligations</w:t>
      </w:r>
      <w:r>
        <w:rPr>
          <w:rFonts w:ascii="Arial" w:cs="Arial" w:eastAsia="Arial" w:hAnsi="Arial"/>
          <w:sz w:val="18"/>
          <w:szCs w:val="18"/>
          <w:color w:val="auto"/>
        </w:rPr>
        <w:t>” shall mean, with respect to any Person, any obligation of such Person guaranteeing any leases, dividends, or other obligations that do not constitute Indebtedness (“</w:t>
      </w:r>
      <w:r>
        <w:rPr>
          <w:rFonts w:ascii="Arial" w:cs="Arial" w:eastAsia="Arial" w:hAnsi="Arial"/>
          <w:sz w:val="18"/>
          <w:szCs w:val="18"/>
          <w:b w:val="1"/>
          <w:bCs w:val="1"/>
          <w:color w:val="auto"/>
        </w:rPr>
        <w:t>primary obligations</w:t>
      </w:r>
      <w:r>
        <w:rPr>
          <w:rFonts w:ascii="Arial" w:cs="Arial" w:eastAsia="Arial" w:hAnsi="Arial"/>
          <w:sz w:val="18"/>
          <w:szCs w:val="18"/>
          <w:color w:val="auto"/>
        </w:rPr>
        <w:t>”) of any other Person (the “</w:t>
      </w:r>
      <w:r>
        <w:rPr>
          <w:rFonts w:ascii="Arial" w:cs="Arial" w:eastAsia="Arial" w:hAnsi="Arial"/>
          <w:sz w:val="18"/>
          <w:szCs w:val="18"/>
          <w:b w:val="1"/>
          <w:bCs w:val="1"/>
          <w:color w:val="auto"/>
        </w:rPr>
        <w:t>primary obligor</w:t>
      </w:r>
      <w:r>
        <w:rPr>
          <w:rFonts w:ascii="Arial" w:cs="Arial" w:eastAsia="Arial" w:hAnsi="Arial"/>
          <w:sz w:val="18"/>
          <w:szCs w:val="18"/>
          <w:color w:val="auto"/>
        </w:rPr>
        <w:t>”) in any manner, whether directly or indirectly, including, without limitation,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or (iii) to purchase property, securities, or services primarily for the purpose of assuring the owner of any such primary obligation of the ability of the primary obligor to make payment of such primary obligation against loss in respect thereof.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Requirement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Converted Restricted Subsidiary</w:t>
      </w:r>
      <w:r>
        <w:rPr>
          <w:rFonts w:ascii="Arial" w:cs="Arial" w:eastAsia="Arial" w:hAnsi="Arial"/>
          <w:sz w:val="18"/>
          <w:szCs w:val="18"/>
          <w:color w:val="auto"/>
        </w:rPr>
        <w:t>” shall have the meaning provided in the definition of the term “Consolidated EBITDA”.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Converted Unrestricted Subsidiary</w:t>
      </w:r>
      <w:r>
        <w:rPr>
          <w:rFonts w:ascii="Arial" w:cs="Arial" w:eastAsia="Arial" w:hAnsi="Arial"/>
          <w:sz w:val="18"/>
          <w:szCs w:val="18"/>
          <w:color w:val="auto"/>
        </w:rPr>
        <w:t>” shall have the meaning provided in the definition of the term “Consolidated EBITDA”.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Counterparty</w:t>
      </w:r>
      <w:r>
        <w:rPr>
          <w:rFonts w:ascii="Arial" w:cs="Arial" w:eastAsia="Arial" w:hAnsi="Arial"/>
          <w:sz w:val="18"/>
          <w:szCs w:val="18"/>
          <w:color w:val="auto"/>
        </w:rPr>
        <w:t>” shall mean a Person other than a retail customer.</w:t>
      </w:r>
    </w:p>
    <w:p>
      <w:pPr>
        <w:spacing w:after="0" w:line="22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Documents</w:t>
      </w:r>
      <w:r>
        <w:rPr>
          <w:rFonts w:ascii="Arial" w:cs="Arial" w:eastAsia="Arial" w:hAnsi="Arial"/>
          <w:sz w:val="18"/>
          <w:szCs w:val="18"/>
          <w:color w:val="auto"/>
        </w:rPr>
        <w:t>” shall mean this Agreement, the Restatement Agreement, each Joinder Agreement, the Guarantees, the Security Documents, and any promissory notes issued by the Borrower pursuant 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Event</w:t>
      </w:r>
      <w:r>
        <w:rPr>
          <w:rFonts w:ascii="Arial" w:cs="Arial" w:eastAsia="Arial" w:hAnsi="Arial"/>
          <w:sz w:val="17"/>
          <w:szCs w:val="17"/>
          <w:color w:val="auto"/>
        </w:rPr>
        <w:t>” shall mean and include the making (but not the conversion or continuation) of a Loan and the issuance of a Letter of Credit.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Facilities</w:t>
      </w:r>
      <w:r>
        <w:rPr>
          <w:rFonts w:ascii="Arial" w:cs="Arial" w:eastAsia="Arial" w:hAnsi="Arial"/>
          <w:sz w:val="18"/>
          <w:szCs w:val="18"/>
          <w:color w:val="auto"/>
        </w:rPr>
        <w:t>” shall mean, collectively, each category of Commitments and each extension of credit 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w:t>
      </w:r>
      <w:r>
        <w:rPr>
          <w:rFonts w:ascii="Arial" w:cs="Arial" w:eastAsia="Arial" w:hAnsi="Arial"/>
          <w:sz w:val="18"/>
          <w:szCs w:val="18"/>
          <w:color w:val="auto"/>
        </w:rPr>
        <w:t>” shall mean a category of Commitments and extensions of credit thereunder.</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814" w:right="239" w:bottom="1440" w:gutter="0" w:footer="0" w:header="0"/>
        </w:sectPr>
      </w:pPr>
    </w:p>
    <w:bookmarkStart w:id="98" w:name="page99"/>
    <w:bookmarkEnd w:id="9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Party</w:t>
      </w:r>
      <w:r>
        <w:rPr>
          <w:rFonts w:ascii="Arial" w:cs="Arial" w:eastAsia="Arial" w:hAnsi="Arial"/>
          <w:sz w:val="18"/>
          <w:szCs w:val="18"/>
          <w:color w:val="auto"/>
        </w:rPr>
        <w:t>” shall mean Holdings, the Borrower, and the other Guarantors.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 Right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Incurrence Prepayment Event</w:t>
      </w:r>
      <w:r>
        <w:rPr>
          <w:rFonts w:ascii="Arial" w:cs="Arial" w:eastAsia="Arial" w:hAnsi="Arial"/>
          <w:sz w:val="18"/>
          <w:szCs w:val="18"/>
          <w:color w:val="auto"/>
        </w:rPr>
        <w:t xml:space="preserve">” shall mean any issuance or incurrence by Holdings or any of the Restricted Subsidiaries of any Indebtedness (excluding any Indebtedness permitted to be issued or incurred under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10.1(w)(i))</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Declined Proceeds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5.2(f)</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shall mean any event, act, or condition that with notice or lapse of time, or both, would constitute an Event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2.8(c)</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shall mean any Lender whose acts or failure to act, whether directly or indirectly, cause it to meet any part of the definition of “Lender Default”.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Net Cash Proceeds</w:t>
      </w:r>
      <w:r>
        <w:rPr>
          <w:rFonts w:ascii="Arial" w:cs="Arial" w:eastAsia="Arial" w:hAnsi="Arial"/>
          <w:sz w:val="18"/>
          <w:szCs w:val="18"/>
          <w:color w:val="auto"/>
        </w:rPr>
        <w:t>” shall have the meaning provided such term in the definition of “Net Cash Proceeds”.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Net Cash Proceeds Payment Date</w:t>
      </w:r>
      <w:r>
        <w:rPr>
          <w:rFonts w:ascii="Arial" w:cs="Arial" w:eastAsia="Arial" w:hAnsi="Arial"/>
          <w:sz w:val="18"/>
          <w:szCs w:val="18"/>
          <w:color w:val="auto"/>
        </w:rPr>
        <w:t>” shall have the meaning provided such term in the definition of “Net Cash Proceeds”.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Jurisdiction</w:t>
      </w:r>
      <w:r>
        <w:rPr>
          <w:rFonts w:ascii="Arial" w:cs="Arial" w:eastAsia="Arial" w:hAnsi="Arial"/>
          <w:sz w:val="16"/>
          <w:szCs w:val="16"/>
          <w:color w:val="auto"/>
        </w:rPr>
        <w:t>” shall mean any country, region or territory to the extent that such country or territory itself is the subject of any Sanction.</w:t>
      </w:r>
    </w:p>
    <w:p>
      <w:pPr>
        <w:spacing w:after="0" w:line="248"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Designated Non-Cash Consideration</w:t>
      </w:r>
      <w:r>
        <w:rPr>
          <w:rFonts w:ascii="Arial" w:cs="Arial" w:eastAsia="Arial" w:hAnsi="Arial"/>
          <w:sz w:val="17"/>
          <w:szCs w:val="17"/>
          <w:color w:val="auto"/>
        </w:rPr>
        <w:t xml:space="preserve">” shall mean the Fair Market Value of non-cash consideration received by Holdings or a Restricted Subsidiary in connection with an Asset Sale that is so designated as Designated Non-Cash Consideration pursuant to a certificate of an Authorized Officer of Holdings or the Borrower, setting forth the basis of such valuation, executed by either a senior vice president or the principal financial officer of Holdings or the Borrower, less the amount of cash or Cash Equivalents received in connection with a subsequent sale of or collection on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w:t>
      </w:r>
      <w:r>
        <w:rPr>
          <w:rFonts w:ascii="Arial" w:cs="Arial" w:eastAsia="Arial" w:hAnsi="Arial"/>
          <w:sz w:val="17"/>
          <w:szCs w:val="17"/>
          <w:u w:val="single" w:color="auto"/>
          <w:color w:val="auto"/>
        </w:rPr>
        <w:t>Section 10.4</w:t>
      </w:r>
      <w:r>
        <w:rPr>
          <w:rFonts w:ascii="Arial" w:cs="Arial" w:eastAsia="Arial" w:hAnsi="Arial"/>
          <w:sz w:val="17"/>
          <w:szCs w:val="17"/>
          <w:color w:val="auto"/>
        </w:rPr>
        <w:t>.</w:t>
      </w:r>
    </w:p>
    <w:p>
      <w:pPr>
        <w:spacing w:after="0" w:line="174"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Preferred Stock</w:t>
      </w:r>
      <w:r>
        <w:rPr>
          <w:rFonts w:ascii="Arial" w:cs="Arial" w:eastAsia="Arial" w:hAnsi="Arial"/>
          <w:sz w:val="18"/>
          <w:szCs w:val="18"/>
          <w:color w:val="auto"/>
        </w:rPr>
        <w:t xml:space="preserve">” shall mean preferred stock of Holdings or any direct or indirect parent company of Holdings (in each case other than Disqualified Stock) that is issued for cash (other than to a Restricted Subsidiary or an employee stock ownership plan or trust established by Holdings or any of its Subsidiaries) and is so designated as Designated Preferred Stock, pursuant to an officer’s certificate executed by the principal financial officer of Holdings or the parent company thereof, as the case may be, on the issuance date thereof, the cash proceeds of which are excluded from the calculation set forth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184"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Disposed EBITDA</w:t>
      </w:r>
      <w:r>
        <w:rPr>
          <w:rFonts w:ascii="Arial" w:cs="Arial" w:eastAsia="Arial" w:hAnsi="Arial"/>
          <w:sz w:val="18"/>
          <w:szCs w:val="18"/>
          <w:color w:val="auto"/>
        </w:rPr>
        <w:t>” shall mean, with respect to any Sold Entity or Business or any Converted Unrestricted Subsidiary for any period, the amount for such period of Consolidated EBITDA of such Sold Entity or Business or Converted Unrestricted Subsidiary (determined as if references to Holdings and the Restricted Subsidiaries in the definition of “Consolidated EBITDA” were references to such Sold Entity or Business or Converted Unrestricted Subsidiary and its respective Subsidiaries), all as determined on a consolidated basis for such Sold Entity or Business or Converted Unrestricted Subsidiary, as the case may be.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w:t>
      </w:r>
      <w:r>
        <w:rPr>
          <w:rFonts w:ascii="Arial" w:cs="Arial" w:eastAsia="Arial" w:hAnsi="Arial"/>
          <w:sz w:val="18"/>
          <w:szCs w:val="18"/>
          <w:color w:val="auto"/>
        </w:rPr>
        <w:t xml:space="preserve">” shall have the meaning assigned such term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the definition of “Asset Sale”.</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810" w:right="239" w:bottom="1440" w:gutter="0" w:footer="0" w:header="0"/>
        </w:sectPr>
      </w:pPr>
    </w:p>
    <w:bookmarkStart w:id="99" w:name="page100"/>
    <w:bookmarkEnd w:id="99"/>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Disqualified Lenders</w:t>
      </w:r>
      <w:r>
        <w:rPr>
          <w:rFonts w:ascii="Arial" w:cs="Arial" w:eastAsia="Arial" w:hAnsi="Arial"/>
          <w:sz w:val="17"/>
          <w:szCs w:val="17"/>
          <w:color w:val="auto"/>
        </w:rPr>
        <w:t xml:space="preserve">” shall mean such Persons (i) that have been specified in writing to the Administrative Agent and the Joint Lead Arrangers and Bookrunners prior to the commencement of “primary syndication” as being Disqualified Lenders, (ii) who are competitors of Holdings and its Subsidiaries that are separately identified in writing by the Borrower to the Administrative Agent from time to time, and (iii) in the case of each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any of their Affiliates (other than any such Affiliate that is affiliated with a financial investor in such Person and that is not itself an operating company or otherwise an Affiliate of an operating company so long as such Affiliate is a bona fide Fund) that are either (a) identified in writing by the Borrower to the Administrative Agent from time to time or (b) clearly identifiable on the basis of such Affiliate’s name. The Administrative Agent shall have the right, and the Borrower hereby expressly authorizes the Administrative Agent, to (A) post the list of Disqualified Lenders provided by the Borrower and any updates thereto from time to time (collectively, the “</w:t>
      </w:r>
      <w:r>
        <w:rPr>
          <w:rFonts w:ascii="Arial" w:cs="Arial" w:eastAsia="Arial" w:hAnsi="Arial"/>
          <w:sz w:val="17"/>
          <w:szCs w:val="17"/>
          <w:b w:val="1"/>
          <w:bCs w:val="1"/>
          <w:color w:val="auto"/>
        </w:rPr>
        <w:t>DQ List</w:t>
      </w:r>
      <w:r>
        <w:rPr>
          <w:rFonts w:ascii="Arial" w:cs="Arial" w:eastAsia="Arial" w:hAnsi="Arial"/>
          <w:sz w:val="17"/>
          <w:szCs w:val="17"/>
          <w:color w:val="auto"/>
        </w:rPr>
        <w:t xml:space="preserve">”) on the Platform, including that portion of the Platform that is designated for “public side” Lenders or (B) provide the DQ List to each Lender requesting the same, it being understood that the DQ List may be disclosed to any assignee or Participant or prospective assignee or Participant, subject to Section </w:t>
      </w:r>
      <w:r>
        <w:rPr>
          <w:rFonts w:ascii="Arial" w:cs="Arial" w:eastAsia="Arial" w:hAnsi="Arial"/>
          <w:sz w:val="17"/>
          <w:szCs w:val="17"/>
          <w:u w:val="single" w:color="auto"/>
          <w:color w:val="auto"/>
        </w:rPr>
        <w:t>13.16</w:t>
      </w:r>
      <w:r>
        <w:rPr>
          <w:rFonts w:ascii="Arial" w:cs="Arial" w:eastAsia="Arial" w:hAnsi="Arial"/>
          <w:sz w:val="17"/>
          <w:szCs w:val="17"/>
          <w:color w:val="auto"/>
        </w:rPr>
        <w:t>.</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Disqualified Stock</w:t>
      </w:r>
      <w:r>
        <w:rPr>
          <w:rFonts w:ascii="Arial" w:cs="Arial" w:eastAsia="Arial" w:hAnsi="Arial"/>
          <w:sz w:val="17"/>
          <w:szCs w:val="17"/>
          <w:color w:val="auto"/>
        </w:rPr>
        <w:t xml:space="preserve">” shall mean, with respect to any Person, any Capital Stock of such Person which, by its terms, or by the terms of any security into which it is convertible or for which it is putable or exchangeable, or upon the happening of any event, matures or is mandatorily redeemable (other than solely for Qualified Stock), other than as a result of a change of control, asset sale, or similar event, pursuant to a sinking fund obligation or otherwise, or is redeemable at the option of the holder thereof (other than solely for Qualified Stock), other than as a result of a change of control, asset sale, or similar event, in whole or in part, in each case, prior to the date that is 91 days after the Latest Term Loan Maturity Date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Capital Stock is issued to any plan for the benefit of employees of Holdings or its Subsidiaries or by any such plan to such employees, such Capital Stock shall not constitute Disqualified Stock solely because it may be required to be repurchased by Holdings or its Subsidiaries in order to satisfy applicable statutory or regulatory obligations or as a result of such employee’s termination, death, or disability.</w:t>
      </w:r>
    </w:p>
    <w:p>
      <w:pPr>
        <w:spacing w:after="0" w:line="172"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Documentation Agents</w:t>
      </w:r>
      <w:r>
        <w:rPr>
          <w:rFonts w:ascii="Arial" w:cs="Arial" w:eastAsia="Arial" w:hAnsi="Arial"/>
          <w:sz w:val="18"/>
          <w:szCs w:val="18"/>
          <w:color w:val="auto"/>
        </w:rPr>
        <w:t>” shall mean Fifth Third Bank and SunTrust Bank, as documentation agents for the Lenders under this Agreement and the other Credit Documents.</w:t>
      </w:r>
    </w:p>
    <w:p>
      <w:pPr>
        <w:spacing w:after="0" w:line="162"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 Equivalent</w:t>
      </w:r>
      <w:r>
        <w:rPr>
          <w:rFonts w:ascii="Arial" w:cs="Arial" w:eastAsia="Arial" w:hAnsi="Arial"/>
          <w:sz w:val="18"/>
          <w:szCs w:val="18"/>
          <w:color w:val="auto"/>
        </w:rPr>
        <w:t>” shall mean, at any time, (i) with respect to any amount denominated in Dollars, such amount, and (ii) with respect to any amount denominated in any currency other than Dollars, the equivalent amount thereof in Dollars, as determined by the Administrative Agent on the basis of the Spot Rate (determined on the most recent date of determination) for the purchase of Dollars with such currency.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shall mean dollars in lawful currency of the United States.</w:t>
      </w:r>
    </w:p>
    <w:p>
      <w:pPr>
        <w:spacing w:after="0" w:line="225"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shall mean each Subsidiary of Holdings that is organized under the laws of the United States, any state thereof, or the District of Columbia.</w:t>
      </w:r>
    </w:p>
    <w:p>
      <w:pPr>
        <w:spacing w:after="0" w:line="16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“EEA Financial Institution</w:t>
      </w:r>
      <w:r>
        <w:rPr>
          <w:rFonts w:ascii="Arial" w:cs="Arial" w:eastAsia="Arial" w:hAnsi="Arial"/>
          <w:sz w:val="18"/>
          <w:szCs w:val="18"/>
          <w:color w:val="auto"/>
        </w:rPr>
        <w:t>” means (a) any credit institution or investment firm established in any EEA Member Country which is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340"/>
          </w:cols>
          <w:pgMar w:left="240" w:top="810" w:right="319" w:bottom="1440" w:gutter="0" w:footer="0" w:header="0"/>
        </w:sectPr>
      </w:pPr>
    </w:p>
    <w:bookmarkStart w:id="100" w:name="page101"/>
    <w:bookmarkEnd w:id="100"/>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Claims</w:t>
      </w:r>
      <w:r>
        <w:rPr>
          <w:rFonts w:ascii="Arial" w:cs="Arial" w:eastAsia="Arial" w:hAnsi="Arial"/>
          <w:sz w:val="18"/>
          <w:szCs w:val="18"/>
          <w:color w:val="auto"/>
        </w:rPr>
        <w:t>” shall mean any and all actions, suits, orders, decrees, demand letters, claims, notices of noncompliance or potential responsibility or violation, or proceedings pursuant to any Environmental Law or any permit issued, or any approval given, under any such Environmental Law (hereinafter, “</w:t>
      </w:r>
      <w:r>
        <w:rPr>
          <w:rFonts w:ascii="Arial" w:cs="Arial" w:eastAsia="Arial" w:hAnsi="Arial"/>
          <w:sz w:val="18"/>
          <w:szCs w:val="18"/>
          <w:b w:val="1"/>
          <w:bCs w:val="1"/>
          <w:color w:val="auto"/>
        </w:rPr>
        <w:t>Claims</w:t>
      </w:r>
      <w:r>
        <w:rPr>
          <w:rFonts w:ascii="Arial" w:cs="Arial" w:eastAsia="Arial" w:hAnsi="Arial"/>
          <w:sz w:val="18"/>
          <w:szCs w:val="18"/>
          <w:color w:val="auto"/>
        </w:rPr>
        <w:t>”), including, without limitation, (i) any and all Claims by governmental or regulatory authorities for enforcement, cleanup, removal, response, remedial, or other actions or damages pursuant to any Environmental Law and (ii) any and all Claims by any third party seeking damages, contribution, indemnification, cost recovery, compensation, or injunctive relief relating to the presence Release or threatened Release of Hazardous Materials or arising from alleged injury or threat of injury to health or safety (to the extent relating to human exposure to Hazardous Materials), or the environment including, without limitation, ambient air, indoor air, surface water, groundwater, soil, land surface and subsurface strata, and natural resources such as wetlands.</w:t>
      </w:r>
    </w:p>
    <w:p>
      <w:pPr>
        <w:spacing w:after="0" w:line="18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shall mean any applicable federal, state, foreign, or local statute, law, rule, regulation, ordinance, code, and rule of common law now or hereafter in effect and in each case as amended, and any binding judicial or administrative interpretation thereof, including any binding judicial or administrative order, consent decree, or judgment, relating to pollution or protection of the environment, including, without limitation, ambient air, indoor air, surface water, groundwater, soil, land surface and subsurface strata and natural resources such as flora, fauna, or wetlands, or protection of human health or safety (to the extent relating to human exposure to Hazardous Materials) and including those relating to the generation, storage, treatment, transport, Release, or threat of Release of Hazardous Materials.</w:t>
      </w:r>
    </w:p>
    <w:p>
      <w:pPr>
        <w:spacing w:after="0" w:line="188"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w:t>
      </w:r>
      <w:r>
        <w:rPr>
          <w:rFonts w:ascii="Arial" w:cs="Arial" w:eastAsia="Arial" w:hAnsi="Arial"/>
          <w:sz w:val="18"/>
          <w:szCs w:val="18"/>
          <w:color w:val="auto"/>
        </w:rPr>
        <w:t>” shall mean Capital Stock and all warrants, options, or other rights to acquire Capital Stock, but excluding any debt security that is convertible into, or exchangeable for, Capital Stock.</w:t>
      </w:r>
    </w:p>
    <w:p>
      <w:pPr>
        <w:spacing w:after="0" w:line="16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Offering</w:t>
      </w:r>
      <w:r>
        <w:rPr>
          <w:rFonts w:ascii="Arial" w:cs="Arial" w:eastAsia="Arial" w:hAnsi="Arial"/>
          <w:sz w:val="18"/>
          <w:szCs w:val="18"/>
          <w:color w:val="auto"/>
        </w:rPr>
        <w:t>” shall mean any public or private sale of common stock or preferred stock of Holdings or any direct or indirect parent company of Holdings (excluding Disqualified Stock), other than: (i) public offerings with respect to the Borrower or any of its direct or indirect parent company’s (including Holdings’) common stock registered on Form S-8, (ii) issuances to any Subsidiary of Holdings, (iii) any such public or private sale that constitutes an Excluded Contribution, and (iv) any Cure Amount.</w:t>
      </w:r>
    </w:p>
    <w:p>
      <w:pPr>
        <w:spacing w:after="0" w:line="180" w:lineRule="exact"/>
        <w:rPr>
          <w:sz w:val="20"/>
          <w:szCs w:val="20"/>
          <w:color w:val="auto"/>
        </w:rPr>
      </w:pPr>
    </w:p>
    <w:p>
      <w:pPr>
        <w:ind w:right="7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amended from time to time, and the rules and regulations promulgated thereunder.</w:t>
      </w:r>
    </w:p>
    <w:p>
      <w:pPr>
        <w:spacing w:after="0" w:line="162" w:lineRule="exact"/>
        <w:rPr>
          <w:sz w:val="20"/>
          <w:szCs w:val="20"/>
          <w:color w:val="auto"/>
        </w:rPr>
      </w:pPr>
    </w:p>
    <w:p>
      <w:pPr>
        <w:ind w:right="1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Affiliate</w:t>
      </w:r>
      <w:r>
        <w:rPr>
          <w:rFonts w:ascii="Arial" w:cs="Arial" w:eastAsia="Arial" w:hAnsi="Arial"/>
          <w:sz w:val="16"/>
          <w:szCs w:val="16"/>
          <w:color w:val="auto"/>
        </w:rPr>
        <w:t>” shall mean any trade or business (whether or not incorporated) that, together with any Credit Party, is treated as a single employer under Section 414 (b) or (c) of the Code (and Sections 414(m) and (o) of the Code for purposes of provisions relating to Section 412 of the Code).</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380"/>
          </w:cols>
          <w:pgMar w:left="240" w:top="810" w:right="279" w:bottom="1440" w:gutter="0" w:footer="0" w:header="0"/>
        </w:sectPr>
      </w:pPr>
    </w:p>
    <w:bookmarkStart w:id="101" w:name="page102"/>
    <w:bookmarkEnd w:id="101"/>
    <w:p>
      <w:pPr>
        <w:ind w:right="4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shall mean (i) the failure of any Plan to comply with any provisions of ERISA and/or the Code (and applicable regulations under either) or with the terms of such Plan; (ii) the existence with respect to any Plan of a non-exempt Prohibited Transaction; (iii) any Reportable Event; (iv) the failure of any Credit Party or ERISA Affiliate to make by its due date a required installment under Section 430(j) of the Code with respect to any Pension Plan or any failure by any Pension Plan to satisfy the minimum funding standards (within the meaning of Section 412 of the Code or Section 302 of ERISA) applicable to such Pension Plan, whether or not waived; (v) a determination that any Pension Plan is in “at risk” status (within the meaning of Section 430 of the Code or Section 303 of ERISA); (vi) the filing pursuant to Section 412(c) of the Code or Section 302(c) of ERISA of an application for a waiver of the minimum funding standard with respect to any Pension Plan; (vii) the termination of, or the appointment of a trustee to administer, any Pension Plan or the incurrence by any Credit Party or any of its ERISA Affiliates of any liability under Title IV of ERISA with respect to the termination of any Pension Plan, including but not limited to the imposition of any Lien in favor of the PBGC or any Pension Plan; (viii) the receipt by any Credit Party or any of its ERISA Affiliates from the PBGC or a plan administrator of any notice to terminate any Pension Plan or to appoint a trustee to administer any Pension Plan under Section 4042 of ERISA; (ix) the failure by any Credit Party or any of its ERISA Affiliates to make any required contribution to a Multiemployer Plan; (x) the incurrence by any Credit Party or any of its ERISA Affiliates of any liability with respect to the withdrawal or partial withdrawal from any Pension Plan (or a cessation of operations that is treated as such a withdrawal under Section 4062(e) of ERISA) or Multiemployer Plan; (xi) the receipt by any Credit Party or any of its ERISA Affiliates of any notice concerning the imposition of Withdrawal Liability or a determination that a Multiemployer Plan is, or is expected to be, Insolvent, in “endangered” or “critical” status (within the meaning of Section 432 of the Code or Section 305 of ERISA), or terminated (within the meaning of Section 4041A of ERISA); or (xii) the failure by any Credit Party or any of its ERISA Affiliates to pay when due (after expiration of any applicable grace period) any installment payment with respect to Withdrawal Liability under Section 4201 of ERISA.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Contribution</w:t>
      </w:r>
      <w:r>
        <w:rPr>
          <w:rFonts w:ascii="Arial" w:cs="Arial" w:eastAsia="Arial" w:hAnsi="Arial"/>
          <w:sz w:val="17"/>
          <w:szCs w:val="17"/>
          <w:color w:val="auto"/>
        </w:rPr>
        <w:t xml:space="preserve">” shall mean net cash proceeds, the Fair Market Value of marketable securities, or the Fair Market Value of Qualified Proceeds received by Holdings from (i) contributions to its common equity capital, and (ii) the sale (other than to a Subsidiary of Holdings or to any management equity plan or stock option plan or any other management or employee benefit plan or agreement of Holdings) of Capital Stock (other than Disqualified Stock and Designated Preferred Stock) of Holdings, in each case designated as Excluded Contributions pursuant to an officer’s certificate executed by either a senior vice president or the principal financial officer of the Borrower on the date such capital contributions are made or the date such Equity Interests are sold, as the case may be, which are excluded from the calculation set forth in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10.5(a)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non-cash assets shall qualify only if acquired by a parent of Holdings in an arm’s-length transaction within the six months prior to such contribution and (ii) no Cure Amount shall constitute an Excluded Contribution.</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Property</w:t>
      </w:r>
      <w:r>
        <w:rPr>
          <w:rFonts w:ascii="Arial" w:cs="Arial" w:eastAsia="Arial" w:hAnsi="Arial"/>
          <w:sz w:val="18"/>
          <w:szCs w:val="18"/>
          <w:color w:val="auto"/>
        </w:rPr>
        <w:t>” shall have the meaning set forth in the Security Agreement.</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00"/>
          </w:cols>
          <w:pgMar w:left="240" w:top="810" w:right="259" w:bottom="1440" w:gutter="0" w:footer="0" w:header="0"/>
        </w:sectPr>
      </w:pPr>
    </w:p>
    <w:bookmarkStart w:id="102" w:name="page103"/>
    <w:bookmarkEnd w:id="102"/>
    <w:p>
      <w:pPr>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Stock and Stock Equivalents</w:t>
      </w:r>
      <w:r>
        <w:rPr>
          <w:rFonts w:ascii="Arial" w:cs="Arial" w:eastAsia="Arial" w:hAnsi="Arial"/>
          <w:sz w:val="16"/>
          <w:szCs w:val="16"/>
          <w:color w:val="auto"/>
        </w:rPr>
        <w:t xml:space="preserve">” shall mean (i) any Capital Stock or Stock Equivalents with respect to which, in the reasonable judgment of the Administrative Agent and the Borrower (as agreed to in writing), the cost or other consequences of pledging such Capital Stock or Stock Equivalents in favor of the Secured Parties under the Security Documents shall be excessive in view of the benefits to be obtained by the Lenders therefrom, (ii) solely in the case of any pledge of Capital Stock and Stock Equivalents of any Foreign Subsidiary or any CFC Holding Company, any Voting Stock or Stock Equivalents of any such Foreign Subsidiary or such CFC Holding Company in excess of 66% of the total voting power of all outstanding Voting Stock or Stock Equivalents of such Foreign Subsidiary or CFC Holding Company, (iii) any Capital Stock or Stock Equivalents to the extent the pledge thereof would violate any applicable Requirement of Law (including any legally effective requirement to obtain the consent of any Governmental Authority unless such consent has been obtained), (iv) in the case of (A) any Capital Stock or Stock Equivalents of any Subsidiary to the extent such Capital Stock or Stock Equivalents are subject to a Lien permitted by </w:t>
      </w:r>
      <w:r>
        <w:rPr>
          <w:rFonts w:ascii="Arial" w:cs="Arial" w:eastAsia="Arial" w:hAnsi="Arial"/>
          <w:sz w:val="16"/>
          <w:szCs w:val="16"/>
          <w:u w:val="single" w:color="auto"/>
          <w:color w:val="auto"/>
        </w:rPr>
        <w:t>clause (ix)</w:t>
      </w:r>
      <w:r>
        <w:rPr>
          <w:rFonts w:ascii="Arial" w:cs="Arial" w:eastAsia="Arial" w:hAnsi="Arial"/>
          <w:sz w:val="16"/>
          <w:szCs w:val="16"/>
          <w:color w:val="auto"/>
        </w:rPr>
        <w:t xml:space="preserve"> of the definition of “Permitted Lien” or (B) any Capital Stock or Stock Equivalents of any Subsidiary that is not Wholly-Owned by Holdings and its Subsidiaries at the time such Subsidiary becomes a Subsidiary, any Capital Stock or Stock Equivalents of each such Subsidiary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to the extent (I) that a pledge thereof to secure the Obligations is prohibited by any applicable Contractual Requirement (other than customary non-assignment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(II) any Contractual Requirement prohibits such a pledge without the consent of any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shall not apply if (x) such other party is a Credit Party or Wholly-Owned Subsidiary or (y) consent has been obtained to consummate such pledge (it being understood that the foregoing shall not be deemed to obligate Holdings or any Subsidiary to obtain any such consent) and for so long as such Contractual Requirement or replacement or renewal thereof is in effect, or (III) a pledge thereof to secure the Obligations would give any other party (other than a Credit Party or Wholly-Owned Subsidiary) to any contract, agreement, instrument, or indenture governing such Capital Stock or Stock Equivalents the right to terminate its obligations thereunder (other than customary non-assignment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(v) any Capital Stock or Stock Equivalents of any Subsidiary to the extent that the pledge of such Capital Stock or Stock Equivalents would result in materially adverse tax consequences to Holdings or any Subsidiary as reasonably determined by the Borrower in consultation with the Administrative Agent, (vi) any Capital Stock or Stock Equivalents that are margin stock, and (vii) any Capital Stock and Stock Equivalents of any Subsidiary that is not a Material Subsidiary or is an Unrestricted Subsidiary, a captive insurance Subsidiary, an SPV, any special purpose entity or a Managed Care Subsidiary.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00"/>
          </w:cols>
          <w:pgMar w:left="240" w:top="810" w:right="259" w:bottom="1440" w:gutter="0" w:footer="0" w:header="0"/>
        </w:sectPr>
      </w:pPr>
    </w:p>
    <w:bookmarkStart w:id="103" w:name="page104"/>
    <w:bookmarkEnd w:id="103"/>
    <w:p>
      <w:pPr>
        <w:ind w:right="20"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Subsidiary</w:t>
      </w:r>
      <w:r>
        <w:rPr>
          <w:rFonts w:ascii="Arial" w:cs="Arial" w:eastAsia="Arial" w:hAnsi="Arial"/>
          <w:sz w:val="17"/>
          <w:szCs w:val="17"/>
          <w:color w:val="auto"/>
        </w:rPr>
        <w:t xml:space="preserve">” shall mean (i) each Subsidiary, in each case, for so long as any such Subsidiary does not (on a consolidated basis with its Restricted Subsidiaries) constitute a Material Subsidiary, (ii) each Subsidiary that is not a Wholly-Owned Subsidiary on any date such Subsidiary would otherwise be required to become a Guarantor pursuant to the requirements of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(for so long as such Subsidiary remains a non Wholly-Owned Restricted Subsidiary), (iii) any CFC Holding Company, (iv) any Domestic Subsidiary that is a Subsidiary of a Foreign Subsidiary that is a CFC, (v) any Foreign Subsidiary, (vi) each Subsidiary that is prohibited by any applicable Contractual Requirement or Requirement of Law from guaranteeing or granting Liens to secure the Obligations at the time such Subsidiary becomes a Restricted Subsidiary (and for so long as such restriction or any replacement or renewal thereof is in effect), (vii) each Subsidiary with respect to which, as reasonably determined by Holdings, the consequence of providing a Guarantee of the Obligations would adversely affect the ability of Holdings and its Subsidiaries to satisfy applicable Requirements of Law, (viii) any other Subsidiary with respect to which, (a) in the reasonable judgment of the Administrative Agent and Borrower, as agreed in writing, the cost or other consequences of providing a Guarantee of the Obligations shall be excessive in view of the benefits to be obtained by the Lenders therefrom or (b) providing such a Guarantee would result in material adverse tax consequences as reasonably determined by the Borrower in consultation with the Administrative Agent, (ix) each Unrestricted Subsidiary, (x) any Receivables Subsidiary, (xi) each other Subsidiary acquired pursuant to a Permitted Acquisition or other Investment permitted hereunder and financed with assumed secured Indebtedness permitted hereunder, and each Restricted Subsidiary acquired in such Permitted Acquisition or other Investment permitted hereunder that guarantees such Indebtedness, in each case to the extent that, and for so long as, the documentation relating to such Indebtedness to which such Subsidiary is a party prohibits such Subsidiary from guaranteeing the Obligations and such prohibition was not created in contemplation of such Permitted Acquisition or other Investment permitted hereunder, (xii) each SPV or not-for-profit Subsidiary and (xiii) any Managed Care Subsidiary.</w:t>
      </w:r>
    </w:p>
    <w:p>
      <w:pPr>
        <w:spacing w:after="0" w:line="17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Swap Obligation</w:t>
      </w:r>
      <w:r>
        <w:rPr>
          <w:rFonts w:ascii="Arial" w:cs="Arial" w:eastAsia="Arial" w:hAnsi="Arial"/>
          <w:sz w:val="17"/>
          <w:szCs w:val="17"/>
          <w:color w:val="auto"/>
        </w:rPr>
        <w:t>” shall mean, with respect to any Credit Party, (a) any Swap Obligation if, and to the extent that, all or a portion of the Obligations of such Credit Party of, or the grant by such Credit Party of a security interest to secure, such Swap Obligation (or any Obligations thereof) is or becomes illegal or unlawful under the Commodity Exchange Act or any rule, regulation, or order of the Commodity Futures Trading Commission (or the application or official interpretation of any thereof) or (b) any other Swap Obligation designated as an “Excluded Swap Obligation” of such Guarantor as specified in any agreement between the relevant Credit Parties and Hedge Bank applicable to such Swap Obligation. If a Swap Obligation arises under a master agreement governing more than one swap, such exclusion shall apply only to the portion of such Swap Obligation that is attributable to swaps for which such Obligation or security interest is or becomes illegal or unlawful.</w:t>
      </w:r>
    </w:p>
    <w:p>
      <w:pPr>
        <w:spacing w:after="0" w:line="17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Taxes</w:t>
      </w:r>
      <w:r>
        <w:rPr>
          <w:rFonts w:ascii="Arial" w:cs="Arial" w:eastAsia="Arial" w:hAnsi="Arial"/>
          <w:sz w:val="17"/>
          <w:szCs w:val="17"/>
          <w:color w:val="auto"/>
        </w:rPr>
        <w:t xml:space="preserve">” shall mean, with respect to the Administrative Agent, any Lender, or any other recipient of any payment to be made by or on account of any obligation of any Credit Party hereunder or under any other Credit Document, (i) Taxes imposed on or measured by its overall net income, net profits, or branch profits (however denominated, and including (for the avoidance of doubt) any backup withholding in respect thereof under Section 3406 of the Code or any similar provision of state, local, or foreign law), and franchise (and similar) Taxes imposed on it (in lieu of net income Taxes), in each case by a jurisdiction (including any political subdivision thereof) as a result of such recipient being organized in, having its principal office in, or in the case of any Lender, having its applicable lending office in, such jurisdiction, or as a result of any other present or former connection with such jurisdiction (other than any such connection arising solely from this Agreement or any other Credit Documents or any transactions contemplated thereunder), (ii) any United States federal withholding Tax imposed on any payment by or on account of any obligation of any Credit Party hereunder or under any other Credit Document that is required to be imposed on amounts payable to or for the account of a Lender pursuant to laws in force at the time such Lender acquires an interest in any Credit Document (or designates a new lending office), other than in the case of a Lender that is an assignee pursuant to a request by the Borrower under </w:t>
      </w:r>
      <w:r>
        <w:rPr>
          <w:rFonts w:ascii="Arial" w:cs="Arial" w:eastAsia="Arial" w:hAnsi="Arial"/>
          <w:sz w:val="17"/>
          <w:szCs w:val="17"/>
          <w:u w:val="single" w:color="auto"/>
          <w:color w:val="auto"/>
        </w:rPr>
        <w:t>Section 13.7</w:t>
      </w:r>
      <w:r>
        <w:rPr>
          <w:rFonts w:ascii="Arial" w:cs="Arial" w:eastAsia="Arial" w:hAnsi="Arial"/>
          <w:sz w:val="17"/>
          <w:szCs w:val="17"/>
          <w:color w:val="auto"/>
        </w:rPr>
        <w:t xml:space="preserve"> (or that designates a new lending office pursuant to a request by the Borrower), except to the extent that such Lender (or its assignor, if any) was entitled, immediately prior to the designation of a new lending office (or assignment), to receive additional amounts from the Credit Parties with respect to such withholding Tax pursuant to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(iii) any withholding Taxes attributable to a recipient’s failure to comply with </w:t>
      </w:r>
      <w:r>
        <w:rPr>
          <w:rFonts w:ascii="Arial" w:cs="Arial" w:eastAsia="Arial" w:hAnsi="Arial"/>
          <w:sz w:val="17"/>
          <w:szCs w:val="17"/>
          <w:u w:val="single" w:color="auto"/>
          <w:color w:val="auto"/>
        </w:rPr>
        <w:t>Section 5.4(e)</w:t>
      </w:r>
      <w:r>
        <w:rPr>
          <w:rFonts w:ascii="Arial" w:cs="Arial" w:eastAsia="Arial" w:hAnsi="Arial"/>
          <w:sz w:val="17"/>
          <w:szCs w:val="17"/>
          <w:color w:val="auto"/>
        </w:rPr>
        <w:t>, or (iv) any withholding Tax imposed under FATCA.</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Class</w:t>
      </w:r>
      <w:r>
        <w:rPr>
          <w:rFonts w:ascii="Arial" w:cs="Arial" w:eastAsia="Arial" w:hAnsi="Arial"/>
          <w:sz w:val="18"/>
          <w:szCs w:val="18"/>
          <w:color w:val="auto"/>
        </w:rPr>
        <w:t>” shall mean any Existing Term Loan Class and any Existing Revolving Credit Class.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810" w:right="239" w:bottom="1440" w:gutter="0" w:footer="0" w:header="0"/>
        </w:sectPr>
      </w:pPr>
    </w:p>
    <w:bookmarkStart w:id="104" w:name="page105"/>
    <w:bookmarkEnd w:id="10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Letters of Credit</w:t>
      </w:r>
      <w:r>
        <w:rPr>
          <w:rFonts w:ascii="Arial" w:cs="Arial" w:eastAsia="Arial" w:hAnsi="Arial"/>
          <w:sz w:val="18"/>
          <w:szCs w:val="18"/>
          <w:color w:val="auto"/>
        </w:rPr>
        <w:t xml:space="preserve">” shall mean those certain letters of credit listed on </w:t>
      </w:r>
      <w:r>
        <w:rPr>
          <w:rFonts w:ascii="Arial" w:cs="Arial" w:eastAsia="Arial" w:hAnsi="Arial"/>
          <w:sz w:val="18"/>
          <w:szCs w:val="18"/>
          <w:u w:val="single" w:color="auto"/>
          <w:color w:val="auto"/>
        </w:rPr>
        <w:t>Schedule 1.1(c)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Revolving Credit Class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Revolving Credit Commitment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Revolving Credit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Term Loan Class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Expiring Credit Commitment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Repayment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Credit Commitments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Credit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 Loan Repayment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Extending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Amendment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Election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Request</w:t>
      </w:r>
      <w:r>
        <w:rPr>
          <w:rFonts w:ascii="Arial" w:cs="Arial" w:eastAsia="Arial" w:hAnsi="Arial"/>
          <w:sz w:val="18"/>
          <w:szCs w:val="18"/>
          <w:color w:val="auto"/>
        </w:rPr>
        <w:t>” shall mean a Term Loan Extension Request.</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Series</w:t>
      </w:r>
      <w:r>
        <w:rPr>
          <w:rFonts w:ascii="Arial" w:cs="Arial" w:eastAsia="Arial" w:hAnsi="Arial"/>
          <w:sz w:val="18"/>
          <w:szCs w:val="18"/>
          <w:color w:val="auto"/>
        </w:rPr>
        <w:t>” shall mean all Extended Term Loans and Extended Revolving Credit Commitments that are established pursuant to the same Extension Amendment (or any subsequent Extension Amendment to the extent such Extension Amendment expressly provides that the Extended Term Loans or Extended Revolving Credit Commitments, as applicable, provided for therein are intended to be a part of any previously established Extension Series) and that provide for the same interest margins, extension fees, and amortization schedule.</w:t>
      </w:r>
    </w:p>
    <w:p>
      <w:pPr>
        <w:spacing w:after="0" w:line="180" w:lineRule="exact"/>
        <w:rPr>
          <w:sz w:val="20"/>
          <w:szCs w:val="20"/>
          <w:color w:val="auto"/>
        </w:rPr>
      </w:pPr>
    </w:p>
    <w:p>
      <w:pPr>
        <w:ind w:right="7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Eye Care Club</w:t>
      </w:r>
      <w:r>
        <w:rPr>
          <w:rFonts w:ascii="Arial" w:cs="Arial" w:eastAsia="Arial" w:hAnsi="Arial"/>
          <w:sz w:val="17"/>
          <w:szCs w:val="17"/>
          <w:color w:val="auto"/>
        </w:rPr>
        <w:t>” shall mean the multi-year programs offered from locations operated by Holdings or its Subsidiaries pursuant to which a purchaser/customer obtains the right to obtain multiple eye examinations and discounts on eyewear during the program period.</w:t>
      </w:r>
    </w:p>
    <w:p>
      <w:pPr>
        <w:spacing w:after="0" w:line="138" w:lineRule="exact"/>
        <w:rPr>
          <w:sz w:val="20"/>
          <w:szCs w:val="20"/>
          <w:color w:val="auto"/>
        </w:rPr>
      </w:pPr>
    </w:p>
    <w:p>
      <w:pPr>
        <w:ind w:right="6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shall mean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determined in good faith by the Borrower.</w:t>
      </w:r>
    </w:p>
    <w:p>
      <w:pPr>
        <w:spacing w:after="0" w:line="142" w:lineRule="exact"/>
        <w:rPr>
          <w:sz w:val="20"/>
          <w:szCs w:val="20"/>
          <w:color w:val="auto"/>
        </w:rPr>
      </w:pPr>
    </w:p>
    <w:p>
      <w:pPr>
        <w:ind w:right="10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FATCA</w:t>
      </w:r>
      <w:r>
        <w:rPr>
          <w:rFonts w:ascii="Arial" w:cs="Arial" w:eastAsia="Arial" w:hAnsi="Arial"/>
          <w:sz w:val="16"/>
          <w:szCs w:val="16"/>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as of the date of this Agreement (or any amended or successor version described above), and any intergovernmental agreements (or related legislation or official administrative rules or practices) implementing the foregoing.</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380"/>
          </w:cols>
          <w:pgMar w:left="240" w:top="810" w:right="279" w:bottom="1440" w:gutter="0" w:footer="0" w:header="0"/>
        </w:sectPr>
      </w:pPr>
    </w:p>
    <w:bookmarkStart w:id="105" w:name="page106"/>
    <w:bookmarkEnd w:id="105"/>
    <w:p>
      <w:pPr>
        <w:ind w:right="40"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Federal Funds Effective Rate</w:t>
      </w:r>
      <w:r>
        <w:rPr>
          <w:rFonts w:ascii="Arial" w:cs="Arial" w:eastAsia="Arial" w:hAnsi="Arial"/>
          <w:sz w:val="17"/>
          <w:szCs w:val="17"/>
          <w:color w:val="auto"/>
        </w:rPr>
        <w:t xml:space="preserve">” shall mean, for any day, the weighted average of the per annum rates on overnight federal funds transactions with members of the Federal Reserve System on such day, as published on the next succeeding Business Day by the Federal Reserve Bank of New York;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such day is not a Business Day, the Federal Funds Effective Rate for such day shall be such rate on such transactions on the next preceding Business Day as so published on the next succeeding Business Day, and (ii) if no such rate is so published on such next succeeding Business Day, the Federal Funds Effective Rate for such day shall be the average rate (rounded upward, if necessary, to a whole multiple of 1/100 of 1%) charged to the Administrative Agent on such day on such transactions as determined by the Administrative Agent.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Fees</w:t>
      </w:r>
      <w:r>
        <w:rPr>
          <w:rFonts w:ascii="Arial" w:cs="Arial" w:eastAsia="Arial" w:hAnsi="Arial"/>
          <w:sz w:val="18"/>
          <w:szCs w:val="18"/>
          <w:color w:val="auto"/>
        </w:rPr>
        <w:t xml:space="preserve">” shall mean all amounts payable pursuant to, or referred to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right="34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First Lien Intercreditor Agreement</w:t>
      </w:r>
      <w:r>
        <w:rPr>
          <w:rFonts w:ascii="Arial" w:cs="Arial" w:eastAsia="Arial" w:hAnsi="Arial"/>
          <w:sz w:val="17"/>
          <w:szCs w:val="17"/>
          <w:color w:val="auto"/>
        </w:rPr>
        <w:t xml:space="preserve">” shall mean an Intercreditor Agreement substantially in the form of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(with such changes to such form as may be reasonably acceptable to the Administrative Agent and the Borrower) among the Administrative Agent, the Collateral Agent, and the representatives for purposes thereof for holders of one or more classes of First Lien Obligations (other than the Obligations).</w:t>
      </w:r>
    </w:p>
    <w:p>
      <w:pPr>
        <w:spacing w:after="0" w:line="15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Obligations</w:t>
      </w:r>
      <w:r>
        <w:rPr>
          <w:rFonts w:ascii="Arial" w:cs="Arial" w:eastAsia="Arial" w:hAnsi="Arial"/>
          <w:sz w:val="18"/>
          <w:szCs w:val="18"/>
          <w:color w:val="auto"/>
        </w:rPr>
        <w:t>” shall mean the Obligations and the Permitted Other Indebtedness Obligations that are secured by the Collateral on an equal priority basis (but without regard to the control of remedies) with liens on the Collateral securing the Obligations.</w:t>
      </w:r>
    </w:p>
    <w:p>
      <w:pPr>
        <w:spacing w:after="0" w:line="16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Secured Leverage Test</w:t>
      </w:r>
      <w:r>
        <w:rPr>
          <w:rFonts w:ascii="Arial" w:cs="Arial" w:eastAsia="Arial" w:hAnsi="Arial"/>
          <w:sz w:val="18"/>
          <w:szCs w:val="18"/>
          <w:color w:val="auto"/>
        </w:rPr>
        <w:t>” shall mean, as of any date of determination, with respect to the last day of the most recently ended Test Period, the Consolidated First Lien Secured Debt to Consolidated EBITDA Ratio shall be no greater than 3.25 to 1.00.</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FirstSight</w:t>
      </w:r>
      <w:r>
        <w:rPr>
          <w:rFonts w:ascii="Arial" w:cs="Arial" w:eastAsia="Arial" w:hAnsi="Arial"/>
          <w:sz w:val="18"/>
          <w:szCs w:val="18"/>
          <w:color w:val="auto"/>
        </w:rPr>
        <w:t>” shall mean FirstSight Vision Services, Inc., a California corporation.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 Coverage Ratio</w:t>
      </w:r>
      <w:r>
        <w:rPr>
          <w:rFonts w:ascii="Arial" w:cs="Arial" w:eastAsia="Arial" w:hAnsi="Arial"/>
          <w:sz w:val="18"/>
          <w:szCs w:val="18"/>
          <w:color w:val="auto"/>
        </w:rPr>
        <w:t xml:space="preserve">” shall mean, as of any date of determination, the ratio of (i) Consolidated EBITDA for the Test Period then last ended to (ii) the Fixed Charges for such Test Period. In the event that Holdings or any Restricted Subsidiary incurs, assumes, guarantees, redeems, retires, or extinguishes any Indebtedness or issues or redeems Disqualified Stock or preferred stock subsequent to the commencement of the Test Period but prior to or simultaneously with the date of determination, then the Fixed Charge Coverage Ratio shall be calculated giving Pro Forma Effect to such incurrence, assumption, guarantee, redemption, retirement, or extinguishment of Indebtedness, or such issuance or redemption of Disqualified Stock or preferred stock (in each case, including a pro forma application of the net proceeds therefrom), as if the same had occurred at the beginning of the Test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Pro Forma Effect shall not give effect to any Indebtedness incurred on the date of such determination (except pursuant to the first paragraph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10.1(n)</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Charges</w:t>
      </w:r>
      <w:r>
        <w:rPr>
          <w:rFonts w:ascii="Arial" w:cs="Arial" w:eastAsia="Arial" w:hAnsi="Arial"/>
          <w:sz w:val="18"/>
          <w:szCs w:val="18"/>
          <w:color w:val="auto"/>
        </w:rPr>
        <w:t>” shall mean, with respect to any Person for any period, the sum of:</w:t>
      </w:r>
    </w:p>
    <w:p>
      <w:pPr>
        <w:spacing w:after="0" w:line="229" w:lineRule="exact"/>
        <w:rPr>
          <w:sz w:val="20"/>
          <w:szCs w:val="20"/>
          <w:color w:val="auto"/>
        </w:rPr>
      </w:pPr>
    </w:p>
    <w:p>
      <w:pPr>
        <w:ind w:left="2540" w:hanging="344"/>
        <w:spacing w:after="0"/>
        <w:tabs>
          <w:tab w:leader="none" w:pos="2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Consolidated Interest Expense of such Person for such period,</w:t>
      </w:r>
    </w:p>
    <w:p>
      <w:pPr>
        <w:spacing w:after="0" w:line="225" w:lineRule="exact"/>
        <w:rPr>
          <w:rFonts w:ascii="Arial" w:cs="Arial" w:eastAsia="Arial" w:hAnsi="Arial"/>
          <w:sz w:val="18"/>
          <w:szCs w:val="18"/>
          <w:color w:val="auto"/>
        </w:rPr>
      </w:pPr>
    </w:p>
    <w:p>
      <w:pPr>
        <w:ind w:left="660" w:right="160" w:firstLine="1536"/>
        <w:spacing w:after="0" w:line="277" w:lineRule="auto"/>
        <w:tabs>
          <w:tab w:leader="none" w:pos="2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cash dividend payments (excluding items eliminated in consolidation) on any series of preferred stock (including any Designated Preferred Stock) or any Refunding Capital Stock of such Person made during such period, and</w:t>
      </w:r>
    </w:p>
    <w:p>
      <w:pPr>
        <w:spacing w:after="0" w:line="170" w:lineRule="exact"/>
        <w:rPr>
          <w:rFonts w:ascii="Arial" w:cs="Arial" w:eastAsia="Arial" w:hAnsi="Arial"/>
          <w:sz w:val="18"/>
          <w:szCs w:val="18"/>
          <w:color w:val="auto"/>
        </w:rPr>
      </w:pPr>
    </w:p>
    <w:p>
      <w:pPr>
        <w:ind w:left="2640" w:hanging="444"/>
        <w:spacing w:after="0"/>
        <w:tabs>
          <w:tab w:leader="none" w:pos="2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all cash dividend payments (excluding items eliminated in consolidation) on any series of Disqualified Stock made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during such period.</w:t>
      </w:r>
    </w:p>
    <w:p>
      <w:pPr>
        <w:spacing w:after="0" w:line="207"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Benefit Arrangement</w:t>
      </w:r>
      <w:r>
        <w:rPr>
          <w:rFonts w:ascii="Arial" w:cs="Arial" w:eastAsia="Arial" w:hAnsi="Arial"/>
          <w:sz w:val="18"/>
          <w:szCs w:val="18"/>
          <w:color w:val="auto"/>
        </w:rPr>
        <w:t>” shall mean any employee benefit arrangement mandated by non-U.S. law that is maintained or contributed to by any Credit Party or any of its Subsidiaries.</w:t>
      </w:r>
    </w:p>
    <w:p>
      <w:pPr>
        <w:spacing w:after="0" w:line="162"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Plan</w:t>
      </w:r>
      <w:r>
        <w:rPr>
          <w:rFonts w:ascii="Arial" w:cs="Arial" w:eastAsia="Arial" w:hAnsi="Arial"/>
          <w:sz w:val="18"/>
          <w:szCs w:val="18"/>
          <w:color w:val="auto"/>
        </w:rPr>
        <w:t>” shall mean each employee benefit plan (within the meaning of Section 3(3) of ERISA, whether or not subject to ERISA) that is not subject to U.S. law and is maintained or contributed to by any Credit Party or any of its Subsidiaries.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810" w:right="239" w:bottom="1440" w:gutter="0" w:footer="0" w:header="0"/>
        </w:sectPr>
      </w:pPr>
    </w:p>
    <w:bookmarkStart w:id="106" w:name="page107"/>
    <w:bookmarkEnd w:id="106"/>
    <w:p>
      <w:pPr>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Plan Event</w:t>
      </w:r>
      <w:r>
        <w:rPr>
          <w:rFonts w:ascii="Arial" w:cs="Arial" w:eastAsia="Arial" w:hAnsi="Arial"/>
          <w:sz w:val="17"/>
          <w:szCs w:val="17"/>
          <w:color w:val="auto"/>
        </w:rPr>
        <w:t>” shall mean, with respect to any Foreign Plan or Foreign Benefit Arrangement, (i) the failure to make or, if applicable, accrue in accordance with normal accounting practices, any employer or employee contributions required by applicable law or by the terms of such Foreign Plan or Foreign Benefit Arrangement; (ii) the failure to register or loss of good standing (if applicable) with applicable regulatory authorities of any such Foreign Plan or Foreign Benefit Arrangement required to be registered; or (iii) the failure of any Foreign Plan or Foreign Benefit Arrangement to comply with any provisions of applicable law or regulations or with the terms of such Foreign Plan or Foreign Benefit Arrangement.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shall mean each Subsidiary of Holdings that is not a Domestic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Former Agent</w:t>
      </w:r>
      <w:r>
        <w:rPr>
          <w:rFonts w:ascii="Arial" w:cs="Arial" w:eastAsia="Arial" w:hAnsi="Arial"/>
          <w:sz w:val="18"/>
          <w:szCs w:val="18"/>
          <w:color w:val="auto"/>
        </w:rPr>
        <w:t>” shall have the meaning provided in the recitals to this Agreement.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Fronting Exposure</w:t>
      </w:r>
      <w:r>
        <w:rPr>
          <w:rFonts w:ascii="Arial" w:cs="Arial" w:eastAsia="Arial" w:hAnsi="Arial"/>
          <w:sz w:val="17"/>
          <w:szCs w:val="17"/>
          <w:color w:val="auto"/>
        </w:rPr>
        <w:t>” shall mean, at any time there is a Defaulting Lender, (i) with respect to a Letter of Credit Issuer, such Defaulting Lender’s Revolving Credit Commitment Percentage of the outstanding L/C Obligations other than L/C Obligations as to which such Defaulting Lender’s participation obligation has been reallocated to other Lenders or Cash Collateralized in accordance with the terms hereof, and (ii) with respect to the Swingline Lender, such Defaulting Lender’s Revolving Credit Commitment Percentage of Swingline Loans other than Swingline Loans as to which such Defaulting Lender’s participation obligation has been reallocated to other Lenders in accordance with the terms hereof.</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Fronting Fee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4.1(d)</w:t>
      </w:r>
      <w:r>
        <w:rPr>
          <w:rFonts w:ascii="Arial" w:cs="Arial" w:eastAsia="Arial" w:hAnsi="Arial"/>
          <w:sz w:val="18"/>
          <w:szCs w:val="18"/>
          <w:color w:val="auto"/>
        </w:rPr>
        <w:t>.</w:t>
      </w:r>
    </w:p>
    <w:p>
      <w:pPr>
        <w:spacing w:after="0" w:line="225"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shall mean any Person (other than a natural Person) that is engaged or advises funds or other investment vehicles that are engaged in making, purchasing, holding, or investing in commercial loans and similar extensions of credit in the ordinary course.</w:t>
      </w:r>
    </w:p>
    <w:p>
      <w:pPr>
        <w:spacing w:after="0" w:line="16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Funded Debt</w:t>
      </w:r>
      <w:r>
        <w:rPr>
          <w:rFonts w:ascii="Arial" w:cs="Arial" w:eastAsia="Arial" w:hAnsi="Arial"/>
          <w:sz w:val="17"/>
          <w:szCs w:val="17"/>
          <w:color w:val="auto"/>
        </w:rPr>
        <w:t>” shall mean all Indebtedness of Holdings and the Restricted Subsidiaries for borrowed money that matures more than one year from the date of its creation or matures within one year from such date that is renewable or extendable, at the option of Holdings or any Restricted Subsidiary, to a date more than one year from the date of its creation or arises under a revolving credit or similar agreement that obligates the lender or lenders to extend credit during a period of more than one year from such date (including all amounts of such Funded Debt required to be paid or prepaid within one year from the date of its creation), and, in the case of the Credit Parties, Indebtedness in respect of the Loans.</w:t>
      </w:r>
    </w:p>
    <w:p>
      <w:pPr>
        <w:spacing w:after="0" w:line="168"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xml:space="preserve">” shall mean generally accepted accounting principles in the United States,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Borrower notifies the Administrative Agent that the Borrower requests an amendment to any provision hereof to eliminate the effect of any change occurring after the Restatement Effective Date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Furthermore, at any time after the Restatement Effective Date, Holdings may elect to apply International Financial Reporting Standards (“</w:t>
      </w:r>
      <w:r>
        <w:rPr>
          <w:rFonts w:ascii="Arial" w:cs="Arial" w:eastAsia="Arial" w:hAnsi="Arial"/>
          <w:sz w:val="17"/>
          <w:szCs w:val="17"/>
          <w:b w:val="1"/>
          <w:bCs w:val="1"/>
          <w:color w:val="auto"/>
        </w:rPr>
        <w:t>IFRS</w:t>
      </w:r>
      <w:r>
        <w:rPr>
          <w:rFonts w:ascii="Arial" w:cs="Arial" w:eastAsia="Arial" w:hAnsi="Arial"/>
          <w:sz w:val="17"/>
          <w:szCs w:val="17"/>
          <w:color w:val="auto"/>
        </w:rPr>
        <w:t xml:space="preserve">”) accounting principles in lieu of GAAP and, upon any such election, references herein to GAAP and GAAP concepts shall thereafter be construed to refer to IFRS and corresponding IFRS concepts (except as otherwise provided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any such election, once made,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calculation or determination in this Agreement that requires the application of GAAP for periods that include fiscal quarters ended prior to Holdings’ election to apply IFRS shall remain as previously calculated or determined in accordance with GAAP. The Borrower shall give written notice of any such election made in accordance with this definition to the Administrative Agent. For the avoidance of doubt, solely making an election (without any other action) referred to in this definition will not be treated as an incurrence of Indebtedness. Notwithstanding any other provision contained herein, the amount of any Indebtedness under GAAP with respect to Capitalized Lease Obligations shall be determined in accordance with the definition of “Capitalized Lease Obligations”.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420"/>
          </w:cols>
          <w:pgMar w:left="240" w:top="810" w:right="239" w:bottom="1440" w:gutter="0" w:footer="0" w:header="0"/>
        </w:sectPr>
      </w:pPr>
    </w:p>
    <w:bookmarkStart w:id="107" w:name="page108"/>
    <w:bookmarkEnd w:id="107"/>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shall mean any nation, sovereign, or government, any state, province, territory, or other political subdivision thereof, and any entity or authority exercising executive, legislative, judicial, taxing, regulatory, or administrative functions of or pertaining to government, including a central bank or stock exchange.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Granting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13.6(g)</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shall mean (i) the Guarantee made by Holdings and each other Guarantor in favor of the Collateral Agent for the benefit of the Secured Parties, dated as of the Closing Date, and (ii) any other guarantee of the Obligations made by a Restricted Subsidiary in form and substance reasonably acceptable to the Administrative Agent.</w:t>
      </w:r>
    </w:p>
    <w:p>
      <w:pPr>
        <w:spacing w:after="0" w:line="176"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 obligations</w:t>
      </w:r>
      <w:r>
        <w:rPr>
          <w:rFonts w:ascii="Arial" w:cs="Arial" w:eastAsia="Arial" w:hAnsi="Arial"/>
          <w:sz w:val="16"/>
          <w:szCs w:val="16"/>
          <w:color w:val="auto"/>
        </w:rPr>
        <w:t xml:space="preserve">” shall mean, as to any Person, any obligation of such Person guaranteeing or intended to guarantee any Indebtedness of any primary obligor in any manner, whether directly or indirectly, including any obligation of such Person, whether or not contingent, (i) to purchase any such Indebtedness or any property constituting direct or indirect security therefor, (ii) to advance or supply funds (a) for the purchase or payment of any such Indebtedness or (b) to maintain working capital or equity capital of the primary obligor or otherwise to maintain the net worth or solvency of the primary obligor, (iii) to purchase property, securities, or services primarily for the purpose of assuring the owner of any such Indebtedness of the ability of the primary obligor to make payment of such Indebtedness, or (iv) otherwise to assure or hold harmless the owner of such Indebtedness against loss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guarantee obligations shall not include endorsements of instruments for deposit or collection in the ordinary course of business or customary and reasonable indemnity obligations or product warranties in effect on the Restatement Effective Date or entered into in connection with any acquisition or disposition of assets permitted under this Agreement (other than such obligations with respect to Indebtedness). The amount of any guarantee obligation shall be deemed to be an amount equal to the stated or determinable amount of the Indebtedness in respect of which such guarantee obligation is made or, if not stated or determinable, the maximum reasonably anticipated liability in respect thereof (assuming such Person is required to perform thereunder) as determined by such Person in good faith.</w:t>
      </w:r>
    </w:p>
    <w:p>
      <w:pPr>
        <w:spacing w:after="0" w:line="169" w:lineRule="exact"/>
        <w:rPr>
          <w:sz w:val="20"/>
          <w:szCs w:val="20"/>
          <w:color w:val="auto"/>
        </w:rPr>
      </w:pPr>
    </w:p>
    <w:p>
      <w:pPr>
        <w:jc w:val="both"/>
        <w:ind w:right="18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xml:space="preserve">” shall mean (i) each Subsidiary of Holdings that is party to the Guarantee on the Restatement Effective Date, (ii) each Subsidiary of Holdings that becomes a party to the Guarantee after the Restatement Effective Date pursuant to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or otherwise, and (iii) Holdings;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Excluded Subsidiary be required to be a Guarantor (unless such Subsidiary is no longer an Excluded Subsidiary).</w:t>
      </w:r>
    </w:p>
    <w:p>
      <w:pPr>
        <w:spacing w:after="0" w:line="142"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shall mean (i) any petroleum or petroleum products, radioactive materials, friable asbestos, polychlorinated biphenyls, and radon gas; (ii) any chemicals, materials, or substances defined as or included in the definition of “hazardous substances,” “hazardous waste,” “hazardous materials,” “extremely hazardous waste,” “restricted hazardous waste,” “toxic substances,” “toxic pollutants,” “contaminants,” or “pollutants,” or words of similar import, under any Environmental Law; and (iii) any other chemical, material, or substance, which is prohibited, limited, or regulated due to its dangerous or deleterious properties or characteristics by, any Environmental Law.</w:t>
      </w:r>
    </w:p>
    <w:p>
      <w:pPr>
        <w:spacing w:after="0" w:line="18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Hedge Agreements</w:t>
      </w:r>
      <w:r>
        <w:rPr>
          <w:rFonts w:ascii="Arial" w:cs="Arial" w:eastAsia="Arial" w:hAnsi="Arial"/>
          <w:sz w:val="17"/>
          <w:szCs w:val="17"/>
          <w:color w:val="auto"/>
        </w:rPr>
        <w:t>” shall mean (i)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(ii)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b w:val="1"/>
          <w:bCs w:val="1"/>
          <w:color w:val="auto"/>
        </w:rPr>
        <w:t>Master Agreement</w:t>
      </w:r>
      <w:r>
        <w:rPr>
          <w:rFonts w:ascii="Arial" w:cs="Arial" w:eastAsia="Arial" w:hAnsi="Arial"/>
          <w:sz w:val="17"/>
          <w:szCs w:val="17"/>
          <w:color w:val="auto"/>
        </w:rPr>
        <w:t>”), including any such obligations or liabilities under any Master Agreement.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810" w:right="239" w:bottom="1440" w:gutter="0" w:footer="0" w:header="0"/>
        </w:sectPr>
      </w:pPr>
    </w:p>
    <w:bookmarkStart w:id="108" w:name="page109"/>
    <w:bookmarkEnd w:id="108"/>
    <w:p>
      <w:pPr>
        <w:ind w:right="16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Hedge Bank</w:t>
      </w:r>
      <w:r>
        <w:rPr>
          <w:rFonts w:ascii="Arial" w:cs="Arial" w:eastAsia="Arial" w:hAnsi="Arial"/>
          <w:sz w:val="16"/>
          <w:szCs w:val="16"/>
          <w:color w:val="auto"/>
        </w:rPr>
        <w:t xml:space="preserve">” shall mean (i) (a) any Person that, at the time it enters into a Hedge Agreement, is a Lender, an Agent or an Affiliate of a Lender or an Agent and (b) with respect to any Hedge Agreement entered into prior to the Restatement Effective Date, any Person that is a Lender or an Agent or an Affiliate of a Lender or an Agent on the Restatement Effective Date and (ii) any other Person that is designated by the Borrower as a “Hedge Bank” by written notice to the Administrative Agent substantially in the form of </w:t>
      </w:r>
      <w:r>
        <w:rPr>
          <w:rFonts w:ascii="Arial" w:cs="Arial" w:eastAsia="Arial" w:hAnsi="Arial"/>
          <w:sz w:val="16"/>
          <w:szCs w:val="16"/>
          <w:u w:val="single" w:color="auto"/>
          <w:color w:val="auto"/>
        </w:rPr>
        <w:t>Exhibit M</w:t>
      </w:r>
      <w:r>
        <w:rPr>
          <w:rFonts w:ascii="Arial" w:cs="Arial" w:eastAsia="Arial" w:hAnsi="Arial"/>
          <w:sz w:val="16"/>
          <w:szCs w:val="16"/>
          <w:color w:val="auto"/>
        </w:rPr>
        <w:t xml:space="preserve"> or such other form reasonably acceptable to the Administrative Agent.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Obligations</w:t>
      </w:r>
      <w:r>
        <w:rPr>
          <w:rFonts w:ascii="Arial" w:cs="Arial" w:eastAsia="Arial" w:hAnsi="Arial"/>
          <w:sz w:val="18"/>
          <w:szCs w:val="18"/>
          <w:color w:val="auto"/>
        </w:rPr>
        <w:t>” shall mean, with respect to any Person, the obligations of such Person under any Hedge Agreements.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Historical Financial Statements</w:t>
      </w:r>
      <w:r>
        <w:rPr>
          <w:rFonts w:ascii="Arial" w:cs="Arial" w:eastAsia="Arial" w:hAnsi="Arial"/>
          <w:sz w:val="17"/>
          <w:szCs w:val="17"/>
          <w:color w:val="auto"/>
        </w:rPr>
        <w:t>” shall mean (i) the audited consolidated balance sheets of Holdings and its Subsidiaries as at December 31, 2017 and December 31, 2018, and the related audited consolidated statements of income and cash flow of Holdings and its Subsidiaries for the years ended December 31, 2017 and December 31, 2018 and (ii) the unaudited interim consolidated balance sheets of Holdings and its Subsidiaries for the fiscal quarters ending September 30, 2018, December 31, 2018 and March 31, 2019 and the related unaudited consolidated statements of income and cash flow of Holdings and its Subsidiaries for fiscal quarters ending September 30, 2018, December 31, 2018 and March 31, 2019.</w:t>
      </w:r>
    </w:p>
    <w:p>
      <w:pPr>
        <w:spacing w:after="0" w:line="168"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Holdings</w:t>
      </w:r>
      <w:r>
        <w:rPr>
          <w:rFonts w:ascii="Arial" w:cs="Arial" w:eastAsia="Arial" w:hAnsi="Arial"/>
          <w:sz w:val="16"/>
          <w:szCs w:val="16"/>
          <w:color w:val="auto"/>
        </w:rPr>
        <w:t>” shall mean (i) Holdings (as defined in the preamble to this Agreement) or (ii) after the Restatement Effective Date any other Person or Persons (“</w:t>
      </w:r>
      <w:r>
        <w:rPr>
          <w:rFonts w:ascii="Arial" w:cs="Arial" w:eastAsia="Arial" w:hAnsi="Arial"/>
          <w:sz w:val="16"/>
          <w:szCs w:val="16"/>
          <w:b w:val="1"/>
          <w:bCs w:val="1"/>
          <w:color w:val="auto"/>
        </w:rPr>
        <w:t>New Holdings</w:t>
      </w:r>
      <w:r>
        <w:rPr>
          <w:rFonts w:ascii="Arial" w:cs="Arial" w:eastAsia="Arial" w:hAnsi="Arial"/>
          <w:sz w:val="16"/>
          <w:szCs w:val="16"/>
          <w:color w:val="auto"/>
        </w:rPr>
        <w:t>”) that is a Subsidiary of (or are Subsidiaries of) Holdings or of any Parent Entity of Holdings (or the previous New Holdings, as the case may be) but not the Borrower (“</w:t>
      </w:r>
      <w:r>
        <w:rPr>
          <w:rFonts w:ascii="Arial" w:cs="Arial" w:eastAsia="Arial" w:hAnsi="Arial"/>
          <w:sz w:val="16"/>
          <w:szCs w:val="16"/>
          <w:b w:val="1"/>
          <w:bCs w:val="1"/>
          <w:color w:val="auto"/>
        </w:rPr>
        <w:t>Previous Holdings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New Holdings directly owns (i) 100% of the Equity Interests of the Borrower and (ii) 100% of the Equity Interests of each other direct Subsidiary of Previous Holdings which were owned by Previous Holdings immediately prior thereto, (b) New Holdings shall expressly assume all the obligations of Previous Holdings under this Agreement and the other Credit Documents pursuant to a supplement hereto or thereto in form and substance reasonably satisfactory to the Administrative Agent, (c) if reasonably requested by the Administrative Agent, an opinion of counsel shall be delivered by the Borrower to the Administrative Agent to the effect that, without limitation, such substitution does not violate this Agreement or any other Credit Document, (d) all Capital Stock of the Borrower and each other direct Subsidiary of Previous Holdings and substantially all of the other assets of Previous Holdings are contributed or otherwise transferred, directly or indirectly, to such New Holdings and pledged to secure the Obligations, (f) (i) no Event of Default has occurred and is continuing at the time of such substitution and such substitution does not result in any Event of Default, (ii) such substitution does not result in any material adverse tax consequences to any Credit Party and (iii) such substitution does not result in any adverse tax consequences to any Lender (unless reimbursed hereunder) or to the Administrative Agent (unless reimbursed hereunder),</w:t>
      </w:r>
    </w:p>
    <w:p>
      <w:pPr>
        <w:spacing w:after="0" w:line="8" w:lineRule="exact"/>
        <w:rPr>
          <w:sz w:val="20"/>
          <w:szCs w:val="20"/>
          <w:color w:val="auto"/>
        </w:rPr>
      </w:pPr>
    </w:p>
    <w:p>
      <w:pPr>
        <w:ind w:right="200" w:firstLine="8"/>
        <w:spacing w:after="0" w:line="255" w:lineRule="auto"/>
        <w:tabs>
          <w:tab w:leader="none" w:pos="2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no Change of Control shall occur;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each of the foregoing is satisfied, Previous Holdings shall be automatically released of all its obligations under the Credit Documents and any reference to Holdings in the Credit Documents shall be meant to refer to New Holdings and (h) New Holdings shall be organized in the United States, any state thereof or the District of Columbia.</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shall have the meaning given such term in the definition of “GAAP”.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Impacted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Amount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incur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400"/>
          </w:cols>
          <w:pgMar w:left="240" w:top="810" w:right="259" w:bottom="1440" w:gutter="0" w:footer="0" w:header="0"/>
        </w:sectPr>
      </w:pPr>
    </w:p>
    <w:bookmarkStart w:id="109" w:name="page110"/>
    <w:bookmarkEnd w:id="109"/>
    <w:p>
      <w:pPr>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xml:space="preserve">” shall mean, with respect to any Person, (i) any indebtedness (including principal and premium) of such Person, whether or not contingent (a) in respect of borrowed money, (b) evidenced by bonds, notes, debentures, or similar instruments or letters of credit or bankers’ acceptances (or, without double counting, reimbursement agreements in respect thereof), (c) representing the balance deferred and unpaid of the purchase price of any property (including Capitalized Lease Obligations), or (d) representing any Hedging Obligations, if and to the extent that any of the foregoing Indebtedness (other than letters of credit and Hedging Obligations) would appear as a net liability upon a balance sheet (excluding the footnotes thereto) of such Person prepared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Indebtedness of any direct or indirect parent company appearing upon the balance sheet of Holdings solely by reason of push down accounting under GAAP shall be excluded, (ii) to the extent not otherwise included, any obligation by such Person to be liable for, or to pay, as obligor, guarantor or otherwise, on the obligations of the type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another Person (whether or not such items would appear upon the balance sheet of such obligor or guarantor), other than by endorsement of negotiable instruments for collection in the ordinary course of business, and (iii) to the extent not otherwise included, the obligations of the type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another Person secured by a Lien on any asset owned by such Person, whether or not such Indebtedness is assumed by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Indebtedness shall be deemed not to include (1) Contingent Obligations incurred in the ordinary course of business, (2) obligations under or in respect of Receivables Facilities, (3) prepaid or deferred revenue arising in the ordinary course of business, (4) purchase price holdbacks arising in the ordinary course of business in respect of a portion of the purchase price of an asset to satisfy warrants or other unperformed obligations of the seller of such asset, (5) any balance that constitutes a trade payable or similar obligation to a trade creditor, accrued in the ordinary course of business, or (6) any earn-out obligation until such obligation, within 60 days of becoming due and payable, has not been paid and such obligation is reflected as a liability on the balance sheet of such Person in accordance with GAAP. The amount of Indebtedness of any Person for purposes of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above shall (unless such Indebtedness has been assumed by such Person) be deemed to be equal to the lesser of (x) the aggregate unpaid amount of such Indebtedness and (y) the Fair Market Value of the property encumbered thereby as determined by such Person in good faith.</w:t>
      </w:r>
    </w:p>
    <w:p>
      <w:pPr>
        <w:spacing w:after="0" w:line="39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For all purposes hereof, the Indebtedness of Holdings, the Borrower and the other Restricted Subsidiaries, shall exclude all intercompany Indebtedness having a term not exceeding 365 days (inclusive of any roll-over or extensions of terms) and made in the ordinary course of business consistent with past practice.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Liabilities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“Indemnified Person</w:t>
      </w:r>
      <w:r>
        <w:rPr>
          <w:rFonts w:ascii="Arial" w:cs="Arial" w:eastAsia="Arial" w:hAnsi="Arial"/>
          <w:sz w:val="18"/>
          <w:szCs w:val="18"/>
          <w:color w:val="auto"/>
        </w:rPr>
        <w:t>” shall have the meaning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13.5</w:t>
      </w:r>
      <w:r>
        <w:rPr>
          <w:rFonts w:ascii="Arial" w:cs="Arial" w:eastAsia="Arial" w:hAnsi="Arial"/>
          <w:sz w:val="18"/>
          <w:szCs w:val="18"/>
          <w:color w:val="auto"/>
        </w:rPr>
        <w:t>.</w:t>
      </w:r>
    </w:p>
    <w:p>
      <w:pPr>
        <w:spacing w:after="0" w:line="225"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shall mean all Taxes imposed on or with respect to any payment by or on account of any obligation of any Credit Party hereunder or under any other Credit Document, other than Excluded Taxes or Other Taxes.</w:t>
      </w:r>
    </w:p>
    <w:p>
      <w:pPr>
        <w:spacing w:after="0" w:line="162"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Investors</w:t>
      </w:r>
      <w:r>
        <w:rPr>
          <w:rFonts w:ascii="Arial" w:cs="Arial" w:eastAsia="Arial" w:hAnsi="Arial"/>
          <w:sz w:val="18"/>
          <w:szCs w:val="18"/>
          <w:color w:val="auto"/>
        </w:rPr>
        <w:t>” shall mean Kohlberg Kravis Roberts &amp; Co. L.P., KKR North America Fund XI L.P., KKR North America Fund XI ESC L.P., KKR North America Fund XI SBS L.P., KKR Partners III, L.P. KKR CIS Global Investor L.P., CPS Managers Fund L.P., KKR Principal Opportunities Partnership (Domestic) L.P., KKR Principal Opportunities Partnership (Domestic) L.P., Berkshire Fund VI, Limited Partnership, Berkshire Investors LLC and Berkshire Investors III LLC, and each of their respective Affiliates and successors.</w:t>
      </w:r>
    </w:p>
    <w:p>
      <w:pPr>
        <w:spacing w:after="0" w:line="180"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shall mean, with respect to any Multiemployer Plan, the condition that such Multiemployer Plan is insolvent within the meaning of Section 4245 of ERISA.</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380"/>
          </w:cols>
          <w:pgMar w:left="240" w:top="810" w:right="279" w:bottom="1440" w:gutter="0" w:footer="0" w:header="0"/>
        </w:sectPr>
      </w:pPr>
    </w:p>
    <w:bookmarkStart w:id="110" w:name="page111"/>
    <w:bookmarkEnd w:id="110"/>
    <w:p>
      <w:pPr>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shall mean U.S. and foreign intellectual property, including all (i) (a) patents, inventions, processes, developments, technology, and know-how; (b) copyrights and works of authorship in any media, including graphics, advertising materials, labels, package designs, and photographs; (c) trademarks, service marks, trade names, brand names, corporate names, domain names, logos, trade dress, and other source indicators, and the goodwill of any business symbolized thereby; and (d) trade secrets, confidential, proprietary, or non-public information and (ii) all registrations, issuances, applications, renewals, extensions, substitutions, continuations, continuations-in-part, divisions, re-issues, re-examinations, foreign counterparts, or similar legal protections related to the foregoing.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xml:space="preserve">” shall mean, with respect to any Loan, the interest period applicable thereto, as determined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w:t>
      </w:r>
      <w:r>
        <w:rPr>
          <w:rFonts w:ascii="Arial" w:cs="Arial" w:eastAsia="Arial" w:hAnsi="Arial"/>
          <w:sz w:val="17"/>
          <w:szCs w:val="17"/>
          <w:color w:val="auto"/>
        </w:rPr>
        <w:t xml:space="preserve">” shall mean, with respect to any Person, all investments by such Person in other Persons (including Affiliates) in the form of loans (including guarantees), advances, or capital contributions (excluding accounts receivable, trade credit, advances to customers, commission, travel, and similar advances to officers and employees, in each case made in the ordinary course of business), purchases or other acquisitions for consideration of Indebtedness, Equity Interests, or other securities issued by any other Person and investments that are required by GAAP to be classified on the balance sheet (excluding the footnotes) of Holdings in the same manner as the other investments included in this definition to the extent such transactions involve the transfer of cash or other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Investments shall not include, in the case of Holdings, the Borrower, and the other Restricted Subsidiaries, intercompany loans, advances, or Indebtedness either (i) having a term not exceeding 364 days (inclusive of any roll-over or extensions of terms) and made in the ordinary course of business or (ii) arising from cash management, tax and/or accounting operations.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purposes of the definition of “Unrestricted Subsidiary” and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225" w:lineRule="exact"/>
        <w:rPr>
          <w:sz w:val="20"/>
          <w:szCs w:val="20"/>
          <w:color w:val="auto"/>
        </w:rPr>
      </w:pPr>
    </w:p>
    <w:p>
      <w:pPr>
        <w:ind w:left="660" w:firstLine="1536"/>
        <w:spacing w:after="0" w:line="255" w:lineRule="auto"/>
        <w:tabs>
          <w:tab w:leader="none" w:pos="255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Investments shall include the portion (proportionate to Holdings’ equity interest in such Subsidiary) of the Fair Market Value of the net assets of a Subsidiary of Holdings at the time that such Subsidiary is designated an Unrestricted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a redesignation of such Subsidiary as a Restricted Subsidiary, Holdings shall be deemed to continue to have a permanent Investment in an Unrestricted Subsidiary in an amount (if positive) equal to (a) Holdings’ Investment in such Subsidiary at the time of such redesignation </w:t>
      </w:r>
      <w:r>
        <w:rPr>
          <w:rFonts w:ascii="Arial" w:cs="Arial" w:eastAsia="Arial" w:hAnsi="Arial"/>
          <w:sz w:val="18"/>
          <w:szCs w:val="18"/>
          <w:i w:val="1"/>
          <w:iCs w:val="1"/>
          <w:color w:val="auto"/>
        </w:rPr>
        <w:t>less</w:t>
      </w:r>
      <w:r>
        <w:rPr>
          <w:rFonts w:ascii="Arial" w:cs="Arial" w:eastAsia="Arial" w:hAnsi="Arial"/>
          <w:sz w:val="18"/>
          <w:szCs w:val="18"/>
          <w:color w:val="auto"/>
        </w:rPr>
        <w:t xml:space="preserve"> (b) the portion (proportionate to Holdings’ equity interest in such Subsidiary) of the Fair Market Value of the net assets of such Subsidiary at the time of such redesignation; and</w:t>
      </w:r>
    </w:p>
    <w:p>
      <w:pPr>
        <w:spacing w:after="0" w:line="193" w:lineRule="exact"/>
        <w:rPr>
          <w:rFonts w:ascii="Arial" w:cs="Arial" w:eastAsia="Arial" w:hAnsi="Arial"/>
          <w:sz w:val="18"/>
          <w:szCs w:val="18"/>
          <w:color w:val="auto"/>
        </w:rPr>
      </w:pPr>
    </w:p>
    <w:p>
      <w:pPr>
        <w:ind w:left="2600" w:hanging="404"/>
        <w:spacing w:after="0"/>
        <w:tabs>
          <w:tab w:leader="none" w:pos="26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property transferred to or from an Unrestricted Subsidiary shall be valued at its Fair Market Value at the time of such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transfer.</w:t>
      </w:r>
    </w:p>
    <w:p>
      <w:pPr>
        <w:spacing w:after="0" w:line="211"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The amount of any Investment outstanding at any time shall be the original cost of such Investment, reduced by any dividend, distribution, interest payment, return of capital, repayment, or other amount received by Holdings or a Restricted Subsidiary in respect of such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amounts received other than in the form of Cash Equivalents, such amount shall be equal to the Fair Market Value of such consideration).</w:t>
      </w:r>
    </w:p>
    <w:p>
      <w:pPr>
        <w:spacing w:after="0" w:line="143"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Rating</w:t>
      </w:r>
      <w:r>
        <w:rPr>
          <w:rFonts w:ascii="Arial" w:cs="Arial" w:eastAsia="Arial" w:hAnsi="Arial"/>
          <w:sz w:val="18"/>
          <w:szCs w:val="18"/>
          <w:color w:val="auto"/>
        </w:rPr>
        <w:t>” shall mean a rating equal to or higher than Baa3 (or the equivalent) by Moody’s and BBB- (or the equivalent) by S&amp;P, or an equivalent rating by any other rating agency.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Securities</w:t>
      </w:r>
      <w:r>
        <w:rPr>
          <w:rFonts w:ascii="Arial" w:cs="Arial" w:eastAsia="Arial" w:hAnsi="Arial"/>
          <w:sz w:val="18"/>
          <w:szCs w:val="18"/>
          <w:color w:val="auto"/>
        </w:rPr>
        <w:t>” shall mean:</w:t>
      </w:r>
    </w:p>
    <w:p>
      <w:pPr>
        <w:spacing w:after="0" w:line="229" w:lineRule="exact"/>
        <w:rPr>
          <w:sz w:val="20"/>
          <w:szCs w:val="20"/>
          <w:color w:val="auto"/>
        </w:rPr>
      </w:pPr>
    </w:p>
    <w:p>
      <w:pPr>
        <w:ind w:left="660" w:right="940" w:firstLine="1536"/>
        <w:spacing w:after="0" w:line="277" w:lineRule="auto"/>
        <w:tabs>
          <w:tab w:leader="none" w:pos="255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thereof (other than Cash Equivalents),</w:t>
      </w:r>
    </w:p>
    <w:p>
      <w:pPr>
        <w:spacing w:after="0" w:line="170" w:lineRule="exact"/>
        <w:rPr>
          <w:rFonts w:ascii="Arial" w:cs="Arial" w:eastAsia="Arial" w:hAnsi="Arial"/>
          <w:sz w:val="18"/>
          <w:szCs w:val="18"/>
          <w:color w:val="auto"/>
        </w:rPr>
      </w:pPr>
    </w:p>
    <w:p>
      <w:pPr>
        <w:ind w:left="660" w:right="360" w:firstLine="1536"/>
        <w:spacing w:after="0" w:line="277" w:lineRule="auto"/>
        <w:tabs>
          <w:tab w:leader="none" w:pos="2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debt securities or debt instruments with an Investment Grade Rating, but excluding any debt securities or instruments constituting loans or advances among Holdings and its Subsidiaries,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400"/>
          </w:cols>
          <w:pgMar w:left="240" w:top="810" w:right="259" w:bottom="1440" w:gutter="0" w:footer="0" w:header="0"/>
        </w:sectPr>
      </w:pPr>
    </w:p>
    <w:bookmarkStart w:id="111" w:name="page112"/>
    <w:bookmarkEnd w:id="111"/>
    <w:p>
      <w:pPr>
        <w:ind w:left="660" w:right="260" w:firstLine="1536"/>
        <w:spacing w:after="0" w:line="277" w:lineRule="auto"/>
        <w:tabs>
          <w:tab w:leader="none" w:pos="265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investments in any fund that invest at least 90% in investments of the type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which fund may also hold immaterial amounts of cash pending investment or distribution, and</w:t>
      </w:r>
    </w:p>
    <w:p>
      <w:pPr>
        <w:spacing w:after="0" w:line="170" w:lineRule="exact"/>
        <w:rPr>
          <w:rFonts w:ascii="Arial" w:cs="Arial" w:eastAsia="Arial" w:hAnsi="Arial"/>
          <w:sz w:val="18"/>
          <w:szCs w:val="18"/>
          <w:color w:val="auto"/>
        </w:rPr>
      </w:pPr>
    </w:p>
    <w:p>
      <w:pPr>
        <w:ind w:left="2640" w:hanging="444"/>
        <w:spacing w:after="0"/>
        <w:tabs>
          <w:tab w:leader="none" w:pos="2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corresponding instruments in countries other than the United States customarily utilized for high-quality investments.</w:t>
      </w:r>
    </w:p>
    <w:p>
      <w:pPr>
        <w:spacing w:after="0" w:line="23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ISP</w:t>
      </w:r>
      <w:r>
        <w:rPr>
          <w:rFonts w:ascii="Arial" w:cs="Arial" w:eastAsia="Arial" w:hAnsi="Arial"/>
          <w:sz w:val="18"/>
          <w:szCs w:val="18"/>
          <w:color w:val="auto"/>
        </w:rPr>
        <w:t>” shall mean, with respect to any Letter of Credit, the “International Standby Practices 1998” published by the Institute of International Banking Law &amp; Practice (or such later version thereof as may be in effect at the time of issuance).</w:t>
      </w:r>
    </w:p>
    <w:p>
      <w:pPr>
        <w:spacing w:after="0" w:line="162" w:lineRule="exact"/>
        <w:rPr>
          <w:sz w:val="20"/>
          <w:szCs w:val="20"/>
          <w:color w:val="auto"/>
        </w:rPr>
      </w:pPr>
    </w:p>
    <w:p>
      <w:pPr>
        <w:ind w:right="3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Documents</w:t>
      </w:r>
      <w:r>
        <w:rPr>
          <w:rFonts w:ascii="Arial" w:cs="Arial" w:eastAsia="Arial" w:hAnsi="Arial"/>
          <w:sz w:val="18"/>
          <w:szCs w:val="18"/>
          <w:color w:val="auto"/>
        </w:rPr>
        <w:t>” shall mean with respect to any Letter of Credit, the Letter of Credit Request, and any other document, agreement, and instrument entered into by the Letter of Credit Issuer and the Borrower (or any other Restricted Subsidiary or Holdings) or in favor of the Letter of Credit Issuer and relating to such Letter of Credit.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Joinder Agreement</w:t>
      </w:r>
      <w:r>
        <w:rPr>
          <w:rFonts w:ascii="Arial" w:cs="Arial" w:eastAsia="Arial" w:hAnsi="Arial"/>
          <w:sz w:val="18"/>
          <w:szCs w:val="18"/>
          <w:color w:val="auto"/>
        </w:rPr>
        <w:t xml:space="preserve">” shall mean an agreement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jc w:val="both"/>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Lead Arrangers and Bookrunners</w:t>
      </w:r>
      <w:r>
        <w:rPr>
          <w:rFonts w:ascii="Arial" w:cs="Arial" w:eastAsia="Arial" w:hAnsi="Arial"/>
          <w:sz w:val="18"/>
          <w:szCs w:val="18"/>
          <w:color w:val="auto"/>
        </w:rPr>
        <w:t>” shall mean BofA Securities, Inc., KKR Capital Markets LLC, JPMorgan Chase Bank, N.A. and Wells Fargo Securities, LLC and, for purposes of the protections and indemnification provisions hereof, the “Joint Lead Arrangers and Bookrunners” (as defined in the Original Credit Agreement).</w:t>
      </w:r>
    </w:p>
    <w:p>
      <w:pPr>
        <w:spacing w:after="0" w:line="176"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Debt</w:t>
      </w:r>
      <w:r>
        <w:rPr>
          <w:rFonts w:ascii="Arial" w:cs="Arial" w:eastAsia="Arial" w:hAnsi="Arial"/>
          <w:sz w:val="18"/>
          <w:szCs w:val="18"/>
          <w:color w:val="auto"/>
        </w:rPr>
        <w:t>” shall mean any Indebtedness (other than any permitted intercompany indebtedness owing to the Borrower or any Restricted Subsidiary) in respect of Subordinated Indebtedness.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KKR</w:t>
      </w:r>
      <w:r>
        <w:rPr>
          <w:rFonts w:ascii="Arial" w:cs="Arial" w:eastAsia="Arial" w:hAnsi="Arial"/>
          <w:sz w:val="18"/>
          <w:szCs w:val="18"/>
          <w:color w:val="auto"/>
        </w:rPr>
        <w:t>” shall mean each of Kohlberg Kravis Roberts &amp; Co. L.P. and KKR North America Fund XI L.P.</w:t>
      </w:r>
    </w:p>
    <w:p>
      <w:pPr>
        <w:spacing w:after="0" w:line="225" w:lineRule="exact"/>
        <w:rPr>
          <w:sz w:val="20"/>
          <w:szCs w:val="20"/>
          <w:color w:val="auto"/>
        </w:rPr>
      </w:pPr>
    </w:p>
    <w:p>
      <w:pPr>
        <w:ind w:right="2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Latest Term Loan Maturity Date</w:t>
      </w:r>
      <w:r>
        <w:rPr>
          <w:rFonts w:ascii="Arial" w:cs="Arial" w:eastAsia="Arial" w:hAnsi="Arial"/>
          <w:sz w:val="18"/>
          <w:szCs w:val="18"/>
          <w:color w:val="auto"/>
        </w:rPr>
        <w:t>” shall mean, at any date of determination, the latest maturity or expiration date applicable to any Term Loan hereunder at such time, including the latest maturity or expiration date of any New Term Loan or any Extended Term Loan, in each case as extended in accordance with this Agreement from time to time.</w:t>
      </w:r>
    </w:p>
    <w:p>
      <w:pPr>
        <w:spacing w:after="0" w:line="176"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Borrowing</w:t>
      </w:r>
      <w:r>
        <w:rPr>
          <w:rFonts w:ascii="Arial" w:cs="Arial" w:eastAsia="Arial" w:hAnsi="Arial"/>
          <w:sz w:val="18"/>
          <w:szCs w:val="18"/>
          <w:color w:val="auto"/>
        </w:rPr>
        <w:t>” shall mean an extension of credit resulting from a drawing under any Letter of Credit which has not been reimbursed on the date when made or refinanced as a Borrowing.</w:t>
      </w:r>
    </w:p>
    <w:p>
      <w:pPr>
        <w:spacing w:after="0" w:line="162"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Facility Maturity Date</w:t>
      </w:r>
      <w:r>
        <w:rPr>
          <w:rFonts w:ascii="Arial" w:cs="Arial" w:eastAsia="Arial" w:hAnsi="Arial"/>
          <w:sz w:val="18"/>
          <w:szCs w:val="18"/>
          <w:color w:val="auto"/>
        </w:rPr>
        <w:t xml:space="preserve">” shall mean the date that is three Business Days prior to the Revolving Credit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L/C Facility Maturity Date may be extended beyond such date with the consent of the Letter of Credit Issuer.</w:t>
      </w:r>
    </w:p>
    <w:p>
      <w:pPr>
        <w:spacing w:after="0" w:line="162" w:lineRule="exact"/>
        <w:rPr>
          <w:sz w:val="20"/>
          <w:szCs w:val="20"/>
          <w:color w:val="auto"/>
        </w:rPr>
      </w:pPr>
    </w:p>
    <w:p>
      <w:pPr>
        <w:ind w:right="16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L/C Obligations</w:t>
      </w:r>
      <w:r>
        <w:rPr>
          <w:rFonts w:ascii="Arial" w:cs="Arial" w:eastAsia="Arial" w:hAnsi="Arial"/>
          <w:sz w:val="16"/>
          <w:szCs w:val="16"/>
          <w:color w:val="auto"/>
        </w:rPr>
        <w:t xml:space="preserve">” shall mean, as at any date of determination, the aggregate amount available to be drawn under all outstanding Letters of Credit </w:t>
      </w:r>
      <w:r>
        <w:rPr>
          <w:rFonts w:ascii="Arial" w:cs="Arial" w:eastAsia="Arial" w:hAnsi="Arial"/>
          <w:sz w:val="16"/>
          <w:szCs w:val="16"/>
          <w:i w:val="1"/>
          <w:iCs w:val="1"/>
          <w:color w:val="auto"/>
        </w:rPr>
        <w:t xml:space="preserve">plus </w:t>
      </w:r>
      <w:r>
        <w:rPr>
          <w:rFonts w:ascii="Arial" w:cs="Arial" w:eastAsia="Arial" w:hAnsi="Arial"/>
          <w:sz w:val="16"/>
          <w:szCs w:val="16"/>
          <w:color w:val="auto"/>
        </w:rPr>
        <w:t>the aggregate of all Unpaid Drawings, including all L/C Borrowings. For all purposes of this Agreement, if on any date of determination a Letter of</w:t>
      </w:r>
      <w:r>
        <w:rPr>
          <w:rFonts w:ascii="Arial" w:cs="Arial" w:eastAsia="Arial" w:hAnsi="Arial"/>
          <w:sz w:val="16"/>
          <w:szCs w:val="16"/>
          <w:i w:val="1"/>
          <w:iCs w:val="1"/>
          <w:color w:val="auto"/>
        </w:rPr>
        <w:t xml:space="preserve"> </w:t>
      </w:r>
      <w:r>
        <w:rPr>
          <w:rFonts w:ascii="Arial" w:cs="Arial" w:eastAsia="Arial" w:hAnsi="Arial"/>
          <w:sz w:val="16"/>
          <w:szCs w:val="16"/>
          <w:color w:val="auto"/>
        </w:rPr>
        <w:t>Credit has expired by its terms but any amount may still be drawn thereunder by reason of the operation of Rule 3.14 of the International Standby Practices (ISP98), such Letter of Credit shall be deemed to be “outstanding” in the amount so remaining available to be drawn. Unless otherwise specified herein, the amount of a Letter of Credit at any time shall be deemed to be the stated amount of such Letter of Credit in effect at such time.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Participant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Participation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LCT Election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1.12(b)</w:t>
      </w:r>
      <w:r>
        <w:rPr>
          <w:rFonts w:ascii="Arial" w:cs="Arial" w:eastAsia="Arial" w:hAnsi="Arial"/>
          <w:sz w:val="18"/>
          <w:szCs w:val="18"/>
          <w:color w:val="auto"/>
        </w:rPr>
        <w:t>.</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380"/>
          </w:cols>
          <w:pgMar w:left="240" w:top="814" w:right="279" w:bottom="1440" w:gutter="0" w:footer="0" w:header="0"/>
        </w:sectPr>
      </w:pPr>
    </w:p>
    <w:bookmarkStart w:id="112" w:name="page113"/>
    <w:bookmarkEnd w:id="1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LCT Test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shall have the meaning provided in the preamble to this Agreement.</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 Default</w:t>
      </w:r>
      <w:r>
        <w:rPr>
          <w:rFonts w:ascii="Arial" w:cs="Arial" w:eastAsia="Arial" w:hAnsi="Arial"/>
          <w:sz w:val="17"/>
          <w:szCs w:val="17"/>
          <w:color w:val="auto"/>
        </w:rPr>
        <w:t>” shall mean (i) the refusal or failure of any Lender to make available its portion of any incurrence of Loans or Reimbursement Obligations, which refusal or failure is not cured within one business day after the date of such refusal or failure, unless such Lender notifies the Administrative Agent in writing that such refusal or failure is the result of such Lender’s good faith determination that one or more conditions precedent to funding (each of which conditions precedent, together with any applicable default, shall be specifically identified in writing) has not been satisfied, (ii) the failure of any Lender to pay over to the Administrative Agent, any Swingline Lender, any Letter of Credit Issuer or any other Lender any other amount required to be paid by it hereunder within one business day of the date when due, unless the subject of a good faith dispute, (iii) a Lender has notified, in writing, the Borrower or the Administrative Agent in writing that it does not intend to comply with its funding obligations under this Agreement or has made a public statement to that effect with respect to its funding obligations under this Agreement or a Lender has publicly announced that it does not intend to comply with its funding obligations under other loan agreements, credit agreements or similar facilities generally, (iv) a Lender has failed to confirm in a manner reasonably satisfactory to the Administrative Agent that it will comply with its funding obligations under this Agreement, (v) a Distressed Person has admitted in writing that it is insolvent or such Distressed Person becomes subject to a Lender-Related Distress Event or (vi) a Lender has become the subject of a Bail-In Action.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Presentation</w:t>
      </w:r>
      <w:r>
        <w:rPr>
          <w:rFonts w:ascii="Arial" w:cs="Arial" w:eastAsia="Arial" w:hAnsi="Arial"/>
          <w:sz w:val="18"/>
          <w:szCs w:val="18"/>
          <w:color w:val="auto"/>
        </w:rPr>
        <w:t>” shall mean the Lender Presentation of Holdings dated June 6, 2019.</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Lender-Related Distress Event</w:t>
      </w:r>
      <w:r>
        <w:rPr>
          <w:rFonts w:ascii="Arial" w:cs="Arial" w:eastAsia="Arial" w:hAnsi="Arial"/>
          <w:sz w:val="16"/>
          <w:szCs w:val="16"/>
          <w:color w:val="auto"/>
        </w:rPr>
        <w:t>” shall mean, with respect to any Lender or any other Person that directly or indirectly controls such Lender (each, a “</w:t>
      </w:r>
      <w:r>
        <w:rPr>
          <w:rFonts w:ascii="Arial" w:cs="Arial" w:eastAsia="Arial" w:hAnsi="Arial"/>
          <w:sz w:val="16"/>
          <w:szCs w:val="16"/>
          <w:b w:val="1"/>
          <w:bCs w:val="1"/>
          <w:color w:val="auto"/>
        </w:rPr>
        <w:t>Distressed Person</w:t>
      </w:r>
      <w:r>
        <w:rPr>
          <w:rFonts w:ascii="Arial" w:cs="Arial" w:eastAsia="Arial" w:hAnsi="Arial"/>
          <w:sz w:val="16"/>
          <w:szCs w:val="16"/>
          <w:color w:val="auto"/>
        </w:rPr>
        <w:t xml:space="preserve">”), a voluntary or involuntary case with respect to such Distressed Person under any debt relief law, or a custodian, conservator, receiver, or similar official is appointed for such Distressed Person or any substantial part of such Distressed Person’s assets, or such Distressed Person, or any Person that directly or indirectly controls such Distressed Person or is subject to a forced liquidation or such Distressed Person makes a general assignment for the benefit of creditors or is otherwise adjudicated as, or determined by any governmental authority having regulatory authority over such Distressed Person to be, insolvent or bankrupt;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Lender-Related Distress Event shall not be deemed to have occurred solely by virtue of the ownership or acquisition of any equity interests in any Lender or any Person that directly or indirectly controls such Lender by a governmental authority or an instrumentality thereof so long as such equity interest does not result in or provide such Lender with immunity from the jurisdiction of courts within the United States or from the enforcement of judgments or writs of attachment on its assets or permit such Lender (or such governmental authority or instrumentality thereof) to reject, repudiate, disavow or disaffirm any contracts or agreements made with such Lender.</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xml:space="preserve">” shall mean each letter of credit issued pursuant to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and includes the Existing Letters of Credit.</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Letter of Credit Commitment</w:t>
      </w:r>
      <w:r>
        <w:rPr>
          <w:rFonts w:ascii="Arial" w:cs="Arial" w:eastAsia="Arial" w:hAnsi="Arial"/>
          <w:sz w:val="16"/>
          <w:szCs w:val="16"/>
          <w:color w:val="auto"/>
        </w:rPr>
        <w:t>” shall mean $20,000,000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Letter of Credit Commitment of (i) Bank of America, N.A. shall not exceed $6,666,666.67, (ii) JPMorgan Chase Bank, N.A. shall not exceed $6,666,666.67 and (iii) Wells Fargo Bank, N.A. shall not exceed $6,666,666.66, in each case unless otherwise agreed to by such Letter of Credit Issuer in its sole discretion), as the same may be reduced from time to time pursuant to </w:t>
      </w:r>
      <w:r>
        <w:rPr>
          <w:rFonts w:ascii="Arial" w:cs="Arial" w:eastAsia="Arial" w:hAnsi="Arial"/>
          <w:sz w:val="16"/>
          <w:szCs w:val="16"/>
          <w:u w:val="single" w:color="auto"/>
          <w:color w:val="auto"/>
        </w:rPr>
        <w:t>Section3.1</w:t>
      </w:r>
      <w:r>
        <w:rPr>
          <w:rFonts w:ascii="Arial" w:cs="Arial" w:eastAsia="Arial" w:hAnsi="Arial"/>
          <w:sz w:val="16"/>
          <w:szCs w:val="16"/>
          <w:color w:val="auto"/>
        </w:rPr>
        <w:t>.</w:t>
      </w:r>
    </w:p>
    <w:p>
      <w:pPr>
        <w:spacing w:after="0" w:line="142"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Expiration Date</w:t>
      </w:r>
      <w:r>
        <w:rPr>
          <w:rFonts w:ascii="Arial" w:cs="Arial" w:eastAsia="Arial" w:hAnsi="Arial"/>
          <w:sz w:val="18"/>
          <w:szCs w:val="18"/>
          <w:color w:val="auto"/>
        </w:rPr>
        <w:t>” shall mean the day that is three Business Days prior to the scheduled Maturity Date then in effect for the Revolving Credit Facility.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420"/>
          </w:cols>
          <w:pgMar w:left="240" w:top="810" w:right="239" w:bottom="1440" w:gutter="0" w:footer="0" w:header="0"/>
        </w:sectPr>
      </w:pPr>
    </w:p>
    <w:bookmarkStart w:id="113" w:name="page114"/>
    <w:bookmarkEnd w:id="113"/>
    <w:p>
      <w:pPr>
        <w:ind w:right="1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Exposure</w:t>
      </w:r>
      <w:r>
        <w:rPr>
          <w:rFonts w:ascii="Arial" w:cs="Arial" w:eastAsia="Arial" w:hAnsi="Arial"/>
          <w:sz w:val="18"/>
          <w:szCs w:val="18"/>
          <w:color w:val="auto"/>
        </w:rPr>
        <w:t xml:space="preserve">” shall mean, with respect to any Lender, at any time, the sum of (i) the amount of the principal amount of any Unpaid Drawings in respect of which such Lender has made (or is required to have made) payments to the Letter of Credit Issuer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at such time and (ii) such Lender’s Revolving Credit Commitment Percentage of the Letters of Credit Outstanding at such time (excluding the portion thereof consisting of Unpaid Drawings in respect of which the Lenders have made (or are required to have made) payments to the Letter of Credit Issuer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Fee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Issuer</w:t>
      </w:r>
      <w:r>
        <w:rPr>
          <w:rFonts w:ascii="Arial" w:cs="Arial" w:eastAsia="Arial" w:hAnsi="Arial"/>
          <w:sz w:val="18"/>
          <w:szCs w:val="18"/>
          <w:color w:val="auto"/>
        </w:rPr>
        <w:t xml:space="preserve"> “ shall mean (i) in the case of standby Letters of Credit only, (a) as applicable, each of Bank of America, N.A., JPMorgan Chase Bank, N.A. and Wells Fargo Bank, N.A. and (b) any of their respective Affiliates or branches, (ii) any replacement, additional issuer, or successor pursuant to Section 3.6 and (iii) solely with respect to the Existing Letter of Credit issued by it and outstanding on the Restatement Effective Date, Goldman Sachs Bank USA. In the event that there is more than one Letter of Credit Issuer at any time, references herein and in the other Credit Documents to the Letter of Credit Issuer shall be deemed to refer to the Letter of Credit Issuer in respect of the applicable Letter of Credit or to all Letter of Credit Issuers, as the context requires.</w:t>
      </w:r>
    </w:p>
    <w:p>
      <w:pPr>
        <w:spacing w:after="0" w:line="188"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Request</w:t>
      </w:r>
      <w:r>
        <w:rPr>
          <w:rFonts w:ascii="Arial" w:cs="Arial" w:eastAsia="Arial" w:hAnsi="Arial"/>
          <w:sz w:val="18"/>
          <w:szCs w:val="18"/>
          <w:color w:val="auto"/>
        </w:rPr>
        <w:t xml:space="preserve">” shall mean a notice executed and delivered by the Borrower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substantially in the form of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or another form which is acceptable to the Letter of Credit Issuer in its reasonable discretion.</w:t>
      </w:r>
    </w:p>
    <w:p>
      <w:pPr>
        <w:spacing w:after="0" w:line="16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Letters of Credit Outstanding</w:t>
      </w:r>
      <w:r>
        <w:rPr>
          <w:rFonts w:ascii="Arial" w:cs="Arial" w:eastAsia="Arial" w:hAnsi="Arial"/>
          <w:sz w:val="18"/>
          <w:szCs w:val="18"/>
          <w:color w:val="auto"/>
        </w:rPr>
        <w:t>” shall mean, at any time the sum of, without duplication, (i) the aggregate Stated Amount of all outstanding Letters of Credit and (ii) the aggregate amount of the principal amount of all Unpaid Drawings.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shall have the meaning provided in the definition of “LIBOR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Loan</w:t>
      </w:r>
      <w:r>
        <w:rPr>
          <w:rFonts w:ascii="Arial" w:cs="Arial" w:eastAsia="Arial" w:hAnsi="Arial"/>
          <w:sz w:val="18"/>
          <w:szCs w:val="18"/>
          <w:color w:val="auto"/>
        </w:rPr>
        <w:t>” shall mean any Loan bearing interest at a rate determined by reference to the LIBOR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Rate</w:t>
      </w:r>
      <w:r>
        <w:rPr>
          <w:rFonts w:ascii="Arial" w:cs="Arial" w:eastAsia="Arial" w:hAnsi="Arial"/>
          <w:sz w:val="18"/>
          <w:szCs w:val="18"/>
          <w:color w:val="auto"/>
        </w:rPr>
        <w:t>” shall mean,</w:t>
      </w:r>
    </w:p>
    <w:p>
      <w:pPr>
        <w:spacing w:after="0" w:line="229" w:lineRule="exact"/>
        <w:rPr>
          <w:sz w:val="20"/>
          <w:szCs w:val="20"/>
          <w:color w:val="auto"/>
        </w:rPr>
      </w:pPr>
    </w:p>
    <w:p>
      <w:pPr>
        <w:ind w:left="660" w:right="80" w:firstLine="1536"/>
        <w:spacing w:after="0" w:line="255" w:lineRule="auto"/>
        <w:tabs>
          <w:tab w:leader="none" w:pos="2595" w:val="left"/>
        </w:tabs>
        <w:numPr>
          <w:ilvl w:val="1"/>
          <w:numId w:val="59"/>
        </w:numPr>
        <w:rPr>
          <w:rFonts w:ascii="Arial" w:cs="Arial" w:eastAsia="Arial" w:hAnsi="Arial"/>
          <w:sz w:val="18"/>
          <w:szCs w:val="18"/>
          <w:color w:val="auto"/>
        </w:rPr>
      </w:pPr>
      <w:r>
        <w:rPr>
          <w:rFonts w:ascii="Arial" w:cs="Arial" w:eastAsia="Arial" w:hAnsi="Arial"/>
          <w:sz w:val="18"/>
          <w:szCs w:val="18"/>
          <w:color w:val="auto"/>
        </w:rPr>
        <w:t>for any Interest Period with respect to a LIBOR Loan, the rate per annum equal to the London Interbank Offered Rate as administered by ICE Benchmark Administration (or any other Person that takes over the administration of such rate for U.S. Dollars for a period equal in length to such Interest Period) (“LIBOR”)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and</w:t>
      </w:r>
    </w:p>
    <w:p>
      <w:pPr>
        <w:spacing w:after="0" w:line="193" w:lineRule="exact"/>
        <w:rPr>
          <w:rFonts w:ascii="Arial" w:cs="Arial" w:eastAsia="Arial" w:hAnsi="Arial"/>
          <w:sz w:val="18"/>
          <w:szCs w:val="18"/>
          <w:color w:val="auto"/>
        </w:rPr>
      </w:pPr>
    </w:p>
    <w:p>
      <w:pPr>
        <w:ind w:left="660" w:right="340" w:firstLine="1536"/>
        <w:spacing w:after="0" w:line="342" w:lineRule="auto"/>
        <w:tabs>
          <w:tab w:leader="none" w:pos="2645" w:val="left"/>
        </w:tabs>
        <w:numPr>
          <w:ilvl w:val="1"/>
          <w:numId w:val="59"/>
        </w:numPr>
        <w:rPr>
          <w:rFonts w:ascii="Arial" w:cs="Arial" w:eastAsia="Arial" w:hAnsi="Arial"/>
          <w:sz w:val="16"/>
          <w:szCs w:val="16"/>
          <w:color w:val="auto"/>
        </w:rPr>
      </w:pPr>
      <w:r>
        <w:rPr>
          <w:rFonts w:ascii="Arial" w:cs="Arial" w:eastAsia="Arial" w:hAnsi="Arial"/>
          <w:sz w:val="16"/>
          <w:szCs w:val="16"/>
          <w:color w:val="auto"/>
        </w:rPr>
        <w:t>for any interest calculation with respect to an ABR Loan on any date, the rate per annum equal to LIBOR, at or about 11:00 a.m., London time determined two Business Days prior to such date for Dollar deposits with a term of one month commencing that day;</w:t>
      </w:r>
    </w:p>
    <w:p>
      <w:pPr>
        <w:spacing w:after="0" w:line="123" w:lineRule="exact"/>
        <w:rPr>
          <w:rFonts w:ascii="Arial" w:cs="Arial" w:eastAsia="Arial" w:hAnsi="Arial"/>
          <w:sz w:val="16"/>
          <w:szCs w:val="16"/>
          <w:color w:val="auto"/>
        </w:rPr>
      </w:pPr>
    </w:p>
    <w:p>
      <w:pPr>
        <w:ind w:left="100" w:hanging="92"/>
        <w:spacing w:after="0"/>
        <w:tabs>
          <w:tab w:leader="none" w:pos="100"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LIBOR Rate as determined below for any period would be less than zero, the LIBOR Rate for such period shall instead be zero.</w:t>
      </w:r>
    </w:p>
    <w:p>
      <w:pPr>
        <w:spacing w:after="0" w:line="233" w:lineRule="exact"/>
        <w:rPr>
          <w:sz w:val="20"/>
          <w:szCs w:val="20"/>
          <w:color w:val="auto"/>
        </w:rPr>
      </w:pPr>
    </w:p>
    <w:p>
      <w:pPr>
        <w:ind w:right="26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LIBOR Screen Rate</w:t>
      </w:r>
      <w:r>
        <w:rPr>
          <w:rFonts w:ascii="Arial" w:cs="Arial" w:eastAsia="Arial" w:hAnsi="Arial"/>
          <w:sz w:val="17"/>
          <w:szCs w:val="17"/>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Successor Rate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2.10(d)</w:t>
      </w:r>
      <w:r>
        <w:rPr>
          <w:rFonts w:ascii="Arial" w:cs="Arial" w:eastAsia="Arial" w:hAnsi="Arial"/>
          <w:sz w:val="18"/>
          <w:szCs w:val="18"/>
          <w:color w:val="auto"/>
        </w:rPr>
        <w: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420"/>
          </w:cols>
          <w:pgMar w:left="240" w:top="810" w:right="239" w:bottom="1440" w:gutter="0" w:footer="0" w:header="0"/>
        </w:sectPr>
      </w:pPr>
    </w:p>
    <w:bookmarkStart w:id="114" w:name="page115"/>
    <w:bookmarkEnd w:id="114"/>
    <w:p>
      <w:pPr>
        <w:ind w:right="40"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LIBOR Successor Rate Conforming Changes</w:t>
      </w:r>
      <w:r>
        <w:rPr>
          <w:rFonts w:ascii="Arial" w:cs="Arial" w:eastAsia="Arial" w:hAnsi="Arial"/>
          <w:sz w:val="16"/>
          <w:szCs w:val="16"/>
          <w:color w:val="auto"/>
        </w:rPr>
        <w:t>” means, with respect to any proposed LIBOR Successor Rate, any conforming changes to the definition of ABR, Interest Period, timing and frequency of determining rates and making payments of interest and other administrative matters as may be appropriate, in the discretion of the Administrative Agent and in consultation with the Borrower,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in consultation with the Borrower).</w:t>
      </w:r>
    </w:p>
    <w:p>
      <w:pPr>
        <w:spacing w:after="0" w:line="156"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xml:space="preserve">” shall mean with respect to any asset, any mortgage, lien,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 operating lease or a license to Intellectual Property be deemed to constitute a Lien.</w:t>
      </w:r>
    </w:p>
    <w:p>
      <w:pPr>
        <w:spacing w:after="0" w:line="184" w:lineRule="exact"/>
        <w:rPr>
          <w:sz w:val="20"/>
          <w:szCs w:val="20"/>
          <w:color w:val="auto"/>
        </w:rPr>
      </w:pPr>
    </w:p>
    <w:p>
      <w:pPr>
        <w:ind w:right="16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Limited Condition Transaction</w:t>
      </w:r>
      <w:r>
        <w:rPr>
          <w:rFonts w:ascii="Arial" w:cs="Arial" w:eastAsia="Arial" w:hAnsi="Arial"/>
          <w:sz w:val="17"/>
          <w:szCs w:val="17"/>
          <w:color w:val="auto"/>
        </w:rPr>
        <w:t>” shall mean (a) the consummation of any acquisition (including by way of merger), Investment, Disposition, Restricted Payment requiring declaration (as determined by Borrower) by one or more of Holdings, the Borrower and the Restricted Subsidiaries and whose consummation is not conditioned on the availability of, or on obtaining, third party financing and/or (b) any prepayment, repurchase or redemption of Indebtedness requiring irrevocable notice in advance of such prepayment, repurchase or redemption.</w:t>
      </w:r>
    </w:p>
    <w:p>
      <w:pPr>
        <w:spacing w:after="0" w:line="16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shall mean any Revolving Loan, Swingline Loan, Term Loan, Extended Term Loan, New Term Loan, or any other loan made by any Lender pursuant to this Agreement.</w:t>
      </w:r>
    </w:p>
    <w:p>
      <w:pPr>
        <w:spacing w:after="0" w:line="162" w:lineRule="exact"/>
        <w:rPr>
          <w:sz w:val="20"/>
          <w:szCs w:val="20"/>
          <w:color w:val="auto"/>
        </w:rPr>
      </w:pPr>
    </w:p>
    <w:p>
      <w:pPr>
        <w:ind w:right="24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Managed Care Subsidiary</w:t>
      </w:r>
      <w:r>
        <w:rPr>
          <w:rFonts w:ascii="Arial" w:cs="Arial" w:eastAsia="Arial" w:hAnsi="Arial"/>
          <w:sz w:val="17"/>
          <w:szCs w:val="17"/>
          <w:color w:val="auto"/>
        </w:rPr>
        <w:t>” shall mean FirstSight and any other Subsidiary of the Borrower (i) whose financial condition or activities are regulated under laws of any state in connection with the provision of health or vision care products or services (or related administrative services) and (ii) a pledge of the Capital Stock of whom, or whose guaranty of the Obligations or granting of a lien on its assets to secure the Obligations would violate any applicable law or regulation or require a consent of a Governmental Authority which has not been obtained.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Borrowing</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w:t>
      </w:r>
      <w:r>
        <w:rPr>
          <w:rFonts w:ascii="Arial" w:cs="Arial" w:eastAsia="Arial" w:hAnsi="Arial"/>
          <w:sz w:val="18"/>
          <w:szCs w:val="18"/>
          <w:color w:val="auto"/>
        </w:rPr>
        <w:t>” shall have the meaning provided in the definition of the term “Hedge Agreement.”</w:t>
      </w:r>
    </w:p>
    <w:p>
      <w:pPr>
        <w:spacing w:after="0" w:line="225"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shall mean a circumstance or condition affecting the business, assets, operations, properties, or financial condition of Holdings and its Subsidiaries, taken as a whole, that would, individually or in the aggregate, materially adversely affect (i) the ability of Holdings and the other Credit Parties, taken as a whole, to perform their payment obligations under this Agreement or any of the other Credit Documents or (ii) the rights and remedies of the Administrative Agent and the Lenders under the Credit Documents.</w:t>
      </w:r>
    </w:p>
    <w:p>
      <w:pPr>
        <w:spacing w:after="0" w:line="180"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Acquisition</w:t>
      </w:r>
      <w:r>
        <w:rPr>
          <w:rFonts w:ascii="Arial" w:cs="Arial" w:eastAsia="Arial" w:hAnsi="Arial"/>
          <w:sz w:val="18"/>
          <w:szCs w:val="18"/>
          <w:color w:val="auto"/>
        </w:rPr>
        <w:t>” shall mean any Permitted Acquisition or Investment, or the last to occur of a group of no greater than three Permitted Acquisitions and/or Investments (whether or not related to each other) consummated within a period of one year, if the aggregate amount of consideration paid in respect of, and liabilities incurred or assumed to finance, such Permitted Acquisition and/or Investment (or, if applicable, such group of Permitted Acquisitions and/or Investments) is in the aggregate at least $50,000,000 and the Borrower has designated such Permitted Acquisitions and/or Investments as a “Material Acquisition”.</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420"/>
          </w:cols>
          <w:pgMar w:left="240" w:top="810" w:right="239" w:bottom="1440" w:gutter="0" w:footer="0" w:header="0"/>
        </w:sectPr>
      </w:pPr>
    </w:p>
    <w:bookmarkStart w:id="115" w:name="page116"/>
    <w:bookmarkEnd w:id="115"/>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Subsidiary</w:t>
      </w:r>
      <w:r>
        <w:rPr>
          <w:rFonts w:ascii="Arial" w:cs="Arial" w:eastAsia="Arial" w:hAnsi="Arial"/>
          <w:sz w:val="17"/>
          <w:szCs w:val="17"/>
          <w:color w:val="auto"/>
        </w:rPr>
        <w:t xml:space="preserve">” shall mean, at any date of determination, each Restricted Subsidiary (i) whose total assets at the last day of the Test Period ending on the last day of the most recent fiscal period for which Section 9.1 Financials have been delivered were equal to or greater than 5.0% of the Consolidated Total Assets of Holdings and the Restricted Subsidiaries at such date or (ii) whose revenues during such Test Period were equal to or greater than 5.0% of the consolidated revenues of Holdings and the Restricted Subsidiaries for such period, in each case determined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at any time and from time to time after the Restatement Effective Date, Restricted Subsidiaries that are not Material Subsidiaries (other than Subsidiaries that are Excluded Subsidiaries by virtue of any of clauses (ii) through (xii) of the definition of “Excluded Subsidiary”) have, in the aggregate, (a) total assets at the last day of such Test Period equal to or greater than 7.5% of the Consolidated Total Assets of Holdings and the Restricted Subsidiaries at such date or (b) revenues during such Test Period equal to or greater than 7.5% of the consolidated revenues of Holdings and the Restricted Subsidiaries for such period, in each case determined in accordance with GAAP, then Holdings shall, on the date on which financial statements for such quarter are delivered pursuant to this Agreement, designate in writing to the Administrative Agent one or more of such Restricted Subsidiaries as Material Subsidiaries for each fiscal period until this proviso is no longer applicable.</w:t>
      </w:r>
    </w:p>
    <w:p>
      <w:pPr>
        <w:spacing w:after="0" w:line="174"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shall mean the Term A Loan Maturity Date, the New Term Loan Maturity Date, the Revolving Credit Maturity Date, the maturity date of an Extended Term Loan or the maturity date of an Extended Revolving Credit Loan, as applicable.</w:t>
      </w:r>
    </w:p>
    <w:p>
      <w:pPr>
        <w:spacing w:after="0" w:line="16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Incremental Facilities Amount</w:t>
      </w:r>
      <w:r>
        <w:rPr>
          <w:rFonts w:ascii="Arial" w:cs="Arial" w:eastAsia="Arial" w:hAnsi="Arial"/>
          <w:sz w:val="18"/>
          <w:szCs w:val="18"/>
          <w:color w:val="auto"/>
        </w:rPr>
        <w:t xml:space="preserve">” shall mean, at any date of determination, (i) the amount such that, after giving effect to the incurrence of such amount Holdings would be in compliance on a Pro Forma Basis (including any adjustments required by such definition as a result of a contemplated Permitted Acquisition and, only in the case of a simultaneous incurrence of the maximum amount permitted to be incurred under this clause (i) on the date of such incurrence together with an incurrence in reliance on clause (ii) below on such date, without giving pro forma effect to such simultaneous incurrence in reliance on clause (ii) below or under the Revolving Credit Facility) with the First Lien Secured Leverage Test (assuming that all outstanding Indebtedness incurred pursuant to </w:t>
      </w:r>
      <w:r>
        <w:rPr>
          <w:rFonts w:ascii="Arial" w:cs="Arial" w:eastAsia="Arial" w:hAnsi="Arial"/>
          <w:sz w:val="18"/>
          <w:szCs w:val="18"/>
          <w:u w:val="single" w:color="auto"/>
          <w:color w:val="auto"/>
        </w:rPr>
        <w:t>Section 10.1(x)</w:t>
      </w:r>
      <w:r>
        <w:rPr>
          <w:rFonts w:ascii="Arial" w:cs="Arial" w:eastAsia="Arial" w:hAnsi="Arial"/>
          <w:sz w:val="18"/>
          <w:szCs w:val="18"/>
          <w:color w:val="auto"/>
        </w:rPr>
        <w:t xml:space="preserve"> prior to or on such date of determination would be included in the definition of “Consolidated First Lien Secured Debt”, whether or not such Indebtedness would otherwise be so included and assuming the New Revolving Credit Commitments established at such time are fully drawn),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$100,000,000.</w:t>
      </w:r>
    </w:p>
    <w:p>
      <w:pPr>
        <w:spacing w:after="0" w:line="185" w:lineRule="exact"/>
        <w:rPr>
          <w:sz w:val="20"/>
          <w:szCs w:val="20"/>
          <w:color w:val="auto"/>
        </w:rPr>
      </w:pPr>
    </w:p>
    <w:p>
      <w:pPr>
        <w:ind w:right="3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Borrowing Amount</w:t>
      </w:r>
      <w:r>
        <w:rPr>
          <w:rFonts w:ascii="Arial" w:cs="Arial" w:eastAsia="Arial" w:hAnsi="Arial"/>
          <w:sz w:val="18"/>
          <w:szCs w:val="18"/>
          <w:color w:val="auto"/>
        </w:rPr>
        <w:t>” shall mean (i) with respect to a Borrowing of LIBOR Loans, $1,000,000 (or, if less, the entire remaining applicable Commitments at the time of such Borrowing) and (ii) with respect to a Borrowing of ABR Loans, $1,000,000 (or, if less, the entire remaining applicable Commitments at the time of such Borrowing).</w:t>
      </w:r>
    </w:p>
    <w:p>
      <w:pPr>
        <w:spacing w:after="0" w:line="176"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Collateral Amount</w:t>
      </w:r>
      <w:r>
        <w:rPr>
          <w:rFonts w:ascii="Arial" w:cs="Arial" w:eastAsia="Arial" w:hAnsi="Arial"/>
          <w:sz w:val="18"/>
          <w:szCs w:val="18"/>
          <w:color w:val="auto"/>
        </w:rPr>
        <w:t xml:space="preserve">” shall mean, at any time, (i) with respect to Cash Collateral consisting of cash or Cash Equivalents or deposit account balances provided to reduce or eliminate Fronting Exposure during the existence of a Defaulting Lender, an amount equal to 101% of the Fronting Exposure of the Letter of Credit Issuer with respect to Letters of Credit issued and outstanding at such time and (ii) with respect to Cash Collateral consisting of cash or Cash Equivalents or deposit account balances provided in accordance with the provisions of </w:t>
      </w:r>
      <w:r>
        <w:rPr>
          <w:rFonts w:ascii="Arial" w:cs="Arial" w:eastAsia="Arial" w:hAnsi="Arial"/>
          <w:sz w:val="18"/>
          <w:szCs w:val="18"/>
          <w:u w:val="single" w:color="auto"/>
          <w:color w:val="auto"/>
        </w:rPr>
        <w:t>Section 3.8(a)(i)</w:t>
      </w:r>
      <w:r>
        <w:rPr>
          <w:rFonts w:ascii="Arial" w:cs="Arial" w:eastAsia="Arial" w:hAnsi="Arial"/>
          <w:sz w:val="18"/>
          <w:szCs w:val="18"/>
          <w:color w:val="auto"/>
        </w:rPr>
        <w:t xml:space="preserve">, </w:t>
      </w:r>
      <w:r>
        <w:rPr>
          <w:rFonts w:ascii="Arial" w:cs="Arial" w:eastAsia="Arial" w:hAnsi="Arial"/>
          <w:sz w:val="18"/>
          <w:szCs w:val="18"/>
          <w:u w:val="single" w:color="auto"/>
          <w:color w:val="auto"/>
        </w:rPr>
        <w:t>(a)(ii)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(a)(iii)</w:t>
      </w:r>
      <w:r>
        <w:rPr>
          <w:rFonts w:ascii="Arial" w:cs="Arial" w:eastAsia="Arial" w:hAnsi="Arial"/>
          <w:sz w:val="18"/>
          <w:szCs w:val="18"/>
          <w:color w:val="auto"/>
        </w:rPr>
        <w:t>, an amount equal to 101% of the outstanding amount of all L/C Obligations.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shall mean Moody’s Investors Service, Inc. or any successor by merger or consolidation to its business.</w:t>
      </w:r>
    </w:p>
    <w:p>
      <w:pPr>
        <w:spacing w:after="0" w:line="225" w:lineRule="exact"/>
        <w:rPr>
          <w:sz w:val="20"/>
          <w:szCs w:val="20"/>
          <w:color w:val="auto"/>
        </w:rPr>
      </w:pPr>
    </w:p>
    <w:p>
      <w:pPr>
        <w:ind w:right="20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w:t>
      </w:r>
      <w:r>
        <w:rPr>
          <w:rFonts w:ascii="Arial" w:cs="Arial" w:eastAsia="Arial" w:hAnsi="Arial"/>
          <w:sz w:val="16"/>
          <w:szCs w:val="16"/>
          <w:color w:val="auto"/>
        </w:rPr>
        <w:t>” shall mean a mortgage, deed of trust, deed to secure debt, trust deed, or other security document entered into by the owner of a Mortgaged Property and the Collateral Agent for the benefit of the Secured Parties in respect of that Mortgaged Property to secure the Obligations, in form and substance reasonably acceptable to the Collateral Agent and the Borrower, together with such terms and provisions as may be required by local laws.</w:t>
      </w:r>
    </w:p>
    <w:p>
      <w:pPr>
        <w:spacing w:after="0" w:line="142" w:lineRule="exact"/>
        <w:rPr>
          <w:sz w:val="20"/>
          <w:szCs w:val="20"/>
          <w:color w:val="auto"/>
        </w:rPr>
      </w:pPr>
    </w:p>
    <w:p>
      <w:pPr>
        <w:ind w:right="1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Mortgaged Property</w:t>
      </w:r>
      <w:r>
        <w:rPr>
          <w:rFonts w:ascii="Arial" w:cs="Arial" w:eastAsia="Arial" w:hAnsi="Arial"/>
          <w:sz w:val="16"/>
          <w:szCs w:val="16"/>
          <w:color w:val="auto"/>
        </w:rPr>
        <w:t xml:space="preserve">” shall mean, initially, each parcel of real estate and the improvements thereto owned in fee by a Credit Party and identified on </w:t>
      </w:r>
      <w:r>
        <w:rPr>
          <w:rFonts w:ascii="Arial" w:cs="Arial" w:eastAsia="Arial" w:hAnsi="Arial"/>
          <w:sz w:val="16"/>
          <w:szCs w:val="16"/>
          <w:u w:val="single" w:color="auto"/>
          <w:color w:val="auto"/>
        </w:rPr>
        <w:t>Schedule 1.1(a)</w:t>
      </w:r>
      <w:r>
        <w:rPr>
          <w:rFonts w:ascii="Arial" w:cs="Arial" w:eastAsia="Arial" w:hAnsi="Arial"/>
          <w:sz w:val="16"/>
          <w:szCs w:val="16"/>
          <w:color w:val="auto"/>
        </w:rPr>
        <w:t xml:space="preserve">, and each other parcel of real property and improvements thereto with respect to which a Mortgage is granted pursuant to </w:t>
      </w:r>
      <w:r>
        <w:rPr>
          <w:rFonts w:ascii="Arial" w:cs="Arial" w:eastAsia="Arial" w:hAnsi="Arial"/>
          <w:sz w:val="16"/>
          <w:szCs w:val="16"/>
          <w:u w:val="single" w:color="auto"/>
          <w:color w:val="auto"/>
        </w:rPr>
        <w:t>Section 9.14</w:t>
      </w:r>
      <w:r>
        <w:rPr>
          <w:rFonts w:ascii="Arial" w:cs="Arial" w:eastAsia="Arial" w:hAnsi="Arial"/>
          <w:sz w:val="16"/>
          <w:szCs w:val="16"/>
          <w:color w:val="auto"/>
        </w:rPr>
        <w:t>.</w:t>
      </w: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360"/>
          </w:cols>
          <w:pgMar w:left="240" w:top="810" w:right="299" w:bottom="1440" w:gutter="0" w:footer="0" w:header="0"/>
        </w:sectPr>
      </w:pPr>
    </w:p>
    <w:bookmarkStart w:id="116" w:name="page117"/>
    <w:bookmarkEnd w:id="116"/>
    <w:p>
      <w:pPr>
        <w:ind w:right="20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Multiemployer Plan</w:t>
      </w:r>
      <w:r>
        <w:rPr>
          <w:rFonts w:ascii="Arial" w:cs="Arial" w:eastAsia="Arial" w:hAnsi="Arial"/>
          <w:sz w:val="17"/>
          <w:szCs w:val="17"/>
          <w:color w:val="auto"/>
        </w:rPr>
        <w:t>” shall mean a multiemployer plan as defined in Section 4001(a)(3) of ERISA to which any Credit Party or ERISA Affiliate makes or is obligated to make contributions, or during the five preceding calendar years, has made or been obligated to make contributions.</w:t>
      </w:r>
    </w:p>
    <w:p>
      <w:pPr>
        <w:spacing w:after="0" w:line="138"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Cash Proceeds</w:t>
      </w:r>
      <w:r>
        <w:rPr>
          <w:rFonts w:ascii="Arial" w:cs="Arial" w:eastAsia="Arial" w:hAnsi="Arial"/>
          <w:sz w:val="18"/>
          <w:szCs w:val="18"/>
          <w:color w:val="auto"/>
        </w:rPr>
        <w:t>” shall mean, with respect to any Prepayment Event and any incurrence of Permitted Other Indebtedness, (i) the gross cash proceeds (including payments from time to time in respect of installment obligations, if applicable, but only as and when received) received by or on behalf of Holdings or any of the Restricted Subsidiaries in respect of such Prepayment Event or incurrence of Permitted Other Indebtedness, as the case may be, less (ii) the sum of:</w:t>
      </w:r>
    </w:p>
    <w:p>
      <w:pPr>
        <w:spacing w:after="0" w:line="184" w:lineRule="exact"/>
        <w:rPr>
          <w:sz w:val="20"/>
          <w:szCs w:val="20"/>
          <w:color w:val="auto"/>
        </w:rPr>
      </w:pPr>
    </w:p>
    <w:p>
      <w:pPr>
        <w:ind w:left="660" w:right="80" w:firstLine="645"/>
        <w:spacing w:after="0" w:line="308" w:lineRule="auto"/>
        <w:tabs>
          <w:tab w:leader="none" w:pos="1688"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amount, if any, of all taxes (including in connection with any repatriation of funds) paid or estimated to be payable by Holdings or any of the Restricted Subsidiaries in connection with such Prepayment Event or incurrence of Permitted Other Indebtedness,</w:t>
      </w:r>
    </w:p>
    <w:p>
      <w:pPr>
        <w:spacing w:after="0" w:line="146" w:lineRule="exact"/>
        <w:rPr>
          <w:rFonts w:ascii="Arial" w:cs="Arial" w:eastAsia="Arial" w:hAnsi="Arial"/>
          <w:sz w:val="17"/>
          <w:szCs w:val="17"/>
          <w:color w:val="auto"/>
        </w:rPr>
      </w:pPr>
    </w:p>
    <w:p>
      <w:pPr>
        <w:ind w:left="660" w:right="40" w:firstLine="645"/>
        <w:spacing w:after="0" w:line="302" w:lineRule="auto"/>
        <w:tabs>
          <w:tab w:leader="none" w:pos="1698"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the amount of any reasonable reserve established in accordance with GAAP against any liabilities (other than any taxes deducted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(1) associated with the assets that are the subject of such Prepayment Event and (2) retained by Holdings or any of the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any subsequent reduction of such reserve (other than in connection with a payment in respect of any such liability) shall be deemed to be Net Cash Proceeds of such a Prepayment Event occurring on the date of such reduction,</w:t>
      </w:r>
    </w:p>
    <w:p>
      <w:pPr>
        <w:spacing w:after="0" w:line="154" w:lineRule="exact"/>
        <w:rPr>
          <w:rFonts w:ascii="Arial" w:cs="Arial" w:eastAsia="Arial" w:hAnsi="Arial"/>
          <w:sz w:val="16"/>
          <w:szCs w:val="16"/>
          <w:color w:val="auto"/>
        </w:rPr>
      </w:pPr>
    </w:p>
    <w:p>
      <w:pPr>
        <w:ind w:left="660" w:right="180" w:firstLine="645"/>
        <w:spacing w:after="0" w:line="264" w:lineRule="auto"/>
        <w:tabs>
          <w:tab w:leader="none" w:pos="168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 of any Indebtedness (other than the Loans and Permitted Other Indebtedness) secured by a Lien on the assets that are the subject of such Prepayment Event to the extent that the instrument creating or evidencing such Indebtedness requires that such Indebtedness be repaid upon consummation of such Prepayment Event,</w:t>
      </w:r>
    </w:p>
    <w:p>
      <w:pPr>
        <w:spacing w:after="0" w:line="181" w:lineRule="exact"/>
        <w:rPr>
          <w:rFonts w:ascii="Arial" w:cs="Arial" w:eastAsia="Arial" w:hAnsi="Arial"/>
          <w:sz w:val="18"/>
          <w:szCs w:val="18"/>
          <w:color w:val="auto"/>
        </w:rPr>
      </w:pPr>
    </w:p>
    <w:p>
      <w:pPr>
        <w:ind w:left="660" w:right="100" w:firstLine="645"/>
        <w:spacing w:after="0" w:line="270" w:lineRule="auto"/>
        <w:tabs>
          <w:tab w:leader="none" w:pos="1698"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in the case of any Asset Sale Prepayment Event or Casualty Event or Permitted Sale Leaseback, the amount of any proceeds of such Prepayment Event that Holdings or any Restricted Subsidiary has reinvested (or intends to reinvest within the Reinvestment Period or has entered into a binding commitment prior to the last day of the Reinvestment Period to reinvest) in the business of Holdings or any of the Restricted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portion of such proceeds that has not been so reinvested within such Reinvestment Period (with respect to such Prepayment Event, the “</w:t>
      </w:r>
      <w:r>
        <w:rPr>
          <w:rFonts w:ascii="Arial" w:cs="Arial" w:eastAsia="Arial" w:hAnsi="Arial"/>
          <w:sz w:val="17"/>
          <w:szCs w:val="17"/>
          <w:b w:val="1"/>
          <w:bCs w:val="1"/>
          <w:color w:val="auto"/>
        </w:rPr>
        <w:t>Deferred Net Cash Proceeds</w:t>
      </w:r>
      <w:r>
        <w:rPr>
          <w:rFonts w:ascii="Arial" w:cs="Arial" w:eastAsia="Arial" w:hAnsi="Arial"/>
          <w:sz w:val="17"/>
          <w:szCs w:val="17"/>
          <w:color w:val="auto"/>
        </w:rPr>
        <w:t>”) shall, unless Holdings or a Restricted Subsidiary has entered into a binding commitment prior to the last day of such Reinvestment Period to reinvest such proceeds no later than 180 days following the last day of such Reinvestment Period, (1) be deemed to be Net Cash Proceeds of an Asset Sale Prepayment Event, Casualty Event, or Permitted Sale Leaseback occurring on the last day of such Reinvestment Period or, if later, 180 days after the date Holdings or such Restricted Subsidiary has entered into such binding commitment, as applicable (such last day or 180th day, as applicable, the “</w:t>
      </w:r>
      <w:r>
        <w:rPr>
          <w:rFonts w:ascii="Arial" w:cs="Arial" w:eastAsia="Arial" w:hAnsi="Arial"/>
          <w:sz w:val="17"/>
          <w:szCs w:val="17"/>
          <w:b w:val="1"/>
          <w:bCs w:val="1"/>
          <w:color w:val="auto"/>
        </w:rPr>
        <w:t>Deferred Net Cash Proceeds Payment Date</w:t>
      </w:r>
      <w:r>
        <w:rPr>
          <w:rFonts w:ascii="Arial" w:cs="Arial" w:eastAsia="Arial" w:hAnsi="Arial"/>
          <w:sz w:val="17"/>
          <w:szCs w:val="17"/>
          <w:color w:val="auto"/>
        </w:rPr>
        <w:t xml:space="preserve">”), and (2) be applied to the repayment of Term Loans in accordance with </w:t>
      </w:r>
      <w:r>
        <w:rPr>
          <w:rFonts w:ascii="Arial" w:cs="Arial" w:eastAsia="Arial" w:hAnsi="Arial"/>
          <w:sz w:val="17"/>
          <w:szCs w:val="17"/>
          <w:u w:val="single" w:color="auto"/>
          <w:color w:val="auto"/>
        </w:rPr>
        <w:t>Section 5.2(a)(i)</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660" w:right="200" w:firstLine="645"/>
        <w:spacing w:after="0" w:line="312" w:lineRule="auto"/>
        <w:tabs>
          <w:tab w:leader="none" w:pos="1688"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in the case of any Asset Sale Prepayment Event, Casualty Event, or Permitted Sale Leaseback by a non-Wholly-Owned Restricted Subsidiary, the pro rata portion of the Net Cash Proceeds thereof (calculated without regard to this </w:t>
      </w:r>
      <w:r>
        <w:rPr>
          <w:rFonts w:ascii="Arial" w:cs="Arial" w:eastAsia="Arial" w:hAnsi="Arial"/>
          <w:sz w:val="16"/>
          <w:szCs w:val="16"/>
          <w:u w:val="single" w:color="auto"/>
          <w:color w:val="auto"/>
        </w:rPr>
        <w:t>clause (e)</w:t>
      </w:r>
      <w:r>
        <w:rPr>
          <w:rFonts w:ascii="Arial" w:cs="Arial" w:eastAsia="Arial" w:hAnsi="Arial"/>
          <w:sz w:val="16"/>
          <w:szCs w:val="16"/>
          <w:color w:val="auto"/>
        </w:rPr>
        <w:t>) attributable to minority interests and not available for distribution to or for the account of Holdings or a Wholly-Owned Restricted Subsidiary as a result thereof,</w:t>
      </w:r>
    </w:p>
    <w:p>
      <w:pPr>
        <w:spacing w:after="0" w:line="146" w:lineRule="exact"/>
        <w:rPr>
          <w:rFonts w:ascii="Arial" w:cs="Arial" w:eastAsia="Arial" w:hAnsi="Arial"/>
          <w:sz w:val="16"/>
          <w:szCs w:val="16"/>
          <w:color w:val="auto"/>
        </w:rPr>
      </w:pPr>
    </w:p>
    <w:p>
      <w:pPr>
        <w:ind w:left="660" w:right="100" w:firstLine="645"/>
        <w:spacing w:after="0" w:line="297" w:lineRule="auto"/>
        <w:tabs>
          <w:tab w:leader="none" w:pos="1668"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in the case of any Asset Sale Prepayment Event or Permitted Sale Leaseback, any funded escrow established pursuant to the documents evidencing any such sale or disposition to secure any indemnification obligations or adjustments to the purchase price associated with any such sale or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any subsequent reduction of such escrow (other than in connection with a payment in respect of any such liability) shall be deemed to be Net Cash Proceeds of such a Prepayment Event occurring on the date of such reduction solely to the extent that Holdings and/or any Restricted Subsidiaries receives cash in an amount equal to the amount of such reduction, and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400"/>
          </w:cols>
          <w:pgMar w:left="240" w:top="810" w:right="259" w:bottom="1440" w:gutter="0" w:footer="0" w:header="0"/>
        </w:sectPr>
      </w:pPr>
    </w:p>
    <w:bookmarkStart w:id="117" w:name="page118"/>
    <w:bookmarkEnd w:id="117"/>
    <w:p>
      <w:pPr>
        <w:ind w:left="660" w:firstLine="645"/>
        <w:spacing w:after="0" w:line="276" w:lineRule="auto"/>
        <w:tabs>
          <w:tab w:leader="none" w:pos="1698" w:val="left"/>
        </w:tabs>
        <w:numPr>
          <w:ilvl w:val="0"/>
          <w:numId w:val="61"/>
        </w:numPr>
        <w:rPr>
          <w:rFonts w:ascii="Arial" w:cs="Arial" w:eastAsia="Arial" w:hAnsi="Arial"/>
          <w:sz w:val="17"/>
          <w:szCs w:val="17"/>
          <w:color w:val="auto"/>
        </w:rPr>
      </w:pPr>
      <w:r>
        <w:rPr>
          <w:rFonts w:ascii="Arial" w:cs="Arial" w:eastAsia="Arial" w:hAnsi="Arial"/>
          <w:sz w:val="17"/>
          <w:szCs w:val="17"/>
          <w:color w:val="auto"/>
        </w:rPr>
        <w:t>all fees and out of pocket expenses paid by Holdings or a Restricted Subsidiary in connection with any of the foregoing (for the avoidance of doubt, including, (1) in the case of the issuance of Permitted Other Indebtedness, any fees, underwriting discounts, premiums, and other costs and expenses incurred in connection with such issuance and (2)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each case only to the extent not already deducted in arriving at the amount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w:t>
      </w:r>
    </w:p>
    <w:p>
      <w:pPr>
        <w:spacing w:after="0" w:line="221"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Income</w:t>
      </w:r>
      <w:r>
        <w:rPr>
          <w:rFonts w:ascii="Arial" w:cs="Arial" w:eastAsia="Arial" w:hAnsi="Arial"/>
          <w:sz w:val="18"/>
          <w:szCs w:val="18"/>
          <w:color w:val="auto"/>
        </w:rPr>
        <w:t>” shall mean, with respect to any Person, the net income (loss) of such Person, determined in accordance with GAAP and before any reduction in respect of preferred stock dividends.</w:t>
      </w:r>
    </w:p>
    <w:p>
      <w:pPr>
        <w:spacing w:after="0" w:line="162" w:lineRule="exact"/>
        <w:rPr>
          <w:sz w:val="20"/>
          <w:szCs w:val="20"/>
          <w:color w:val="auto"/>
        </w:rPr>
      </w:pPr>
    </w:p>
    <w:p>
      <w:pPr>
        <w:ind w:right="5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Contracts</w:t>
      </w:r>
      <w:r>
        <w:rPr>
          <w:rFonts w:ascii="Arial" w:cs="Arial" w:eastAsia="Arial" w:hAnsi="Arial"/>
          <w:sz w:val="18"/>
          <w:szCs w:val="18"/>
          <w:color w:val="auto"/>
        </w:rPr>
        <w:t>” shall mean binding contracts or purchase orders (i) entered with new Counterparties or (ii) for new business with existing Counterparties, in each case, under which Holdings and/or its Subsidiaries have begun to provide goods or services, which are expected to increase the Consolidated Net Income of Holdings.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Loan Commitments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Revolving Credit Commitments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Revolving Credit Loan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Revolving Loan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Store Consolidated EBITDA Adjustment</w:t>
      </w:r>
      <w:r>
        <w:rPr>
          <w:rFonts w:ascii="Arial" w:cs="Arial" w:eastAsia="Arial" w:hAnsi="Arial"/>
          <w:sz w:val="18"/>
          <w:szCs w:val="18"/>
          <w:color w:val="auto"/>
        </w:rPr>
        <w:t>” shall mean, for any applicable Test Period, the excess (not to be less than zero) of (i) aggregate amount derived from the product of (a) the aggregate number of New Stores and (b) Average New Store Consolidated EBITDA during the previous Test Period over (ii) the actual Consolidated EBITDA generated by New Stores during the Test Period.</w:t>
      </w:r>
    </w:p>
    <w:p>
      <w:pPr>
        <w:spacing w:after="0" w:line="176"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Stores</w:t>
      </w:r>
      <w:r>
        <w:rPr>
          <w:rFonts w:ascii="Arial" w:cs="Arial" w:eastAsia="Arial" w:hAnsi="Arial"/>
          <w:sz w:val="18"/>
          <w:szCs w:val="18"/>
          <w:color w:val="auto"/>
        </w:rPr>
        <w:t>” shall mean, with respect to any Test Period, the number of Stores opened within the last 24 months, measured from and including the last month in such Test Period.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Commitments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Maturity Date</w:t>
      </w:r>
      <w:r>
        <w:rPr>
          <w:rFonts w:ascii="Arial" w:cs="Arial" w:eastAsia="Arial" w:hAnsi="Arial"/>
          <w:sz w:val="18"/>
          <w:szCs w:val="18"/>
          <w:color w:val="auto"/>
        </w:rPr>
        <w:t>” shall mean the date on which a New Term Loan matures.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Repayment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Repayment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Non-Bank Tax Certificate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5.4(e)(ii)(3)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Non-Consenting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13.7(b)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Lender</w:t>
      </w:r>
      <w:r>
        <w:rPr>
          <w:rFonts w:ascii="Arial" w:cs="Arial" w:eastAsia="Arial" w:hAnsi="Arial"/>
          <w:sz w:val="18"/>
          <w:szCs w:val="18"/>
          <w:color w:val="auto"/>
        </w:rPr>
        <w:t>” shall mean and include each Lender other than a Defaulting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Non-Expiring Credit Commitment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Non-Extension Notice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3.2(d)</w:t>
      </w:r>
      <w:r>
        <w:rPr>
          <w:rFonts w:ascii="Arial" w:cs="Arial" w:eastAsia="Arial" w:hAnsi="Arial"/>
          <w:sz w:val="18"/>
          <w:szCs w:val="18"/>
          <w:color w:val="auto"/>
        </w:rPr>
        <w:t>.</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400"/>
          </w:cols>
          <w:pgMar w:left="240" w:top="814" w:right="259" w:bottom="1440" w:gutter="0" w:footer="0" w:header="0"/>
        </w:sectPr>
      </w:pPr>
    </w:p>
    <w:bookmarkStart w:id="118" w:name="page119"/>
    <w:bookmarkEnd w:id="11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Non-U.S. Lender</w:t>
      </w:r>
      <w:r>
        <w:rPr>
          <w:rFonts w:ascii="Arial" w:cs="Arial" w:eastAsia="Arial" w:hAnsi="Arial"/>
          <w:sz w:val="18"/>
          <w:szCs w:val="18"/>
          <w:color w:val="auto"/>
        </w:rPr>
        <w:t>” shall mean any Lender that is not a “United States person” as defined by Section 7701(a)(30)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Conversion or Continuation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shall mean all advances to, and debts, liabilities, obligations, covenants, and duties of, any Credit Party arising under any Credit Document or otherwise with respect to any Revolving Credit Commitment, Loan, or Letter of Credit or under any Secured Cash Management Agreement, Secured Hedge Agreement (other than with respect to any Credit Party’s obligations that constitute Excluded Swap Obligations solely with respect to such Credit Party), in each case, entered into with Holdings or any of the Restricted Subsidiaries, whether direct or indirect (including those acquired by assumption), absolute or contingent, due or to become due, now existing or hereafter arising and including interest and fees that accrue after the commencement by or against any Credit Party or any Affiliate thereof of any proceeding under any bankruptcy or insolvency law naming such Person as the debtor in such proceeding, regardless of whether such interest and fees are allowed claims in such proceeding. Without limiting the generality of the foregoing, the Obligations of the Credit Parties under the Credit Documents (and any of their Subsidiaries to the extent they have obligations under the Credit Documents) include the obligation (including guarantee obligations) to pay principal, interest, charges, expenses, fees, attorney costs, indemnities, and other amounts payable by any Credit Party under any Credit Document.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shall have the meaning provided in Section 8.11.</w:t>
      </w:r>
    </w:p>
    <w:p>
      <w:pPr>
        <w:spacing w:after="0" w:line="225"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Revolving Credit Commitments</w:t>
      </w:r>
      <w:r>
        <w:rPr>
          <w:rFonts w:ascii="Arial" w:cs="Arial" w:eastAsia="Arial" w:hAnsi="Arial"/>
          <w:sz w:val="18"/>
          <w:szCs w:val="18"/>
          <w:color w:val="auto"/>
        </w:rPr>
        <w:t>” shall mean all Revolving Credit Commitments, Existing Revolving Credit Commitments, and Extended Revolving Credit Commitments, other than any New Revolving Credit Commitments (and any Extended Revolving Credit Commitments related thereto).</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Transactions</w:t>
      </w:r>
      <w:r>
        <w:rPr>
          <w:rFonts w:ascii="Arial" w:cs="Arial" w:eastAsia="Arial" w:hAnsi="Arial"/>
          <w:sz w:val="18"/>
          <w:szCs w:val="18"/>
          <w:color w:val="auto"/>
        </w:rPr>
        <w:t>” shall mean the “Transactions” (as defined in the Original Credit Agreement).</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Taxes</w:t>
      </w:r>
      <w:r>
        <w:rPr>
          <w:rFonts w:ascii="Arial" w:cs="Arial" w:eastAsia="Arial" w:hAnsi="Arial"/>
          <w:sz w:val="17"/>
          <w:szCs w:val="17"/>
          <w:color w:val="auto"/>
        </w:rPr>
        <w:t xml:space="preserve">” shall mean all present or future stamp, registration, court or documentary Taxes or any other excise, property, intangible, mortgage recording, filing or similar Taxes arising from any payment made hereunder or under any other Credit Document or from the execution, delivery, performance, enforcement or registration of, or otherwise with respect to, this Agreement or any other Credit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term shall not include (i) any Taxes that result from an assignment, grant of a participation pursuant to </w:t>
      </w:r>
      <w:r>
        <w:rPr>
          <w:rFonts w:ascii="Arial" w:cs="Arial" w:eastAsia="Arial" w:hAnsi="Arial"/>
          <w:sz w:val="17"/>
          <w:szCs w:val="17"/>
          <w:u w:val="single" w:color="auto"/>
          <w:color w:val="auto"/>
        </w:rPr>
        <w:t>Section 13.6(c)</w:t>
      </w:r>
      <w:r>
        <w:rPr>
          <w:rFonts w:ascii="Arial" w:cs="Arial" w:eastAsia="Arial" w:hAnsi="Arial"/>
          <w:sz w:val="17"/>
          <w:szCs w:val="17"/>
          <w:color w:val="auto"/>
        </w:rPr>
        <w:t xml:space="preserve"> or transfer or assignment to or designation of a new lending office or other office for receiving payments under any Credit Document (“</w:t>
      </w:r>
      <w:r>
        <w:rPr>
          <w:rFonts w:ascii="Arial" w:cs="Arial" w:eastAsia="Arial" w:hAnsi="Arial"/>
          <w:sz w:val="17"/>
          <w:szCs w:val="17"/>
          <w:b w:val="1"/>
          <w:bCs w:val="1"/>
          <w:color w:val="auto"/>
        </w:rPr>
        <w:t>Assignment Taxes</w:t>
      </w:r>
      <w:r>
        <w:rPr>
          <w:rFonts w:ascii="Arial" w:cs="Arial" w:eastAsia="Arial" w:hAnsi="Arial"/>
          <w:sz w:val="17"/>
          <w:szCs w:val="17"/>
          <w:color w:val="auto"/>
        </w:rPr>
        <w:t>”) to the extent such Assignment Taxes are imposed as a result of a connection between the assignor/participating Lender and/or the assignee/Participant and the taxing jurisdiction (other than a connection arising solely from any Credit Documents or any transactions contemplated thereunder), except to the extent that any such action described in this proviso is requested or required by the Borrower or Holdings or (ii) Excluded Taxes.</w:t>
      </w:r>
    </w:p>
    <w:p>
      <w:pPr>
        <w:spacing w:after="0" w:line="172" w:lineRule="exact"/>
        <w:rPr>
          <w:sz w:val="20"/>
          <w:szCs w:val="20"/>
          <w:color w:val="auto"/>
        </w:rPr>
      </w:pPr>
    </w:p>
    <w:p>
      <w:pPr>
        <w:ind w:right="5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Overnight Rate</w:t>
      </w:r>
      <w:r>
        <w:rPr>
          <w:rFonts w:ascii="Arial" w:cs="Arial" w:eastAsia="Arial" w:hAnsi="Arial"/>
          <w:sz w:val="18"/>
          <w:szCs w:val="18"/>
          <w:color w:val="auto"/>
        </w:rPr>
        <w:t>” shall mean, for any day, the greater of (a) the Federal Funds Effective Rate and (b) an overnight rate determined by the Administrative Agent, the Letter of Credit Issuer, or the Swingline Lender, as the case may be, in accordance with banking industry rules on interbank compensation.</w:t>
      </w:r>
    </w:p>
    <w:p>
      <w:pPr>
        <w:spacing w:after="0" w:line="176"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shall mean National Vision Holdings, Inc. or any other Person that is a direct or indirect parent company (which may be organized as, among other things, a partnership) of Holdings and/or the Borrower.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13.6(c)(i)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13.6(c)(ii)</w:t>
      </w:r>
      <w:r>
        <w:rPr>
          <w:rFonts w:ascii="Arial" w:cs="Arial" w:eastAsia="Arial" w:hAnsi="Arial"/>
          <w:sz w:val="18"/>
          <w:szCs w:val="18"/>
          <w:color w:val="auto"/>
        </w:rPr>
        <w:t>.</w:t>
      </w: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380"/>
          </w:cols>
          <w:pgMar w:left="240" w:top="810" w:right="279" w:bottom="1440" w:gutter="0" w:footer="0" w:header="0"/>
        </w:sectPr>
      </w:pPr>
    </w:p>
    <w:bookmarkStart w:id="119" w:name="page120"/>
    <w:bookmarkEnd w:id="119"/>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Member State</w:t>
      </w:r>
      <w:r>
        <w:rPr>
          <w:rFonts w:ascii="Arial" w:cs="Arial" w:eastAsia="Arial" w:hAnsi="Arial"/>
          <w:sz w:val="18"/>
          <w:szCs w:val="18"/>
          <w:color w:val="auto"/>
        </w:rPr>
        <w:t>” shall mean any member state of the European Union that adopts or has adopted the Euro as its lawful currency in accordance with legislation of the European Union relating to economic and monetary union.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Patriot Act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13.18</w:t>
      </w:r>
      <w:r>
        <w:rPr>
          <w:rFonts w:ascii="Arial" w:cs="Arial" w:eastAsia="Arial" w:hAnsi="Arial"/>
          <w:sz w:val="18"/>
          <w:szCs w:val="18"/>
          <w:color w:val="auto"/>
        </w:rPr>
        <w:t>.</w:t>
      </w:r>
    </w:p>
    <w:p>
      <w:pPr>
        <w:spacing w:after="0" w:line="225"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shall mean the Pension Benefit Guaranty Corporation referred to and defined in ERISA and any successor entity performing similar functions.</w:t>
      </w:r>
    </w:p>
    <w:p>
      <w:pPr>
        <w:spacing w:after="0" w:line="162"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shall mean any employee benefit pension plan (as defined in Section 3(2) of ERISA, but excluding any Multiemployer Plan) in respect of which any Credit Party or any ERISA Affiliate is (or, if such plan were terminated, would under Section 4062 or Section 4069 of ERISA be deemed to be) an “employer” as defined in Section 3(5) of ERISA.</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the definition of “Permitted Investment”.</w:t>
      </w:r>
    </w:p>
    <w:p>
      <w:pPr>
        <w:spacing w:after="0" w:line="22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Asset Swap</w:t>
      </w:r>
      <w:r>
        <w:rPr>
          <w:rFonts w:ascii="Arial" w:cs="Arial" w:eastAsia="Arial" w:hAnsi="Arial"/>
          <w:sz w:val="18"/>
          <w:szCs w:val="18"/>
          <w:color w:val="auto"/>
        </w:rPr>
        <w:t xml:space="preserve">” shall mean the concurrent purchase and sale or exchange of Related Business Assets or a combination of Related Business Assets and cash or Cash Equivalents between Holdings or a Restricted Subsidiary and another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cash or Cash Equivalents received must be applied in accordance with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17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Holders</w:t>
      </w:r>
      <w:r>
        <w:rPr>
          <w:rFonts w:ascii="Arial" w:cs="Arial" w:eastAsia="Arial" w:hAnsi="Arial"/>
          <w:sz w:val="17"/>
          <w:szCs w:val="17"/>
          <w:color w:val="auto"/>
        </w:rPr>
        <w:t xml:space="preserve">” shall mean each of (i) the Initial Investors and their respective Affiliates (other than any portfolio company of an Initial Investor) and members of management of Holdings or the Borrower (or any Parent Entity) who are holders of Equity Interests of Holdings (or any Parent Entity) on the Restatement Effective Date and any group (within the meaning of Section 13(d)(3) or Section 14(d)(2) of the Exchange Act or any successor provision) of which any of the foregoing are members;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such group and without giving effect to the existence of such group or any other group, such Initial Investors, their respective Affiliates (other than any portfolio company of an Initial Investor) and members of management, collectively, have beneficial ownership of more than 50% of the total voting power of the Voting Stock of Holdings or any Parent Entity and (ii) any Parent Entity formed not in connection with, or in contemplation of, a transaction (other than the Original Transactions) that, assuming such parent was not formed, after giving effect thereto would constitute a Change of Control.</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shall mean:</w:t>
      </w:r>
    </w:p>
    <w:p>
      <w:pPr>
        <w:spacing w:after="0" w:line="229" w:lineRule="exact"/>
        <w:rPr>
          <w:sz w:val="20"/>
          <w:szCs w:val="20"/>
          <w:color w:val="auto"/>
        </w:rPr>
      </w:pPr>
    </w:p>
    <w:p>
      <w:pPr>
        <w:ind w:left="660" w:right="140" w:firstLine="1536"/>
        <w:spacing w:after="0" w:line="259" w:lineRule="auto"/>
        <w:tabs>
          <w:tab w:leader="none" w:pos="255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any Investment in Holdings or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amount of Investments made by the Borrower and the Guarantors in Restricted Subsidiaries that are not the Borrower or a Guarantor shall not, at any time, exceed the greater of (x) $50.0 million and (y) 25% of Consolidated EBITDA for the most recently ended Test Period (calculated on a Pro Forma Basis) at the time of such Investment;</w:t>
      </w:r>
    </w:p>
    <w:p>
      <w:pPr>
        <w:spacing w:after="0" w:line="186" w:lineRule="exact"/>
        <w:rPr>
          <w:rFonts w:ascii="Arial" w:cs="Arial" w:eastAsia="Arial" w:hAnsi="Arial"/>
          <w:sz w:val="18"/>
          <w:szCs w:val="18"/>
          <w:color w:val="auto"/>
        </w:rPr>
      </w:pPr>
    </w:p>
    <w:p>
      <w:pPr>
        <w:ind w:left="2600" w:hanging="404"/>
        <w:spacing w:after="0"/>
        <w:tabs>
          <w:tab w:leader="none" w:pos="26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any Investment in cash, Cash Equivalents, or Investment Grade Securities at the time such Investment is made;</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400"/>
          </w:cols>
          <w:pgMar w:left="240" w:top="810" w:right="259" w:bottom="1440" w:gutter="0" w:footer="0" w:header="0"/>
        </w:sectPr>
      </w:pPr>
    </w:p>
    <w:bookmarkStart w:id="120" w:name="page121"/>
    <w:bookmarkEnd w:id="120"/>
    <w:p>
      <w:pPr>
        <w:ind w:left="-540" w:firstLine="1536"/>
        <w:spacing w:after="0" w:line="289" w:lineRule="auto"/>
        <w:tabs>
          <w:tab w:leader="none" w:pos="145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Investment by Holdings or any Restricted Subsidiary in a Person that is engaged in a Similar Business if as a result of such Investment (a “</w:t>
      </w:r>
      <w:r>
        <w:rPr>
          <w:rFonts w:ascii="Arial" w:cs="Arial" w:eastAsia="Arial" w:hAnsi="Arial"/>
          <w:sz w:val="16"/>
          <w:szCs w:val="16"/>
          <w:b w:val="1"/>
          <w:bCs w:val="1"/>
          <w:color w:val="auto"/>
        </w:rPr>
        <w:t>Permitted Acquisition</w:t>
      </w:r>
      <w:r>
        <w:rPr>
          <w:rFonts w:ascii="Arial" w:cs="Arial" w:eastAsia="Arial" w:hAnsi="Arial"/>
          <w:sz w:val="16"/>
          <w:szCs w:val="16"/>
          <w:color w:val="auto"/>
        </w:rPr>
        <w:t xml:space="preserve">”), (1) such Person becomes a Restricted Subsidiary or (2) such Person, in one transaction or a series of related transactions, is merged, consolidated, or amalgamated with or into, or transfers or conveys substantially all of its assets to, or is liquidated into, Holdings or a Restricted Subsidiary, and, in each case, any Investment held by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Investment was not acquired by such Person in contemplation of such acquisition, merger, consolidation, or transfer;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outstanding amount of consideration (excluding any consideration resulting from the incurrence of Indebtedness, other than under the Revolving Credit Facility) paid by the Borrower and the Guarantors in connection with Permitted Acquisitions where the assets acquired are not owned directly by the Borrower or a Guarantor or any Restricted Subsidiary that is acquired does not become a Guarantor shall not, at any time, exceed the greater of (x) $50.0 million and (y) 25.0% of Consolidated EBITDA for the most recently ended Test Period (calculated on a Pro Forma Basis) at the time of such Investment;</w:t>
      </w:r>
    </w:p>
    <w:p>
      <w:pPr>
        <w:spacing w:after="0" w:line="166" w:lineRule="exact"/>
        <w:rPr>
          <w:rFonts w:ascii="Arial" w:cs="Arial" w:eastAsia="Arial" w:hAnsi="Arial"/>
          <w:sz w:val="16"/>
          <w:szCs w:val="16"/>
          <w:color w:val="auto"/>
        </w:rPr>
      </w:pPr>
    </w:p>
    <w:p>
      <w:pPr>
        <w:ind w:left="-540" w:right="160" w:firstLine="1536"/>
        <w:spacing w:after="0" w:line="342" w:lineRule="auto"/>
        <w:tabs>
          <w:tab w:leader="none" w:pos="14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any Investment in securities or other assets not constituting cash, Cash Equivalents, or Investment Grade Securities and received in connection with an Asset Sale made pursuant to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or any other disposition of assets not constituting an Asset Sale;</w:t>
      </w:r>
    </w:p>
    <w:p>
      <w:pPr>
        <w:spacing w:after="0" w:line="123" w:lineRule="exact"/>
        <w:rPr>
          <w:rFonts w:ascii="Arial" w:cs="Arial" w:eastAsia="Arial" w:hAnsi="Arial"/>
          <w:sz w:val="16"/>
          <w:szCs w:val="16"/>
          <w:color w:val="auto"/>
        </w:rPr>
      </w:pPr>
    </w:p>
    <w:p>
      <w:pPr>
        <w:ind w:left="-540" w:right="80" w:firstLine="1536"/>
        <w:spacing w:after="0" w:line="293" w:lineRule="auto"/>
        <w:tabs>
          <w:tab w:leader="none" w:pos="1390"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(a) any Investment existing or contemplated on the Restatement Effective Date and, in each case, listed on </w:t>
      </w:r>
      <w:r>
        <w:rPr>
          <w:rFonts w:ascii="Arial" w:cs="Arial" w:eastAsia="Arial" w:hAnsi="Arial"/>
          <w:sz w:val="16"/>
          <w:szCs w:val="16"/>
          <w:u w:val="single" w:color="auto"/>
          <w:color w:val="auto"/>
        </w:rPr>
        <w:t>Schedule 10.5</w:t>
      </w:r>
      <w:r>
        <w:rPr>
          <w:rFonts w:ascii="Arial" w:cs="Arial" w:eastAsia="Arial" w:hAnsi="Arial"/>
          <w:sz w:val="16"/>
          <w:szCs w:val="16"/>
          <w:color w:val="auto"/>
        </w:rPr>
        <w:t xml:space="preserve"> and (b) Investments consisting of any modification, replacement, renewal, reinvestment, or extension of any such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any such Investment is not increased from the amount of such Investment on the Restatement Effective Date except pursuant to the terms of such Investment (including in respect of any unused commitment),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accrued but unpaid interest (including any portion thereof which is payable in kind in accordance with the terms of such modified, extended, renewed, or replaced Investment) and premium payable by the terms of such Indebtedness thereon and fees and expenses associated therewith as of the Restatement Effective Date;</w:t>
      </w:r>
    </w:p>
    <w:p>
      <w:pPr>
        <w:spacing w:after="0" w:line="164" w:lineRule="exact"/>
        <w:rPr>
          <w:rFonts w:ascii="Arial" w:cs="Arial" w:eastAsia="Arial" w:hAnsi="Arial"/>
          <w:sz w:val="16"/>
          <w:szCs w:val="16"/>
          <w:color w:val="auto"/>
        </w:rPr>
      </w:pPr>
    </w:p>
    <w:p>
      <w:pPr>
        <w:ind w:left="-540" w:right="140" w:firstLine="1536"/>
        <w:spacing w:after="0" w:line="302" w:lineRule="auto"/>
        <w:tabs>
          <w:tab w:leader="none" w:pos="14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Investment acquired by Holdings or any Restricted Subsidiary (a) in exchange for any other Investment or accounts receivable held by Holdings or any such Restricted Subsidiary in connection with or as a result of a bankruptcy, workout, reorganization, or recapitalization of Holdings of such other Investment or accounts receivable or (b) as a result of a foreclosure by Holdings or any Restricted Subsidiary with respect to any secured Investment or other transfer of title with respect to any secured Investment in default;</w:t>
      </w:r>
    </w:p>
    <w:p>
      <w:pPr>
        <w:spacing w:after="0" w:line="154" w:lineRule="exact"/>
        <w:rPr>
          <w:rFonts w:ascii="Arial" w:cs="Arial" w:eastAsia="Arial" w:hAnsi="Arial"/>
          <w:sz w:val="16"/>
          <w:szCs w:val="16"/>
          <w:color w:val="auto"/>
        </w:rPr>
      </w:pPr>
    </w:p>
    <w:p>
      <w:pPr>
        <w:ind w:left="1480" w:hanging="484"/>
        <w:spacing w:after="0"/>
        <w:tabs>
          <w:tab w:leader="none" w:pos="1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Hedging Obligations permitted under </w:t>
      </w:r>
      <w:r>
        <w:rPr>
          <w:rFonts w:ascii="Arial" w:cs="Arial" w:eastAsia="Arial" w:hAnsi="Arial"/>
          <w:sz w:val="18"/>
          <w:szCs w:val="18"/>
          <w:u w:val="single" w:color="auto"/>
          <w:color w:val="auto"/>
        </w:rPr>
        <w:t>clause (j)</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and Cash Management Services;</w:t>
      </w:r>
    </w:p>
    <w:p>
      <w:pPr>
        <w:spacing w:after="0" w:line="225" w:lineRule="exact"/>
        <w:rPr>
          <w:rFonts w:ascii="Arial" w:cs="Arial" w:eastAsia="Arial" w:hAnsi="Arial"/>
          <w:sz w:val="18"/>
          <w:szCs w:val="18"/>
          <w:color w:val="auto"/>
        </w:rPr>
      </w:pPr>
    </w:p>
    <w:p>
      <w:pPr>
        <w:ind w:left="-540" w:right="100" w:firstLine="1536"/>
        <w:spacing w:after="0" w:line="254" w:lineRule="auto"/>
        <w:tabs>
          <w:tab w:leader="none" w:pos="1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any Investment in a Similar Business having an aggregate Fair Market Value, taken together with all other Investments made pursuant to this </w:t>
      </w:r>
      <w:r>
        <w:rPr>
          <w:rFonts w:ascii="Arial" w:cs="Arial" w:eastAsia="Arial" w:hAnsi="Arial"/>
          <w:sz w:val="18"/>
          <w:szCs w:val="18"/>
          <w:u w:val="single" w:color="auto"/>
          <w:color w:val="auto"/>
        </w:rPr>
        <w:t>clause (viii)</w:t>
      </w:r>
      <w:r>
        <w:rPr>
          <w:rFonts w:ascii="Arial" w:cs="Arial" w:eastAsia="Arial" w:hAnsi="Arial"/>
          <w:sz w:val="18"/>
          <w:szCs w:val="18"/>
          <w:color w:val="auto"/>
        </w:rPr>
        <w:t xml:space="preserve"> that are at that time outstanding, not to exceed the greater of (a) $45,000,000 and (b) 40.0% of Consolidated EBITDA for the most recently ended Test Period (calculated on a Pro Forma Basis) at the time of such Investment (with the Fair Market Value of each Investment being measured at the time made and without giving effect to subsequent changes in value);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any Investment pursuant to this </w:t>
      </w:r>
      <w:r>
        <w:rPr>
          <w:rFonts w:ascii="Arial" w:cs="Arial" w:eastAsia="Arial" w:hAnsi="Arial"/>
          <w:sz w:val="18"/>
          <w:szCs w:val="18"/>
          <w:u w:val="single" w:color="auto"/>
          <w:color w:val="auto"/>
        </w:rPr>
        <w:t>clause (viii)</w:t>
      </w:r>
      <w:r>
        <w:rPr>
          <w:rFonts w:ascii="Arial" w:cs="Arial" w:eastAsia="Arial" w:hAnsi="Arial"/>
          <w:sz w:val="18"/>
          <w:szCs w:val="18"/>
          <w:color w:val="auto"/>
        </w:rPr>
        <w:t xml:space="preserve"> is made in any Person that is not a Restricted Subsidiary at the date of the making of such Investment and such Person becomes a Restricted Subsidiary after such date, such Investment shall thereafter be deemed to have been made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(to the extent permitted thereby) and shall cease to have been made pursuant to this </w:t>
      </w:r>
      <w:r>
        <w:rPr>
          <w:rFonts w:ascii="Arial" w:cs="Arial" w:eastAsia="Arial" w:hAnsi="Arial"/>
          <w:sz w:val="18"/>
          <w:szCs w:val="18"/>
          <w:u w:val="single" w:color="auto"/>
          <w:color w:val="auto"/>
        </w:rPr>
        <w:t>clause (viii)</w:t>
      </w:r>
      <w:r>
        <w:rPr>
          <w:rFonts w:ascii="Arial" w:cs="Arial" w:eastAsia="Arial" w:hAnsi="Arial"/>
          <w:sz w:val="18"/>
          <w:szCs w:val="18"/>
          <w:color w:val="auto"/>
        </w:rPr>
        <w:t xml:space="preserve"> for so long as such Person continues to be a Restricted Subsidiary;</w:t>
      </w:r>
    </w:p>
    <w:p>
      <w:pPr>
        <w:spacing w:after="0" w:line="192" w:lineRule="exact"/>
        <w:rPr>
          <w:rFonts w:ascii="Arial" w:cs="Arial" w:eastAsia="Arial" w:hAnsi="Arial"/>
          <w:sz w:val="18"/>
          <w:szCs w:val="18"/>
          <w:color w:val="auto"/>
        </w:rPr>
      </w:pPr>
    </w:p>
    <w:p>
      <w:pPr>
        <w:ind w:left="-540" w:right="40" w:firstLine="1536"/>
        <w:spacing w:after="0" w:line="264" w:lineRule="auto"/>
        <w:tabs>
          <w:tab w:leader="none" w:pos="1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Investments the payment for which consists of Equity Interests of Holdings or any direct or indirect parent company of Holdings (exclusive of Disqualified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Equity Interests will not increase the amount available for Restricted Payments under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380" w:hanging="384"/>
        <w:spacing w:after="0"/>
        <w:tabs>
          <w:tab w:leader="none" w:pos="1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guarantees of Indebtedness permitted under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00" w:lineRule="exact"/>
        <w:rPr>
          <w:sz w:val="20"/>
          <w:szCs w:val="20"/>
          <w:color w:val="auto"/>
        </w:rPr>
      </w:pPr>
    </w:p>
    <w:p>
      <w:pPr>
        <w:spacing w:after="0" w:line="266"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0200"/>
          </w:cols>
          <w:pgMar w:left="1440" w:top="814" w:right="259" w:bottom="1440" w:gutter="0" w:footer="0" w:header="0"/>
        </w:sectPr>
      </w:pPr>
    </w:p>
    <w:bookmarkStart w:id="121" w:name="page122"/>
    <w:bookmarkEnd w:id="121"/>
    <w:p>
      <w:pPr>
        <w:ind w:left="-540" w:right="80" w:firstLine="1536"/>
        <w:spacing w:after="0" w:line="277" w:lineRule="auto"/>
        <w:tabs>
          <w:tab w:leader="none" w:pos="1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any transaction to the extent it constitutes an Investment that is permitted and made in accordance with the provisions of </w:t>
      </w:r>
      <w:r>
        <w:rPr>
          <w:rFonts w:ascii="Arial" w:cs="Arial" w:eastAsia="Arial" w:hAnsi="Arial"/>
          <w:sz w:val="18"/>
          <w:szCs w:val="18"/>
          <w:u w:val="single" w:color="auto"/>
          <w:color w:val="auto"/>
        </w:rPr>
        <w:t>Section 9.9</w:t>
      </w:r>
      <w:r>
        <w:rPr>
          <w:rFonts w:ascii="Arial" w:cs="Arial" w:eastAsia="Arial" w:hAnsi="Arial"/>
          <w:sz w:val="18"/>
          <w:szCs w:val="18"/>
          <w:color w:val="auto"/>
        </w:rPr>
        <w:t xml:space="preserve"> (except transactions described in clause (b) of such paragraph);</w:t>
      </w:r>
    </w:p>
    <w:p>
      <w:pPr>
        <w:spacing w:after="0" w:line="170" w:lineRule="exact"/>
        <w:rPr>
          <w:rFonts w:ascii="Arial" w:cs="Arial" w:eastAsia="Arial" w:hAnsi="Arial"/>
          <w:sz w:val="18"/>
          <w:szCs w:val="18"/>
          <w:color w:val="auto"/>
        </w:rPr>
      </w:pPr>
    </w:p>
    <w:p>
      <w:pPr>
        <w:ind w:left="-540" w:right="100" w:firstLine="1536"/>
        <w:spacing w:after="0" w:line="277" w:lineRule="auto"/>
        <w:tabs>
          <w:tab w:leader="none" w:pos="149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inventory, supplies, material, equipment, or other similar assets in the ordinary course of business;</w:t>
      </w:r>
    </w:p>
    <w:p>
      <w:pPr>
        <w:spacing w:after="0" w:line="170" w:lineRule="exact"/>
        <w:rPr>
          <w:rFonts w:ascii="Arial" w:cs="Arial" w:eastAsia="Arial" w:hAnsi="Arial"/>
          <w:sz w:val="18"/>
          <w:szCs w:val="18"/>
          <w:color w:val="auto"/>
        </w:rPr>
      </w:pPr>
    </w:p>
    <w:p>
      <w:pPr>
        <w:ind w:left="-540" w:firstLine="1536"/>
        <w:spacing w:after="0" w:line="290" w:lineRule="auto"/>
        <w:tabs>
          <w:tab w:leader="none" w:pos="15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additional Investments having an aggregate Fair Market Value, taken together with all other Investments made pursuant to this </w:t>
      </w:r>
      <w:r>
        <w:rPr>
          <w:rFonts w:ascii="Arial" w:cs="Arial" w:eastAsia="Arial" w:hAnsi="Arial"/>
          <w:sz w:val="16"/>
          <w:szCs w:val="16"/>
          <w:u w:val="single" w:color="auto"/>
          <w:color w:val="auto"/>
        </w:rPr>
        <w:t>clause (xiii)</w:t>
      </w:r>
      <w:r>
        <w:rPr>
          <w:rFonts w:ascii="Arial" w:cs="Arial" w:eastAsia="Arial" w:hAnsi="Arial"/>
          <w:sz w:val="16"/>
          <w:szCs w:val="16"/>
          <w:color w:val="auto"/>
        </w:rPr>
        <w:t xml:space="preserve"> that are at that time outstanding (without giving effect to the sale of an Unrestricted Subsidiary to the extent the proceeds of such sale do not consist of cash or marketable securities), not to exceed the greater of (a) $40,000,000 and (b) 35.0% of Consolidated EBITDA for the most recently ended Test Period (calculated on a Pro Forma Basis) at the time of such Investment (with the Fair Market Value of each Investment being measured at the time made and without giving effect to subsequent changes in value);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any Investment pursuant to this </w:t>
      </w:r>
      <w:r>
        <w:rPr>
          <w:rFonts w:ascii="Arial" w:cs="Arial" w:eastAsia="Arial" w:hAnsi="Arial"/>
          <w:sz w:val="16"/>
          <w:szCs w:val="16"/>
          <w:u w:val="single" w:color="auto"/>
          <w:color w:val="auto"/>
        </w:rPr>
        <w:t>clause (xiii)</w:t>
      </w:r>
      <w:r>
        <w:rPr>
          <w:rFonts w:ascii="Arial" w:cs="Arial" w:eastAsia="Arial" w:hAnsi="Arial"/>
          <w:sz w:val="16"/>
          <w:szCs w:val="16"/>
          <w:color w:val="auto"/>
        </w:rPr>
        <w:t xml:space="preserve"> is made in any Person that is not a Restricted Subsidiary at the date of the making of such Investment and such Person becomes a Restricted Subsidiary after such date, such Investment shall thereafter be deemed to have been made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(to the extent permitted thereby) and shall cease to have been made pursuant to this </w:t>
      </w:r>
      <w:r>
        <w:rPr>
          <w:rFonts w:ascii="Arial" w:cs="Arial" w:eastAsia="Arial" w:hAnsi="Arial"/>
          <w:sz w:val="16"/>
          <w:szCs w:val="16"/>
          <w:u w:val="single" w:color="auto"/>
          <w:color w:val="auto"/>
        </w:rPr>
        <w:t>clause (xiii)</w:t>
      </w:r>
      <w:r>
        <w:rPr>
          <w:rFonts w:ascii="Arial" w:cs="Arial" w:eastAsia="Arial" w:hAnsi="Arial"/>
          <w:sz w:val="16"/>
          <w:szCs w:val="16"/>
          <w:color w:val="auto"/>
        </w:rPr>
        <w:t xml:space="preserve"> for so long as such Person continues to be a Restricted Subsidiary;</w:t>
      </w:r>
    </w:p>
    <w:p>
      <w:pPr>
        <w:spacing w:after="0" w:line="166" w:lineRule="exact"/>
        <w:rPr>
          <w:rFonts w:ascii="Arial" w:cs="Arial" w:eastAsia="Arial" w:hAnsi="Arial"/>
          <w:sz w:val="16"/>
          <w:szCs w:val="16"/>
          <w:color w:val="auto"/>
        </w:rPr>
      </w:pPr>
    </w:p>
    <w:p>
      <w:pPr>
        <w:ind w:left="-540" w:right="360" w:firstLine="1536"/>
        <w:spacing w:after="0" w:line="277" w:lineRule="auto"/>
        <w:tabs>
          <w:tab w:leader="none" w:pos="15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Investments relating to any Receivables Subsidiary that, in the good faith determination of the board of directors of Holdings, are necessary or advisable to effect a Receivables Facility or any repurchases in connection therewith;</w:t>
      </w:r>
    </w:p>
    <w:p>
      <w:pPr>
        <w:spacing w:after="0" w:line="170" w:lineRule="exact"/>
        <w:rPr>
          <w:rFonts w:ascii="Arial" w:cs="Arial" w:eastAsia="Arial" w:hAnsi="Arial"/>
          <w:sz w:val="18"/>
          <w:szCs w:val="18"/>
          <w:color w:val="auto"/>
        </w:rPr>
      </w:pPr>
    </w:p>
    <w:p>
      <w:pPr>
        <w:ind w:left="-540" w:right="40" w:firstLine="1536"/>
        <w:spacing w:after="0" w:line="308" w:lineRule="auto"/>
        <w:tabs>
          <w:tab w:leader="none" w:pos="14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advances to, or guarantees of Indebtedness of, employees not in excess of the greater of (a) $10,000,000 and (b) 5.0% of Consolidated EBITDA for the most recently ended Test Period (calculated on a Pro Forma Basis) at the time of such Investment;</w:t>
      </w:r>
    </w:p>
    <w:p>
      <w:pPr>
        <w:spacing w:after="0" w:line="146" w:lineRule="exact"/>
        <w:rPr>
          <w:rFonts w:ascii="Arial" w:cs="Arial" w:eastAsia="Arial" w:hAnsi="Arial"/>
          <w:sz w:val="17"/>
          <w:szCs w:val="17"/>
          <w:color w:val="auto"/>
        </w:rPr>
      </w:pPr>
    </w:p>
    <w:p>
      <w:pPr>
        <w:ind w:left="-540" w:right="200" w:firstLine="1536"/>
        <w:spacing w:after="0" w:line="276" w:lineRule="auto"/>
        <w:tabs>
          <w:tab w:leader="none" w:pos="153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loans and advances to officers, directors, managers, and employees for business-related travel expenses, moving expenses, and other similar expenses, in each case incurred in the ordinary course of business or consistent with past practices or to fund such Person’s purchase of Equity Interests of Holdings or any direct or indirect parent company thereof and (b) promissory notes received from stockholders of Holdings, any direct or indirect parent company of Holdings or any Subsidiary in connection with the exercise of stock options in respect of the Equity Interests of Holdings, any direct or indirect parent company of Holdings and the Subsidiaries;</w:t>
      </w:r>
    </w:p>
    <w:p>
      <w:pPr>
        <w:spacing w:after="0" w:line="172" w:lineRule="exact"/>
        <w:rPr>
          <w:rFonts w:ascii="Arial" w:cs="Arial" w:eastAsia="Arial" w:hAnsi="Arial"/>
          <w:sz w:val="17"/>
          <w:szCs w:val="17"/>
          <w:color w:val="auto"/>
        </w:rPr>
      </w:pPr>
    </w:p>
    <w:p>
      <w:pPr>
        <w:ind w:left="1580" w:hanging="584"/>
        <w:spacing w:after="0"/>
        <w:tabs>
          <w:tab w:leader="none" w:pos="1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Investments consisting of extensions of trade credit in the ordinary course of business;</w:t>
      </w:r>
    </w:p>
    <w:p>
      <w:pPr>
        <w:spacing w:after="0" w:line="225" w:lineRule="exact"/>
        <w:rPr>
          <w:rFonts w:ascii="Arial" w:cs="Arial" w:eastAsia="Arial" w:hAnsi="Arial"/>
          <w:sz w:val="18"/>
          <w:szCs w:val="18"/>
          <w:color w:val="auto"/>
        </w:rPr>
      </w:pPr>
    </w:p>
    <w:p>
      <w:pPr>
        <w:ind w:left="-540" w:right="260" w:firstLine="1536"/>
        <w:spacing w:after="0" w:line="342" w:lineRule="auto"/>
        <w:tabs>
          <w:tab w:leader="none" w:pos="163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Investments in the ordinary course of business consisting of Uniform Commercial Code Article 3 endorsements for collection or deposit and Uniform Commercial Code Article 4 customary trade arrangements with customers consistent with past practices;</w:t>
      </w:r>
    </w:p>
    <w:p>
      <w:pPr>
        <w:spacing w:after="0" w:line="123" w:lineRule="exact"/>
        <w:rPr>
          <w:rFonts w:ascii="Arial" w:cs="Arial" w:eastAsia="Arial" w:hAnsi="Arial"/>
          <w:sz w:val="16"/>
          <w:szCs w:val="16"/>
          <w:color w:val="auto"/>
        </w:rPr>
      </w:pPr>
    </w:p>
    <w:p>
      <w:pPr>
        <w:ind w:left="-540" w:right="120" w:firstLine="1536"/>
        <w:spacing w:after="0" w:line="308" w:lineRule="auto"/>
        <w:tabs>
          <w:tab w:leader="none" w:pos="1530"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non-cash Investments in connection with tax planning and reorganization activities;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such activities, the security interests of the Lenders in the Collateral, taken as a whole, would not be materially impaired;</w:t>
      </w:r>
    </w:p>
    <w:p>
      <w:pPr>
        <w:spacing w:after="0" w:line="146" w:lineRule="exact"/>
        <w:rPr>
          <w:rFonts w:ascii="Arial" w:cs="Arial" w:eastAsia="Arial" w:hAnsi="Arial"/>
          <w:sz w:val="17"/>
          <w:szCs w:val="17"/>
          <w:color w:val="auto"/>
        </w:rPr>
      </w:pPr>
    </w:p>
    <w:p>
      <w:pPr>
        <w:ind w:left="-540" w:right="120" w:firstLine="1536"/>
        <w:spacing w:after="0" w:line="259" w:lineRule="auto"/>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Investments made in the ordinary course of business in connection with obtaining, maintaining or renewing client, franchisee and customer contracts and loans or advances made to, and guarantees with respect to obligations of, independent eye care professionals (or to professional corporations owned by such professionals), franchisees, distributors, suppliers, licensors and licensees in the ordinary course of business;</w:t>
      </w:r>
    </w:p>
    <w:p>
      <w:pPr>
        <w:spacing w:after="0" w:line="186" w:lineRule="exact"/>
        <w:rPr>
          <w:rFonts w:ascii="Arial" w:cs="Arial" w:eastAsia="Arial" w:hAnsi="Arial"/>
          <w:sz w:val="18"/>
          <w:szCs w:val="18"/>
          <w:color w:val="auto"/>
        </w:rPr>
      </w:pPr>
    </w:p>
    <w:p>
      <w:pPr>
        <w:ind w:left="-540" w:right="120" w:firstLine="1536"/>
        <w:spacing w:after="0" w:line="277" w:lineRule="auto"/>
        <w:tabs>
          <w:tab w:leader="none" w:pos="15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licensing and contribution of Intellectual Property pursuant to joint marketing arrangements with other Persons, in the ordinary course of business;</w:t>
      </w:r>
    </w:p>
    <w:p>
      <w:pPr>
        <w:spacing w:after="0" w:line="200" w:lineRule="exact"/>
        <w:rPr>
          <w:sz w:val="20"/>
          <w:szCs w:val="20"/>
          <w:color w:val="auto"/>
        </w:rPr>
      </w:pPr>
    </w:p>
    <w:p>
      <w:pPr>
        <w:spacing w:after="0" w:line="211"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0180"/>
          </w:cols>
          <w:pgMar w:left="1440" w:top="814" w:right="279" w:bottom="1440" w:gutter="0" w:footer="0" w:header="0"/>
        </w:sectPr>
      </w:pPr>
    </w:p>
    <w:bookmarkStart w:id="122" w:name="page123"/>
    <w:bookmarkEnd w:id="122"/>
    <w:p>
      <w:pPr>
        <w:ind w:left="2120" w:hanging="584"/>
        <w:spacing w:after="0"/>
        <w:tabs>
          <w:tab w:leader="none" w:pos="21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to the extent constituting Investments, transactions pursuant to the Wal-Mart Agreements;</w:t>
      </w:r>
    </w:p>
    <w:p>
      <w:pPr>
        <w:spacing w:after="0" w:line="225" w:lineRule="exact"/>
        <w:rPr>
          <w:rFonts w:ascii="Arial" w:cs="Arial" w:eastAsia="Arial" w:hAnsi="Arial"/>
          <w:sz w:val="18"/>
          <w:szCs w:val="18"/>
          <w:color w:val="auto"/>
        </w:rPr>
      </w:pPr>
    </w:p>
    <w:p>
      <w:pPr>
        <w:jc w:val="both"/>
        <w:ind w:right="20" w:firstLine="645"/>
        <w:spacing w:after="0" w:line="264" w:lineRule="auto"/>
        <w:tabs>
          <w:tab w:leader="none" w:pos="1157"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other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 Event of Default shall have occurred and be continuing or would occur as a consequence thereof and (B) after giving Pro Forma Effect to such Investment the Consolidated Total Debt to Consolidated EBITDA Ratio is equal to or less than 3.25:1.00; and</w:t>
      </w:r>
    </w:p>
    <w:p>
      <w:pPr>
        <w:spacing w:after="0" w:line="181" w:lineRule="exact"/>
        <w:rPr>
          <w:rFonts w:ascii="Arial" w:cs="Arial" w:eastAsia="Arial" w:hAnsi="Arial"/>
          <w:sz w:val="18"/>
          <w:szCs w:val="18"/>
          <w:color w:val="auto"/>
        </w:rPr>
      </w:pPr>
    </w:p>
    <w:p>
      <w:pPr>
        <w:jc w:val="both"/>
        <w:ind w:firstLine="645"/>
        <w:spacing w:after="0" w:line="259" w:lineRule="auto"/>
        <w:tabs>
          <w:tab w:leader="none" w:pos="1134"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Investments of a Subsidiary acquired after the Closing Date or of a Person merged or consolidated with any Subsidiary in accordance with this definition of “Permitted Investments”,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after the Closing Date to the extent that such investments were not made in contemplation of or in connection with such acquisition, merger or consolidation and were in existence on the date of such acquisition, merger or consolidation.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shall mean, with respect to any Person:</w:t>
      </w:r>
    </w:p>
    <w:p>
      <w:pPr>
        <w:spacing w:after="0" w:line="229" w:lineRule="exact"/>
        <w:rPr>
          <w:sz w:val="20"/>
          <w:szCs w:val="20"/>
          <w:color w:val="auto"/>
        </w:rPr>
      </w:pPr>
    </w:p>
    <w:p>
      <w:pPr>
        <w:ind w:firstLine="1536"/>
        <w:spacing w:after="0" w:line="276" w:lineRule="auto"/>
        <w:tabs>
          <w:tab w:leader="none" w:pos="189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pledges or deposits by such Person under workmen’s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the payment of rent or deposits made to secure obligations arising from contractual or warranty refunds, in each case incurred in the ordinary course of business;</w:t>
      </w:r>
    </w:p>
    <w:p>
      <w:pPr>
        <w:spacing w:after="0" w:line="172" w:lineRule="exact"/>
        <w:rPr>
          <w:rFonts w:ascii="Arial" w:cs="Arial" w:eastAsia="Arial" w:hAnsi="Arial"/>
          <w:sz w:val="17"/>
          <w:szCs w:val="17"/>
          <w:color w:val="auto"/>
        </w:rPr>
      </w:pPr>
    </w:p>
    <w:p>
      <w:pPr>
        <w:ind w:right="40" w:firstLine="1536"/>
        <w:spacing w:after="0" w:line="279" w:lineRule="auto"/>
        <w:tabs>
          <w:tab w:leader="none" w:pos="19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Liens imposed by law, such as carriers’, warehousemen’s, materialmen’s, repairmen’s, and mechanics’ Liens, in each case for sums not yet overdue for a period of more than 60 days or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GAAP;</w:t>
      </w:r>
    </w:p>
    <w:p>
      <w:pPr>
        <w:spacing w:after="0" w:line="171" w:lineRule="exact"/>
        <w:rPr>
          <w:rFonts w:ascii="Arial" w:cs="Arial" w:eastAsia="Arial" w:hAnsi="Arial"/>
          <w:sz w:val="17"/>
          <w:szCs w:val="17"/>
          <w:color w:val="auto"/>
        </w:rPr>
      </w:pPr>
    </w:p>
    <w:p>
      <w:pPr>
        <w:ind w:right="20" w:firstLine="1536"/>
        <w:spacing w:after="0" w:line="302" w:lineRule="auto"/>
        <w:tabs>
          <w:tab w:leader="none" w:pos="1990"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Liens for taxes, assessments, or other governmental charges not yet overdue for a period of more than 60 days or which are being contested in good faith by appropriate proceedings diligently conducted, if adequate reserves with respect thereto are maintained on the books of such Person in accordance with GAAP or are not required to be paid pursuant to </w:t>
      </w:r>
      <w:r>
        <w:rPr>
          <w:rFonts w:ascii="Arial" w:cs="Arial" w:eastAsia="Arial" w:hAnsi="Arial"/>
          <w:sz w:val="16"/>
          <w:szCs w:val="16"/>
          <w:u w:val="single" w:color="auto"/>
          <w:color w:val="auto"/>
        </w:rPr>
        <w:t>Section 8.12</w:t>
      </w:r>
      <w:r>
        <w:rPr>
          <w:rFonts w:ascii="Arial" w:cs="Arial" w:eastAsia="Arial" w:hAnsi="Arial"/>
          <w:sz w:val="16"/>
          <w:szCs w:val="16"/>
          <w:color w:val="auto"/>
        </w:rPr>
        <w:t>, or for property taxes on property Holdings or one of its Subsidiaries has determined to abandon if the sole recourse for such tax, assessment, charge, levy, or claim is to such property;</w:t>
      </w:r>
    </w:p>
    <w:p>
      <w:pPr>
        <w:spacing w:after="0" w:line="154" w:lineRule="exact"/>
        <w:rPr>
          <w:rFonts w:ascii="Arial" w:cs="Arial" w:eastAsia="Arial" w:hAnsi="Arial"/>
          <w:sz w:val="16"/>
          <w:szCs w:val="16"/>
          <w:color w:val="auto"/>
        </w:rPr>
      </w:pPr>
    </w:p>
    <w:p>
      <w:pPr>
        <w:ind w:firstLine="1536"/>
        <w:spacing w:after="0" w:line="264" w:lineRule="auto"/>
        <w:tabs>
          <w:tab w:leader="none" w:pos="1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Liens in favor of issuers of performance, surety, bid, indemnity, warranty, release, appeal, or similar bonds or with respect to other regulatory requirements or letters of credit or bankers’ acceptances issued, and completion guarantees provided for, in each case pursuant to the request of and for the account of such Person in the ordinary course of its business;</w:t>
      </w:r>
    </w:p>
    <w:p>
      <w:pPr>
        <w:spacing w:after="0" w:line="181" w:lineRule="exact"/>
        <w:rPr>
          <w:rFonts w:ascii="Arial" w:cs="Arial" w:eastAsia="Arial" w:hAnsi="Arial"/>
          <w:sz w:val="18"/>
          <w:szCs w:val="18"/>
          <w:color w:val="auto"/>
        </w:rPr>
      </w:pPr>
    </w:p>
    <w:p>
      <w:pPr>
        <w:ind w:firstLine="1536"/>
        <w:spacing w:after="0" w:line="273" w:lineRule="auto"/>
        <w:tabs>
          <w:tab w:leader="none" w:pos="1930" w:val="left"/>
        </w:tabs>
        <w:numPr>
          <w:ilvl w:val="0"/>
          <w:numId w:val="67"/>
        </w:numPr>
        <w:rPr>
          <w:rFonts w:ascii="Arial" w:cs="Arial" w:eastAsia="Arial" w:hAnsi="Arial"/>
          <w:sz w:val="17"/>
          <w:szCs w:val="17"/>
          <w:color w:val="auto"/>
        </w:rPr>
      </w:pPr>
      <w:r>
        <w:rPr>
          <w:rFonts w:ascii="Arial" w:cs="Arial" w:eastAsia="Arial" w:hAnsi="Arial"/>
          <w:sz w:val="17"/>
          <w:szCs w:val="17"/>
          <w:color w:val="auto"/>
        </w:rPr>
        <w:t>minor survey exceptions, minor encumbrances, ground leases, easements, or reservations of, or rights of others for, licenses, rights-of-way, servitudes, sewers, electric lines, drains, telegraph and telephone and cable television lines, gas and oil pipelines, and other similar purposes, or zoning, building codes, or other restrictions (including, without limitation, minor defects or irregularities in title and similar encumbrances)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w:t>
      </w:r>
    </w:p>
    <w:p>
      <w:pPr>
        <w:spacing w:after="0" w:line="200" w:lineRule="exact"/>
        <w:rPr>
          <w:sz w:val="20"/>
          <w:szCs w:val="20"/>
          <w:color w:val="auto"/>
        </w:rPr>
      </w:pPr>
    </w:p>
    <w:p>
      <w:pPr>
        <w:spacing w:after="0" w:line="219"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0760"/>
          </w:cols>
          <w:pgMar w:left="900" w:top="814" w:right="239" w:bottom="1440" w:gutter="0" w:footer="0" w:header="0"/>
        </w:sectPr>
      </w:pPr>
    </w:p>
    <w:bookmarkStart w:id="123" w:name="page124"/>
    <w:bookmarkEnd w:id="123"/>
    <w:p>
      <w:pPr>
        <w:ind w:left="4" w:right="20" w:firstLine="1536"/>
        <w:spacing w:after="0" w:line="282" w:lineRule="auto"/>
        <w:tabs>
          <w:tab w:leader="none" w:pos="1983" w:val="left"/>
        </w:tabs>
        <w:numPr>
          <w:ilvl w:val="1"/>
          <w:numId w:val="68"/>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to be outstanding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(l)(ii)</w:t>
      </w:r>
      <w:r>
        <w:rPr>
          <w:rFonts w:ascii="Arial" w:cs="Arial" w:eastAsia="Arial" w:hAnsi="Arial"/>
          <w:sz w:val="16"/>
          <w:szCs w:val="16"/>
          <w:color w:val="auto"/>
        </w:rPr>
        <w:t xml:space="preserve">, </w:t>
      </w:r>
      <w:r>
        <w:rPr>
          <w:rFonts w:ascii="Arial" w:cs="Arial" w:eastAsia="Arial" w:hAnsi="Arial"/>
          <w:sz w:val="16"/>
          <w:szCs w:val="16"/>
          <w:u w:val="single" w:color="auto"/>
          <w:color w:val="auto"/>
        </w:rPr>
        <w:t>(r)</w:t>
      </w:r>
      <w:r>
        <w:rPr>
          <w:rFonts w:ascii="Arial" w:cs="Arial" w:eastAsia="Arial" w:hAnsi="Arial"/>
          <w:sz w:val="16"/>
          <w:szCs w:val="16"/>
          <w:color w:val="auto"/>
        </w:rPr>
        <w:t xml:space="preserve">, </w:t>
      </w:r>
      <w:r>
        <w:rPr>
          <w:rFonts w:ascii="Arial" w:cs="Arial" w:eastAsia="Arial" w:hAnsi="Arial"/>
          <w:sz w:val="16"/>
          <w:szCs w:val="16"/>
          <w:u w:val="single" w:color="auto"/>
          <w:color w:val="auto"/>
        </w:rPr>
        <w:t>(w)</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(x)</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the case of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such Lien may not extend to any property or equipment (or assets affixed or appurtenant thereto) other than the property or equipment being financed or refinanced under such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replacements of such property, equipment or assets, and additions and accessions and in the case of multiple financings of equipment provided by any lender, other equipment financed by such lender; (b) in the case of </w:t>
      </w:r>
      <w:r>
        <w:rPr>
          <w:rFonts w:ascii="Arial" w:cs="Arial" w:eastAsia="Arial" w:hAnsi="Arial"/>
          <w:sz w:val="16"/>
          <w:szCs w:val="16"/>
          <w:u w:val="single" w:color="auto"/>
          <w:color w:val="auto"/>
        </w:rPr>
        <w:t>clause (r)</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such Lien may not extend to any assets other than the assets owned by the Restricted Subsidiaries incurring such Indebtedness; (c) in the case of Liens securing Permitted Other Indebtedness Obligations that constitute First Lien Obligations pursuant to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the applicable Permitted Other Indebtedness Secured Parties (or a representative thereof on behalf of such holders) shall enter into security documents with terms and conditions not materially more restrictive to the Credit Parties, taken as a whole, than the terms and conditions of the Security Documents and (1) in the case of the first such issuance of Permitted Other Indebtedness constituting First Lien Obligations, the Collateral Agent, the Administrative Agent and the representative for the holders of such Permitted Other Indebtedness Obligations shall have entered into the First Lien Intercreditor Agreement and (2) in the case of subsequent issuances of Permitted Other Indebtedness constituting First Lien Obligations, the representative for the holders of such Permitted Other Indebtedness Obligations shall have become a party to the First Lien Intercreditor Agreement in accordance with the terms thereof; and (d) in the case of Liens securing Permitted Other Indebtedness Obligations that do not constitute First Lien Obligations pursuant to this </w:t>
      </w:r>
      <w:r>
        <w:rPr>
          <w:rFonts w:ascii="Arial" w:cs="Arial" w:eastAsia="Arial" w:hAnsi="Arial"/>
          <w:sz w:val="16"/>
          <w:szCs w:val="16"/>
          <w:u w:val="single" w:color="auto"/>
          <w:color w:val="auto"/>
        </w:rPr>
        <w:t>clause (vi)</w:t>
      </w:r>
      <w:r>
        <w:rPr>
          <w:rFonts w:ascii="Arial" w:cs="Arial" w:eastAsia="Arial" w:hAnsi="Arial"/>
          <w:sz w:val="16"/>
          <w:szCs w:val="16"/>
          <w:color w:val="auto"/>
        </w:rPr>
        <w:t>, the applicable Permitted Other Indebtedness Secured Parties (or a representative thereof on behalf of such holders) shall enter into security documents with terms and conditions not materially more restrictive to the Credit Parties, taken as a whole, than the terms and conditions of the Security Documents and shall (x) in the case of the first such issuance of Permitted Other Indebtedness that do not constitute First Lien Obligations, the Collateral Agent, the Administrative Agent and the representative of the holders of such Permitted Other Indebtedness Obligations shall have entered into the Second Lien Intercreditor Agreement and</w:t>
      </w:r>
    </w:p>
    <w:p>
      <w:pPr>
        <w:spacing w:after="0" w:line="12" w:lineRule="exact"/>
        <w:rPr>
          <w:rFonts w:ascii="Arial" w:cs="Arial" w:eastAsia="Arial" w:hAnsi="Arial"/>
          <w:sz w:val="16"/>
          <w:szCs w:val="16"/>
          <w:color w:val="auto"/>
        </w:rPr>
      </w:pPr>
    </w:p>
    <w:p>
      <w:pPr>
        <w:ind w:left="264" w:hanging="264"/>
        <w:spacing w:after="0"/>
        <w:tabs>
          <w:tab w:leader="none" w:pos="264"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the case of subsequent issuances of Permitted Other Indebtedness that do not constitute First Lien Obligations, the representative for the</w:t>
      </w:r>
    </w:p>
    <w:p>
      <w:pPr>
        <w:spacing w:after="0" w:line="32" w:lineRule="exact"/>
        <w:rPr>
          <w:rFonts w:ascii="Arial" w:cs="Arial" w:eastAsia="Arial" w:hAnsi="Arial"/>
          <w:sz w:val="16"/>
          <w:szCs w:val="16"/>
          <w:color w:val="auto"/>
        </w:rPr>
      </w:pPr>
    </w:p>
    <w:p>
      <w:pPr>
        <w:ind w:left="4" w:right="80"/>
        <w:spacing w:after="0" w:line="302" w:lineRule="auto"/>
        <w:rPr>
          <w:rFonts w:ascii="Arial" w:cs="Arial" w:eastAsia="Arial" w:hAnsi="Arial"/>
          <w:sz w:val="16"/>
          <w:szCs w:val="16"/>
          <w:color w:val="auto"/>
        </w:rPr>
      </w:pPr>
      <w:r>
        <w:rPr>
          <w:rFonts w:ascii="Arial" w:cs="Arial" w:eastAsia="Arial" w:hAnsi="Arial"/>
          <w:sz w:val="16"/>
          <w:szCs w:val="16"/>
          <w:color w:val="auto"/>
        </w:rPr>
        <w:t>holders of such Permitted Other Indebtedness shall have become a party to the Second Lien Intercreditor Agreement in accordance with the terms thereof; without any further consent of the Lenders, the Administrative Agent and the Collateral Agent shall be authorized to execute and deliver on behalf of the Secured Parties the First Lien Intercreditor Agreement and the Second Lien Intercreditor Agreement contemplated by this clause (vi);</w:t>
      </w:r>
    </w:p>
    <w:p>
      <w:pPr>
        <w:spacing w:after="0" w:line="155" w:lineRule="exact"/>
        <w:rPr>
          <w:rFonts w:ascii="Arial" w:cs="Arial" w:eastAsia="Arial" w:hAnsi="Arial"/>
          <w:sz w:val="16"/>
          <w:szCs w:val="16"/>
          <w:color w:val="auto"/>
        </w:rPr>
      </w:pPr>
    </w:p>
    <w:p>
      <w:pPr>
        <w:jc w:val="both"/>
        <w:ind w:left="4" w:firstLine="1536"/>
        <w:spacing w:after="0" w:line="302" w:lineRule="auto"/>
        <w:tabs>
          <w:tab w:leader="none" w:pos="2033"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9.14</w:t>
      </w:r>
      <w:r>
        <w:rPr>
          <w:rFonts w:ascii="Arial" w:cs="Arial" w:eastAsia="Arial" w:hAnsi="Arial"/>
          <w:sz w:val="16"/>
          <w:szCs w:val="16"/>
          <w:color w:val="auto"/>
        </w:rPr>
        <w:t xml:space="preserve">, other than with respect to Mortgaged Property, Liens existing on the Restatement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Lien securing Indebtedness or other obligations in excess of (a) $5,000,000 individually or (b) $10,000,000 in the aggregate (when taken together with all other Liens securing obligations outstanding in reliance on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that are not listed on </w:t>
      </w:r>
      <w:r>
        <w:rPr>
          <w:rFonts w:ascii="Arial" w:cs="Arial" w:eastAsia="Arial" w:hAnsi="Arial"/>
          <w:sz w:val="16"/>
          <w:szCs w:val="16"/>
          <w:u w:val="single" w:color="auto"/>
          <w:color w:val="auto"/>
        </w:rPr>
        <w:t>Schedule 10.2</w:t>
      </w:r>
      <w:r>
        <w:rPr>
          <w:rFonts w:ascii="Arial" w:cs="Arial" w:eastAsia="Arial" w:hAnsi="Arial"/>
          <w:sz w:val="16"/>
          <w:szCs w:val="16"/>
          <w:color w:val="auto"/>
        </w:rPr>
        <w:t xml:space="preserve">) shall only be permitted if set forth on </w:t>
      </w:r>
      <w:r>
        <w:rPr>
          <w:rFonts w:ascii="Arial" w:cs="Arial" w:eastAsia="Arial" w:hAnsi="Arial"/>
          <w:sz w:val="16"/>
          <w:szCs w:val="16"/>
          <w:u w:val="single" w:color="auto"/>
          <w:color w:val="auto"/>
        </w:rPr>
        <w:t>Schedule 10.2</w:t>
      </w:r>
      <w:r>
        <w:rPr>
          <w:rFonts w:ascii="Arial" w:cs="Arial" w:eastAsia="Arial" w:hAnsi="Arial"/>
          <w:sz w:val="16"/>
          <w:szCs w:val="16"/>
          <w:color w:val="auto"/>
        </w:rPr>
        <w:t>, and, in each case, any modifications, replacements, renewals, or extensions thereof;</w:t>
      </w:r>
    </w:p>
    <w:p>
      <w:pPr>
        <w:spacing w:after="0" w:line="154" w:lineRule="exact"/>
        <w:rPr>
          <w:rFonts w:ascii="Arial" w:cs="Arial" w:eastAsia="Arial" w:hAnsi="Arial"/>
          <w:sz w:val="16"/>
          <w:szCs w:val="16"/>
          <w:color w:val="auto"/>
        </w:rPr>
      </w:pPr>
    </w:p>
    <w:p>
      <w:pPr>
        <w:ind w:left="4" w:right="80" w:firstLine="1536"/>
        <w:spacing w:after="0" w:line="253" w:lineRule="auto"/>
        <w:tabs>
          <w:tab w:leader="none" w:pos="2083"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Liens on property or shares of stock of a Person at the time such Person becomes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Liens are not created or incurred in connection with, or in contemplation of, such other Person becoming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Liens may not extend to any other property owned by Holdings or any Restricted Subsidiary (other than, with respect to such Person, any replacements of such property or assets and additions and accessions thereto, after-acquired property subject to a Lien securing Indebtedness and other obligations incurred prior to such time and which Indebtedness and other obligations are permitted hereunder that require, pursuant to their terms at such time, a pledge of after-acquired property of such Person,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w:t>
      </w:r>
    </w:p>
    <w:p>
      <w:pPr>
        <w:spacing w:after="0" w:line="200" w:lineRule="exact"/>
        <w:rPr>
          <w:sz w:val="20"/>
          <w:szCs w:val="20"/>
          <w:color w:val="auto"/>
        </w:rPr>
      </w:pPr>
    </w:p>
    <w:p>
      <w:pPr>
        <w:spacing w:after="0" w:line="238" w:lineRule="exact"/>
        <w:rPr>
          <w:sz w:val="20"/>
          <w:szCs w:val="20"/>
          <w:color w:val="auto"/>
        </w:rPr>
      </w:pPr>
    </w:p>
    <w:p>
      <w:pPr>
        <w:ind w:left="4884"/>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0744"/>
          </w:cols>
          <w:pgMar w:left="896" w:top="814" w:right="259" w:bottom="1440" w:gutter="0" w:footer="0" w:header="0"/>
        </w:sectPr>
      </w:pPr>
    </w:p>
    <w:bookmarkStart w:id="124" w:name="page125"/>
    <w:bookmarkEnd w:id="124"/>
    <w:p>
      <w:pPr>
        <w:ind w:left="-540" w:firstLine="1536"/>
        <w:spacing w:after="0" w:line="270" w:lineRule="auto"/>
        <w:tabs>
          <w:tab w:leader="none" w:pos="14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Liens on property at the time Holdings or a Restricted Subsidiary acquired the property, including any acquisition by means of a merger or consolidation with or into Holdings or any Restricted Subsidiary or the designation of an Unrestricted Subsidiary as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Liens are not created or incurred in connection with, or in contemplation of, such acquisition, merger, consolidation, or designation;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Liens may not extend to any other property owned by Holdings or any Restricted Subsidiary (other than, with respect to such property, any replacements of such property or assets and additions and accessions thereto, after-acquired property subject to a Lien securing Indebtedness and other obligations incurred prior to such time and which Indebtedness and other obligations are permitted hereunder that require, pursuant to their terms at such time, a pledge of after-acquired property,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w:t>
      </w:r>
    </w:p>
    <w:p>
      <w:pPr>
        <w:spacing w:after="0" w:line="177" w:lineRule="exact"/>
        <w:rPr>
          <w:rFonts w:ascii="Arial" w:cs="Arial" w:eastAsia="Arial" w:hAnsi="Arial"/>
          <w:sz w:val="17"/>
          <w:szCs w:val="17"/>
          <w:color w:val="auto"/>
        </w:rPr>
      </w:pPr>
    </w:p>
    <w:p>
      <w:pPr>
        <w:ind w:left="-540" w:right="500" w:firstLine="1536"/>
        <w:spacing w:after="0" w:line="277" w:lineRule="auto"/>
        <w:tabs>
          <w:tab w:leader="none" w:pos="139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Liens securing Indebtedness or other obligations of a Restricted Subsidiary owing to Holdings or another Restricted Subsidiary permitted to be incurred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540" w:right="600" w:firstLine="1536"/>
        <w:spacing w:after="0" w:line="342" w:lineRule="auto"/>
        <w:tabs>
          <w:tab w:leader="none" w:pos="14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Liens securing Hedging Obligations and Cash Management Services so long as the related Indebtedness is, and is permitted hereunder to be, secured by a Lien on the same property securing such Hedging Obligations and Cash Management Services;</w:t>
      </w:r>
    </w:p>
    <w:p>
      <w:pPr>
        <w:spacing w:after="0" w:line="123" w:lineRule="exact"/>
        <w:rPr>
          <w:rFonts w:ascii="Arial" w:cs="Arial" w:eastAsia="Arial" w:hAnsi="Arial"/>
          <w:sz w:val="16"/>
          <w:szCs w:val="16"/>
          <w:color w:val="auto"/>
        </w:rPr>
      </w:pPr>
    </w:p>
    <w:p>
      <w:pPr>
        <w:ind w:left="-540" w:right="140" w:firstLine="1536"/>
        <w:spacing w:after="0" w:line="264" w:lineRule="auto"/>
        <w:tabs>
          <w:tab w:leader="none" w:pos="149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81" w:lineRule="exact"/>
        <w:rPr>
          <w:rFonts w:ascii="Arial" w:cs="Arial" w:eastAsia="Arial" w:hAnsi="Arial"/>
          <w:sz w:val="18"/>
          <w:szCs w:val="18"/>
          <w:color w:val="auto"/>
        </w:rPr>
      </w:pPr>
    </w:p>
    <w:p>
      <w:pPr>
        <w:jc w:val="both"/>
        <w:ind w:left="-540" w:right="100" w:firstLine="1536"/>
        <w:spacing w:after="0" w:line="264" w:lineRule="auto"/>
        <w:tabs>
          <w:tab w:leader="none" w:pos="1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leases, subleases, licenses, or sublicenses (including of Intellectual Property) granted to others in the ordinary course of business which do not materially interfere with the ordinary conduct of the business of Holdings or any Restricted Subsidiary and do not secure any Indebtedness;</w:t>
      </w:r>
    </w:p>
    <w:p>
      <w:pPr>
        <w:spacing w:after="0" w:line="181" w:lineRule="exact"/>
        <w:rPr>
          <w:rFonts w:ascii="Arial" w:cs="Arial" w:eastAsia="Arial" w:hAnsi="Arial"/>
          <w:sz w:val="18"/>
          <w:szCs w:val="18"/>
          <w:color w:val="auto"/>
        </w:rPr>
      </w:pPr>
    </w:p>
    <w:p>
      <w:pPr>
        <w:ind w:left="-540" w:right="220" w:firstLine="1536"/>
        <w:spacing w:after="0" w:line="277" w:lineRule="auto"/>
        <w:tabs>
          <w:tab w:leader="none" w:pos="15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regarding operating leases or consignments entered into by Holdings or any Restricted Subsidiary in the ordinary course of business;</w:t>
      </w:r>
    </w:p>
    <w:p>
      <w:pPr>
        <w:spacing w:after="0" w:line="170" w:lineRule="exact"/>
        <w:rPr>
          <w:rFonts w:ascii="Arial" w:cs="Arial" w:eastAsia="Arial" w:hAnsi="Arial"/>
          <w:sz w:val="18"/>
          <w:szCs w:val="18"/>
          <w:color w:val="auto"/>
        </w:rPr>
      </w:pPr>
    </w:p>
    <w:p>
      <w:pPr>
        <w:ind w:left="1480" w:hanging="484"/>
        <w:spacing w:after="0"/>
        <w:tabs>
          <w:tab w:leader="none" w:pos="1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in favor of Holdings, the Borrower, or any other Guarantor;</w:t>
      </w:r>
    </w:p>
    <w:p>
      <w:pPr>
        <w:spacing w:after="0" w:line="225" w:lineRule="exact"/>
        <w:rPr>
          <w:rFonts w:ascii="Arial" w:cs="Arial" w:eastAsia="Arial" w:hAnsi="Arial"/>
          <w:sz w:val="18"/>
          <w:szCs w:val="18"/>
          <w:color w:val="auto"/>
        </w:rPr>
      </w:pPr>
    </w:p>
    <w:p>
      <w:pPr>
        <w:ind w:left="-540" w:right="80" w:firstLine="1536"/>
        <w:spacing w:after="0" w:line="277" w:lineRule="auto"/>
        <w:tabs>
          <w:tab w:leader="none" w:pos="15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on equipment of Holdings or any Restricted Subsidiary granted in the ordinary course of business to Holdings’ or such Restricted Subsidiary’s client at which such equipment is located;</w:t>
      </w:r>
    </w:p>
    <w:p>
      <w:pPr>
        <w:spacing w:after="0" w:line="170" w:lineRule="exact"/>
        <w:rPr>
          <w:rFonts w:ascii="Arial" w:cs="Arial" w:eastAsia="Arial" w:hAnsi="Arial"/>
          <w:sz w:val="18"/>
          <w:szCs w:val="18"/>
          <w:color w:val="auto"/>
        </w:rPr>
      </w:pPr>
    </w:p>
    <w:p>
      <w:pPr>
        <w:ind w:left="1580" w:hanging="584"/>
        <w:spacing w:after="0"/>
        <w:tabs>
          <w:tab w:leader="none" w:pos="1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on accounts receivable and related assets incurred in connection with a Receivables Facility;</w:t>
      </w:r>
    </w:p>
    <w:p>
      <w:pPr>
        <w:spacing w:after="0" w:line="225" w:lineRule="exact"/>
        <w:rPr>
          <w:rFonts w:ascii="Arial" w:cs="Arial" w:eastAsia="Arial" w:hAnsi="Arial"/>
          <w:sz w:val="18"/>
          <w:szCs w:val="18"/>
          <w:color w:val="auto"/>
        </w:rPr>
      </w:pPr>
    </w:p>
    <w:p>
      <w:pPr>
        <w:ind w:left="-540" w:right="20" w:firstLine="1536"/>
        <w:spacing w:after="0" w:line="271" w:lineRule="auto"/>
        <w:tabs>
          <w:tab w:leader="none" w:pos="1630"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Liens to secure any refinancing, refunding, extension, renewal, or replacement (or successive refinancing, refunding, extensions, renewals, or replacements) as a whole, or in part, of any Indebtedness secured by any Lien referred to in </w:t>
      </w:r>
      <w:r>
        <w:rPr>
          <w:rFonts w:ascii="Arial" w:cs="Arial" w:eastAsia="Arial" w:hAnsi="Arial"/>
          <w:sz w:val="17"/>
          <w:szCs w:val="17"/>
          <w:u w:val="single" w:color="auto"/>
          <w:color w:val="auto"/>
        </w:rPr>
        <w:t>clauses (vi)</w:t>
      </w:r>
      <w:r>
        <w:rPr>
          <w:rFonts w:ascii="Arial" w:cs="Arial" w:eastAsia="Arial" w:hAnsi="Arial"/>
          <w:sz w:val="17"/>
          <w:szCs w:val="17"/>
          <w:color w:val="auto"/>
        </w:rPr>
        <w:t xml:space="preserve"> (other than pursuant to </w:t>
      </w:r>
      <w:r>
        <w:rPr>
          <w:rFonts w:ascii="Arial" w:cs="Arial" w:eastAsia="Arial" w:hAnsi="Arial"/>
          <w:sz w:val="17"/>
          <w:szCs w:val="17"/>
          <w:u w:val="single" w:color="auto"/>
          <w:color w:val="auto"/>
        </w:rPr>
        <w:t>Section 10.1(l)(ii)</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w:t>
      </w:r>
      <w:r>
        <w:rPr>
          <w:rFonts w:ascii="Arial" w:cs="Arial" w:eastAsia="Arial" w:hAnsi="Arial"/>
          <w:sz w:val="17"/>
          <w:szCs w:val="17"/>
          <w:u w:val="single" w:color="auto"/>
          <w:color w:val="auto"/>
        </w:rPr>
        <w:t>(x)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(xv)</w:t>
      </w:r>
      <w:r>
        <w:rPr>
          <w:rFonts w:ascii="Arial" w:cs="Arial" w:eastAsia="Arial" w:hAnsi="Arial"/>
          <w:sz w:val="17"/>
          <w:szCs w:val="17"/>
          <w:color w:val="auto"/>
        </w:rPr>
        <w:t xml:space="preserve"> of this definition of “Permitted Liens”;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new Lien shall be limited to all or part of the same property that secured the original Lien (plus improvements on such property), and (b) the Indebtedness secured by such Lien at such time is not increased to any amount greater than the sum of (1) the outstanding principal amount or, if greater, committed amount of the Indebtedness described under </w:t>
      </w:r>
      <w:r>
        <w:rPr>
          <w:rFonts w:ascii="Arial" w:cs="Arial" w:eastAsia="Arial" w:hAnsi="Arial"/>
          <w:sz w:val="17"/>
          <w:szCs w:val="17"/>
          <w:u w:val="single" w:color="auto"/>
          <w:color w:val="auto"/>
        </w:rPr>
        <w:t>clauses (vi)</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w:t>
      </w:r>
      <w:r>
        <w:rPr>
          <w:rFonts w:ascii="Arial" w:cs="Arial" w:eastAsia="Arial" w:hAnsi="Arial"/>
          <w:sz w:val="17"/>
          <w:szCs w:val="17"/>
          <w:u w:val="single" w:color="auto"/>
          <w:color w:val="auto"/>
        </w:rPr>
        <w:t>(x)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(xv)</w:t>
      </w:r>
      <w:r>
        <w:rPr>
          <w:rFonts w:ascii="Arial" w:cs="Arial" w:eastAsia="Arial" w:hAnsi="Arial"/>
          <w:sz w:val="17"/>
          <w:szCs w:val="17"/>
          <w:color w:val="auto"/>
        </w:rPr>
        <w:t xml:space="preserve"> at the time the original Lien became a Permitted Lien under this Agreement, and (2) an amount necessary to pay any fees and expenses, including premiums and accrued and unpaid interest, related to such refinancing, refunding, extension, renewal, or replacement;</w:t>
      </w:r>
    </w:p>
    <w:p>
      <w:pPr>
        <w:spacing w:after="0" w:line="200" w:lineRule="exact"/>
        <w:rPr>
          <w:sz w:val="20"/>
          <w:szCs w:val="20"/>
          <w:color w:val="auto"/>
        </w:rPr>
      </w:pPr>
    </w:p>
    <w:p>
      <w:pPr>
        <w:spacing w:after="0" w:line="220"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0220"/>
          </w:cols>
          <w:pgMar w:left="1440" w:top="814" w:right="239" w:bottom="1440" w:gutter="0" w:footer="0" w:header="0"/>
        </w:sectPr>
      </w:pPr>
    </w:p>
    <w:bookmarkStart w:id="125" w:name="page126"/>
    <w:bookmarkEnd w:id="125"/>
    <w:p>
      <w:pPr>
        <w:ind w:right="400" w:firstLine="1536"/>
        <w:spacing w:after="0" w:line="277" w:lineRule="auto"/>
        <w:tabs>
          <w:tab w:leader="none" w:pos="207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deposits made or other security provided to secure liabilities to insurance carriers under insurance or self-insurance arrangements in the ordinary course of business;</w:t>
      </w:r>
    </w:p>
    <w:p>
      <w:pPr>
        <w:spacing w:after="0" w:line="170" w:lineRule="exact"/>
        <w:rPr>
          <w:rFonts w:ascii="Arial" w:cs="Arial" w:eastAsia="Arial" w:hAnsi="Arial"/>
          <w:sz w:val="18"/>
          <w:szCs w:val="18"/>
          <w:color w:val="auto"/>
        </w:rPr>
      </w:pPr>
    </w:p>
    <w:p>
      <w:pPr>
        <w:ind w:right="420" w:firstLine="1536"/>
        <w:spacing w:after="0" w:line="342" w:lineRule="auto"/>
        <w:tabs>
          <w:tab w:leader="none" w:pos="20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other Liens securing obligations which do not exceed the greater of (a) $45,000,000 and (b) 40.0% of Consolidated EBITDA for the most recently ended Test Period (calculated on a Pro Forma Basis) at the time of the incurrence of such Lien;</w:t>
      </w:r>
    </w:p>
    <w:p>
      <w:pPr>
        <w:spacing w:after="0" w:line="123" w:lineRule="exact"/>
        <w:rPr>
          <w:rFonts w:ascii="Arial" w:cs="Arial" w:eastAsia="Arial" w:hAnsi="Arial"/>
          <w:sz w:val="16"/>
          <w:szCs w:val="16"/>
          <w:color w:val="auto"/>
        </w:rPr>
      </w:pPr>
    </w:p>
    <w:p>
      <w:pPr>
        <w:ind w:left="2060" w:hanging="524"/>
        <w:spacing w:after="0"/>
        <w:tabs>
          <w:tab w:leader="none" w:pos="20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Liens securing judgments for the payment of money not constituting an Event of Default under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11.10</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right="360" w:firstLine="1536"/>
        <w:spacing w:after="0" w:line="277" w:lineRule="auto"/>
        <w:tabs>
          <w:tab w:leader="none" w:pos="2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70" w:lineRule="exact"/>
        <w:rPr>
          <w:rFonts w:ascii="Arial" w:cs="Arial" w:eastAsia="Arial" w:hAnsi="Arial"/>
          <w:sz w:val="18"/>
          <w:szCs w:val="18"/>
          <w:color w:val="auto"/>
        </w:rPr>
      </w:pPr>
    </w:p>
    <w:p>
      <w:pPr>
        <w:ind w:firstLine="1536"/>
        <w:spacing w:after="0" w:line="257" w:lineRule="auto"/>
        <w:tabs>
          <w:tab w:leader="none" w:pos="217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Liens (a) of a collection bank arising under Section 4-210 of the Uniform Commercial Code or any comparable or successor provision on items in the course of collection, (b) attaching to commodity trading accounts or other commodity brokerage accounts incurred in the ordinary course of business, and (c) in favor of banking or other financial institutions or other electronic payment service providers arising as a matter of law encumbering deposits (including the right of set-off) and which are within the general parameters customary in the banking or finance industry;</w:t>
      </w:r>
    </w:p>
    <w:p>
      <w:pPr>
        <w:spacing w:after="0" w:line="188" w:lineRule="exact"/>
        <w:rPr>
          <w:rFonts w:ascii="Arial" w:cs="Arial" w:eastAsia="Arial" w:hAnsi="Arial"/>
          <w:sz w:val="18"/>
          <w:szCs w:val="18"/>
          <w:color w:val="auto"/>
        </w:rPr>
      </w:pPr>
    </w:p>
    <w:p>
      <w:pPr>
        <w:ind w:right="660" w:firstLine="1536"/>
        <w:spacing w:after="0" w:line="308" w:lineRule="auto"/>
        <w:tabs>
          <w:tab w:leader="none" w:pos="21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Liens deemed to exist in connection with Investments in repurchase agreements permitted under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Liens do not extend to any assets other than those that are the subject of such repurchase agreement;</w:t>
      </w:r>
    </w:p>
    <w:p>
      <w:pPr>
        <w:spacing w:after="0" w:line="146" w:lineRule="exact"/>
        <w:rPr>
          <w:rFonts w:ascii="Arial" w:cs="Arial" w:eastAsia="Arial" w:hAnsi="Arial"/>
          <w:sz w:val="17"/>
          <w:szCs w:val="17"/>
          <w:color w:val="auto"/>
        </w:rPr>
      </w:pPr>
    </w:p>
    <w:p>
      <w:pPr>
        <w:ind w:firstLine="1536"/>
        <w:spacing w:after="0" w:line="277" w:lineRule="auto"/>
        <w:tabs>
          <w:tab w:leader="none" w:pos="211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70" w:lineRule="exact"/>
        <w:rPr>
          <w:rFonts w:ascii="Arial" w:cs="Arial" w:eastAsia="Arial" w:hAnsi="Arial"/>
          <w:sz w:val="18"/>
          <w:szCs w:val="18"/>
          <w:color w:val="auto"/>
        </w:rPr>
      </w:pPr>
    </w:p>
    <w:p>
      <w:pPr>
        <w:jc w:val="both"/>
        <w:ind w:right="20" w:firstLine="1536"/>
        <w:spacing w:after="0" w:line="302" w:lineRule="auto"/>
        <w:tabs>
          <w:tab w:leader="none" w:pos="21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Liens that are contractual rights of set-off (a) relating to the establishment of depository relations with banks not given in connection with the issuance of Indebtedness, (b) relating to pooled deposit or sweep accounts of Holdings or any of the Restricted Subsidiaries to permit satisfaction of overdraft or similar obligations incurred in the ordinary course of business of Holdings and the Restricted Subsidiaries, or (c) relating to purchase orders and other agreements entered into by Holdings or any of the Restricted Subsidiaries in the ordinary course of business;</w:t>
      </w:r>
    </w:p>
    <w:p>
      <w:pPr>
        <w:spacing w:after="0" w:line="154" w:lineRule="exact"/>
        <w:rPr>
          <w:rFonts w:ascii="Arial" w:cs="Arial" w:eastAsia="Arial" w:hAnsi="Arial"/>
          <w:sz w:val="16"/>
          <w:szCs w:val="16"/>
          <w:color w:val="auto"/>
        </w:rPr>
      </w:pPr>
    </w:p>
    <w:p>
      <w:pPr>
        <w:ind w:right="500" w:firstLine="1536"/>
        <w:spacing w:after="0" w:line="264" w:lineRule="auto"/>
        <w:tabs>
          <w:tab w:leader="none" w:pos="221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Liens (a) solely on any cash earnest money deposits made by Holdings or any of the Restricted Subsidiaries in connection with any letter of intent or purchase agreement permitted under this Agreement or (b) consisting of an agreement to dispose of any property pursuant to a disposition permitted hereunder;</w:t>
      </w:r>
    </w:p>
    <w:p>
      <w:pPr>
        <w:spacing w:after="0" w:line="181" w:lineRule="exact"/>
        <w:rPr>
          <w:rFonts w:ascii="Arial" w:cs="Arial" w:eastAsia="Arial" w:hAnsi="Arial"/>
          <w:sz w:val="18"/>
          <w:szCs w:val="18"/>
          <w:color w:val="auto"/>
        </w:rPr>
      </w:pPr>
    </w:p>
    <w:p>
      <w:pPr>
        <w:ind w:right="20" w:firstLine="1536"/>
        <w:spacing w:after="0" w:line="264" w:lineRule="auto"/>
        <w:tabs>
          <w:tab w:leader="none" w:pos="2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rights reserved or vested in any Person by the terms of any lease, license, franchise, grant, or permit held by Holdings or any of the Restricted Subsidiaries or by a statutory provision, to terminate any such lease, license, franchise, grant, or permit, or to require annual or periodic payments as a condition to the continuance thereof;</w:t>
      </w:r>
    </w:p>
    <w:p>
      <w:pPr>
        <w:spacing w:after="0" w:line="181" w:lineRule="exact"/>
        <w:rPr>
          <w:rFonts w:ascii="Arial" w:cs="Arial" w:eastAsia="Arial" w:hAnsi="Arial"/>
          <w:sz w:val="18"/>
          <w:szCs w:val="18"/>
          <w:color w:val="auto"/>
        </w:rPr>
      </w:pPr>
    </w:p>
    <w:p>
      <w:pPr>
        <w:ind w:left="2160" w:hanging="624"/>
        <w:spacing w:after="0"/>
        <w:tabs>
          <w:tab w:leader="none" w:pos="21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restrictive covenants affecting the use to which real property may be put;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covenants are complied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w:t>
      </w:r>
    </w:p>
    <w:p>
      <w:pPr>
        <w:spacing w:after="0" w:line="210" w:lineRule="exact"/>
        <w:rPr>
          <w:rFonts w:ascii="Arial" w:cs="Arial" w:eastAsia="Arial" w:hAnsi="Arial"/>
          <w:sz w:val="16"/>
          <w:szCs w:val="16"/>
          <w:color w:val="auto"/>
        </w:rPr>
      </w:pPr>
    </w:p>
    <w:p>
      <w:pPr>
        <w:ind w:right="620" w:firstLine="1536"/>
        <w:spacing w:after="0" w:line="277" w:lineRule="auto"/>
        <w:tabs>
          <w:tab w:leader="none" w:pos="211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security given to a public utility or any municipality or governmental authority when required by such utility or authority in connection with the operations of that Person in the ordinary course of business;</w:t>
      </w:r>
    </w:p>
    <w:p>
      <w:pPr>
        <w:spacing w:after="0" w:line="170" w:lineRule="exact"/>
        <w:rPr>
          <w:rFonts w:ascii="Arial" w:cs="Arial" w:eastAsia="Arial" w:hAnsi="Arial"/>
          <w:sz w:val="18"/>
          <w:szCs w:val="18"/>
          <w:color w:val="auto"/>
        </w:rPr>
      </w:pPr>
    </w:p>
    <w:p>
      <w:pPr>
        <w:ind w:right="540" w:firstLine="1536"/>
        <w:spacing w:after="0" w:line="277" w:lineRule="auto"/>
        <w:tabs>
          <w:tab w:leader="none" w:pos="2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zoning by-laws and other land use restrictions, including, without limitation, site plan agreements, development agreements, and contract zoning agreements;</w:t>
      </w:r>
    </w:p>
    <w:p>
      <w:pPr>
        <w:spacing w:after="0" w:line="200" w:lineRule="exact"/>
        <w:rPr>
          <w:sz w:val="20"/>
          <w:szCs w:val="20"/>
          <w:color w:val="auto"/>
        </w:rPr>
      </w:pPr>
    </w:p>
    <w:p>
      <w:pPr>
        <w:spacing w:after="0" w:line="211"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0740"/>
          </w:cols>
          <w:pgMar w:left="900" w:top="814" w:right="259" w:bottom="1440" w:gutter="0" w:footer="0" w:header="0"/>
        </w:sectPr>
      </w:pPr>
    </w:p>
    <w:bookmarkStart w:id="126" w:name="page127"/>
    <w:bookmarkEnd w:id="126"/>
    <w:p>
      <w:pPr>
        <w:ind w:left="660" w:right="240" w:firstLine="1536"/>
        <w:spacing w:after="0" w:line="277" w:lineRule="auto"/>
        <w:tabs>
          <w:tab w:leader="none" w:pos="287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Holdings or any Restricted Subsidiary in the ordinary course of business;</w:t>
      </w:r>
    </w:p>
    <w:p>
      <w:pPr>
        <w:spacing w:after="0" w:line="170" w:lineRule="exact"/>
        <w:rPr>
          <w:rFonts w:ascii="Arial" w:cs="Arial" w:eastAsia="Arial" w:hAnsi="Arial"/>
          <w:sz w:val="18"/>
          <w:szCs w:val="18"/>
          <w:color w:val="auto"/>
        </w:rPr>
      </w:pPr>
    </w:p>
    <w:p>
      <w:pPr>
        <w:ind w:left="2920" w:hanging="724"/>
        <w:spacing w:after="0"/>
        <w:tabs>
          <w:tab w:leader="none" w:pos="29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arising under the Security Documents;</w:t>
      </w:r>
    </w:p>
    <w:p>
      <w:pPr>
        <w:spacing w:after="0" w:line="225" w:lineRule="exact"/>
        <w:rPr>
          <w:rFonts w:ascii="Arial" w:cs="Arial" w:eastAsia="Arial" w:hAnsi="Arial"/>
          <w:sz w:val="18"/>
          <w:szCs w:val="18"/>
          <w:color w:val="auto"/>
        </w:rPr>
      </w:pPr>
    </w:p>
    <w:p>
      <w:pPr>
        <w:ind w:left="660" w:right="920" w:firstLine="1536"/>
        <w:spacing w:after="0" w:line="277" w:lineRule="auto"/>
        <w:tabs>
          <w:tab w:leader="none" w:pos="291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on goods purchased in the ordinary course of business the purchase price of which is financed by a documentary letter of credit issued for the account of Holdings, the Borrower or any of their Subsidiaries;</w:t>
      </w:r>
    </w:p>
    <w:p>
      <w:pPr>
        <w:spacing w:after="0" w:line="170" w:lineRule="exact"/>
        <w:rPr>
          <w:rFonts w:ascii="Arial" w:cs="Arial" w:eastAsia="Arial" w:hAnsi="Arial"/>
          <w:sz w:val="18"/>
          <w:szCs w:val="18"/>
          <w:color w:val="auto"/>
        </w:rPr>
      </w:pPr>
    </w:p>
    <w:p>
      <w:pPr>
        <w:ind w:left="660" w:right="100" w:firstLine="1536"/>
        <w:spacing w:after="0" w:line="286" w:lineRule="auto"/>
        <w:tabs>
          <w:tab w:leader="none" w:pos="28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(a) Liens on Equity Interests in joint ventures;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Lien is in favor of a creditor of such joint venture and such creditor is not an Affiliate of any partner to such joint venture and (b) purchase options, call, and similar rights of, and restrictions for the benefit of, a third party with respect to Equity Interests held by Holdings or any Restricted Subsidiary in joint ventures;</w:t>
      </w:r>
    </w:p>
    <w:p>
      <w:pPr>
        <w:spacing w:after="0" w:line="165" w:lineRule="exact"/>
        <w:rPr>
          <w:rFonts w:ascii="Arial" w:cs="Arial" w:eastAsia="Arial" w:hAnsi="Arial"/>
          <w:sz w:val="17"/>
          <w:szCs w:val="17"/>
          <w:color w:val="auto"/>
        </w:rPr>
      </w:pPr>
    </w:p>
    <w:p>
      <w:pPr>
        <w:ind w:left="660" w:firstLine="1536"/>
        <w:spacing w:after="0" w:line="297" w:lineRule="auto"/>
        <w:tabs>
          <w:tab w:leader="none" w:pos="2910"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Liens on cash and Cash Equivalents that are earmarked to be used to satisfy or discharge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(a) such cash and/or Cash Equivalents are deposited into an account from which payment is to be made, directly or indirectly, to the Person or Persons holding the Indebtedness that is to be satisfied or discharged, (b) such Liens extend solely to the account in which such cash and/or Cash Equivalents are deposited and are solely in favor of the Person or Persons holding the Indebtedness (or any agent or trustee for such Person or Persons) that is to be satisfied or discharged, and (c) the satisfaction or discharge of such Indebtedness is expressly permitted hereunder;</w:t>
      </w:r>
    </w:p>
    <w:p>
      <w:pPr>
        <w:spacing w:after="0" w:line="158" w:lineRule="exact"/>
        <w:rPr>
          <w:rFonts w:ascii="Arial" w:cs="Arial" w:eastAsia="Arial" w:hAnsi="Arial"/>
          <w:sz w:val="16"/>
          <w:szCs w:val="16"/>
          <w:color w:val="auto"/>
        </w:rPr>
      </w:pPr>
    </w:p>
    <w:p>
      <w:pPr>
        <w:ind w:left="3000" w:hanging="804"/>
        <w:spacing w:after="0"/>
        <w:tabs>
          <w:tab w:leader="none" w:pos="30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with respect to any Foreign Subsidiary, other Liens and privileges arising mandatorily by any Requirement of Law;</w:t>
      </w:r>
    </w:p>
    <w:p>
      <w:pPr>
        <w:spacing w:after="0" w:line="248" w:lineRule="exact"/>
        <w:rPr>
          <w:rFonts w:ascii="Arial" w:cs="Arial" w:eastAsia="Arial" w:hAnsi="Arial"/>
          <w:sz w:val="16"/>
          <w:szCs w:val="16"/>
          <w:color w:val="auto"/>
        </w:rPr>
      </w:pPr>
    </w:p>
    <w:p>
      <w:pPr>
        <w:ind w:left="660" w:firstLine="1536"/>
        <w:spacing w:after="0" w:line="312" w:lineRule="auto"/>
        <w:tabs>
          <w:tab w:leader="none" w:pos="301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to the extent pursuant to a Requirements of Law, Liens on cash or Permitted Investments securing Swap Obligations in the ordinary course of business; and Liens on the assets of a Managed Care Subsidiary pursuant to applicable rules, or regulations of, or undertakings made to, any Governmental Authority having jurisdiction and authority over such Managed Care Subsidiary; and</w:t>
      </w:r>
    </w:p>
    <w:p>
      <w:pPr>
        <w:spacing w:after="0" w:line="146" w:lineRule="exact"/>
        <w:rPr>
          <w:rFonts w:ascii="Arial" w:cs="Arial" w:eastAsia="Arial" w:hAnsi="Arial"/>
          <w:sz w:val="16"/>
          <w:szCs w:val="16"/>
          <w:color w:val="auto"/>
        </w:rPr>
      </w:pPr>
    </w:p>
    <w:p>
      <w:pPr>
        <w:ind w:left="2900" w:hanging="704"/>
        <w:spacing w:after="0"/>
        <w:tabs>
          <w:tab w:leader="none" w:pos="2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arising pursuant to the Wal-Mart Agreements.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For purposes of this definition, the term :Indebtedness” shall be deemed to include interest on, and fees, expenses and other obligations payable with respect to, such Indebtedness.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380"/>
          </w:cols>
          <w:pgMar w:left="240" w:top="814" w:right="279" w:bottom="1440" w:gutter="0" w:footer="0" w:header="0"/>
        </w:sectPr>
      </w:pPr>
    </w:p>
    <w:bookmarkStart w:id="127" w:name="page128"/>
    <w:bookmarkEnd w:id="127"/>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Other Indebtedness</w:t>
      </w:r>
      <w:r>
        <w:rPr>
          <w:rFonts w:ascii="Arial" w:cs="Arial" w:eastAsia="Arial" w:hAnsi="Arial"/>
          <w:sz w:val="17"/>
          <w:szCs w:val="17"/>
          <w:color w:val="auto"/>
        </w:rPr>
        <w:t xml:space="preserve">” shall mean subordinated or senior Indebtedness (which Indebtedness may (i) be unsecured, (ii) have the same lien priority as the First Lien Obligations (without regard to control of remedies); provided such Permitted Other Indebtedness is in the form of secured first lien notes, or (iii) be secured by a Lien ranking junior to the Lien securing the First Lien Obligations), in each case issued or incurred by the Borrower or other Guarantor, (a) the terms of which do not provide for any scheduled repayment, mandatory repayment, or redemption or sinking fund obligations prior to, at the time of incurrence, the Latest Maturity Date (other than, in each case, customary offers or obligations to repurchase upon a change of control, asset sale, or casualty or condemnation event, AHYDO payments and customary acceleration rights after an event of default), (b) the covenants, taken as a whole, are not more restrictive to the Borrower and the other Restricted Subsidiaries than those herein (taken as a whole) (except for covenants applicable only to periods after the Latest Maturity Date at the time of such refinancing) (it being understood that, (1) to the extent that any financial maintenance covenant is added for the benefit of any such Indebtedness, no consent shall be required by the Administrative Agent or any of the Lenders if such financial maintenance covenant is also added for the benefit of the Lenders or (2) no consent shall be required by the Administrative Agent or any of the Lenders if any covenants are only applicable after the Latest Maturity Date at the time of such refinancing);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certificate of an Authorized Officer of the Borrower delivered to the Administrative Agent at least five Business Days (or such shorter period as the Administrative Agent may reasonably agree)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two Business Days after receipt of such certificate that it disagrees with such determination (including a reasonable description of the basis upon which it disagrees), (c) of which no Subsidiary of Holdings (other than the Borrower or a Guarantor) is an obligor, and (d) that, if secured, is not secured by a lien any assets other than the Collateral.</w:t>
      </w:r>
    </w:p>
    <w:p>
      <w:pPr>
        <w:spacing w:after="0" w:line="177"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Other Indebtedness Documents</w:t>
      </w:r>
      <w:r>
        <w:rPr>
          <w:rFonts w:ascii="Arial" w:cs="Arial" w:eastAsia="Arial" w:hAnsi="Arial"/>
          <w:sz w:val="18"/>
          <w:szCs w:val="18"/>
          <w:color w:val="auto"/>
        </w:rPr>
        <w:t>” shall mean any document or instrument (including any guarantee, security agreement, or mortgage and which may include any or all of the Credit Documents) issued or executed and delivered with respect to any Permitted Other Indebtedness by any Credit Party.</w:t>
      </w:r>
    </w:p>
    <w:p>
      <w:pPr>
        <w:spacing w:after="0" w:line="17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Other Indebtedness Obligations</w:t>
      </w:r>
      <w:r>
        <w:rPr>
          <w:rFonts w:ascii="Arial" w:cs="Arial" w:eastAsia="Arial" w:hAnsi="Arial"/>
          <w:sz w:val="17"/>
          <w:szCs w:val="17"/>
          <w:color w:val="auto"/>
        </w:rPr>
        <w:t>” shall mean, if any Permitted Other Indebtedness is issued or incurred, all advances to, and debts, liabilities, obligations, covenants, and duties of, any Credit Party arising under any Permitted Other Indebtedness Document, whether direct or indirect (including those acquired by assumption), absolute or contingent, due or to become due, now existing or hereafter arising, and including interest and fees that accrue after the commencement by or against any Credit Party or any Affiliate thereof of any proceeding under any bankruptcy or insolvency law naming such Person as the debtor in such proceeding, regardless of whether such interest and fees are allowed claims in such proceeding. Without limiting the generality of the foregoing, the Permitted Other Indebtedness Obligations of the applicable Credit Parties under the Permitted Other Indebtedness Documents (and any of their Restricted Subsidiaries to the extent they have obligations under the Permitted Other Indebtedness Documents) include the obligation (including guarantee obligations) to pay principal, interest, charges, expenses, fees, attorney costs, indemnities, and other amounts payable by any such Credit Party under any Permitted Other Indebtedness Document.</w:t>
      </w:r>
    </w:p>
    <w:p>
      <w:pPr>
        <w:spacing w:after="0" w:line="174"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Other Indebtedness Secured Parties</w:t>
      </w:r>
      <w:r>
        <w:rPr>
          <w:rFonts w:ascii="Arial" w:cs="Arial" w:eastAsia="Arial" w:hAnsi="Arial"/>
          <w:sz w:val="18"/>
          <w:szCs w:val="18"/>
          <w:color w:val="auto"/>
        </w:rPr>
        <w:t>” shall mean the holders from time to time of secured Permitted Other Indebtedness Obligations (and any representative on their behalf).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Other Provision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w:t>
      </w:r>
      <w:r>
        <w:rPr>
          <w:rFonts w:ascii="Arial" w:cs="Arial" w:eastAsia="Arial" w:hAnsi="Arial"/>
          <w:sz w:val="18"/>
          <w:szCs w:val="18"/>
          <w:color w:val="auto"/>
        </w:rPr>
        <w:t>.</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380"/>
          </w:cols>
          <w:pgMar w:left="240" w:top="810" w:right="279" w:bottom="1440" w:gutter="0" w:footer="0" w:header="0"/>
        </w:sectPr>
      </w:pPr>
    </w:p>
    <w:bookmarkStart w:id="128" w:name="page129"/>
    <w:bookmarkEnd w:id="128"/>
    <w:p>
      <w:pPr>
        <w:ind w:right="6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Sale Leaseback</w:t>
      </w:r>
      <w:r>
        <w:rPr>
          <w:rFonts w:ascii="Arial" w:cs="Arial" w:eastAsia="Arial" w:hAnsi="Arial"/>
          <w:sz w:val="17"/>
          <w:szCs w:val="17"/>
          <w:color w:val="auto"/>
        </w:rPr>
        <w:t xml:space="preserve">” shall mean any Sale Leaseback consummated by Holdings or any of the Restricted Subsidiaries after the Restatement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Sale Leaseback not between Holdings and a Restricted Subsidiary is consummated for fair value as determined at the time of consummation in good faith by (i) Holdings or such Restricted Subsidiary or (ii) in the case of any Sale Leaseback (or series of related Sales Leasebacks) the aggregate proceeds of which exceed the greater of (a) $40,000,000 and (b) 35.0% of Consolidated EBITDA for the most recently ended Test Period (calculated on a Pro Forma Basis) at the time of the incurrence of such Sale Leaseback, the board of directors (or analogous governing body) of Holdings or such Restricted Subsidiary (which such determination may take into account any retained interest or other Investment of Holdings or such Restricted Subsidiary in connection with, and any other material economic terms of, such Sale Leaseback).</w:t>
      </w:r>
    </w:p>
    <w:p>
      <w:pPr>
        <w:spacing w:after="0" w:line="17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partnership, joint venture, firm, corporation, limited liability company, association, trust, or other enterprise or any Governmental Authority.</w:t>
      </w:r>
    </w:p>
    <w:p>
      <w:pPr>
        <w:spacing w:after="0" w:line="162"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shall mean, other than any Multiemployer Plan, any employee benefit plan (as defined in Section 3(3) of ERISA), including any employee welfare benefit plan (as defined in Section 3(1) of ERISA), any employee pension benefit plan (as defined in Section 3(2) of ERISA), and any plan which is both an employee welfare benefit plan and an employee pension benefit plan, and in respect of which any Credit Party or any ERISA Affiliate is (or, if such plan were terminated, would under Section 4062 or Section 4069 of ERISA be reasonably likely to be deemed to be) an “employer” as defined in Section 3(5) of ERISA.</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Platform</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13.17(a)</w:t>
      </w:r>
      <w:r>
        <w:rPr>
          <w:rFonts w:ascii="Arial" w:cs="Arial" w:eastAsia="Arial" w:hAnsi="Arial"/>
          <w:sz w:val="18"/>
          <w:szCs w:val="18"/>
          <w:color w:val="auto"/>
        </w:rPr>
        <w:t>.</w:t>
      </w:r>
    </w:p>
    <w:p>
      <w:pPr>
        <w:spacing w:after="0" w:line="225"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Agreement</w:t>
      </w:r>
      <w:r>
        <w:rPr>
          <w:rFonts w:ascii="Arial" w:cs="Arial" w:eastAsia="Arial" w:hAnsi="Arial"/>
          <w:sz w:val="18"/>
          <w:szCs w:val="18"/>
          <w:color w:val="auto"/>
        </w:rPr>
        <w:t>” shall mean the Pledge Agreement, dated as of the Closing Date, entered into by the Credit Parties party thereto and the Collateral Agent for the benefit of the Secured Parties.</w:t>
      </w:r>
    </w:p>
    <w:p>
      <w:pPr>
        <w:spacing w:after="0" w:line="162" w:lineRule="exact"/>
        <w:rPr>
          <w:sz w:val="20"/>
          <w:szCs w:val="20"/>
          <w:color w:val="auto"/>
        </w:rPr>
      </w:pPr>
    </w:p>
    <w:p>
      <w:pPr>
        <w:jc w:val="both"/>
        <w:ind w:right="2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Post-Acquisition Period</w:t>
      </w:r>
      <w:r>
        <w:rPr>
          <w:rFonts w:ascii="Arial" w:cs="Arial" w:eastAsia="Arial" w:hAnsi="Arial"/>
          <w:sz w:val="18"/>
          <w:szCs w:val="18"/>
          <w:color w:val="auto"/>
        </w:rPr>
        <w:t>” shall mean, with respect to any Permitted Acquisition, the period beginning on the date such Permitted Acquisition is consummated and ending on the last day of the sixth full consecutive fiscal quarter immediately following the date on which such Permitted Acquisition is consummated.</w:t>
      </w:r>
    </w:p>
    <w:p>
      <w:pPr>
        <w:spacing w:after="0" w:line="176"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Event</w:t>
      </w:r>
      <w:r>
        <w:rPr>
          <w:rFonts w:ascii="Arial" w:cs="Arial" w:eastAsia="Arial" w:hAnsi="Arial"/>
          <w:sz w:val="18"/>
          <w:szCs w:val="18"/>
          <w:color w:val="auto"/>
        </w:rPr>
        <w:t>” shall mean any Asset Sale Prepayment Event, Debt Incurrence Prepayment Event, Casualty Event, or any Permitted Sale Leaseback.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primary obligor</w:t>
      </w:r>
      <w:r>
        <w:rPr>
          <w:rFonts w:ascii="Arial" w:cs="Arial" w:eastAsia="Arial" w:hAnsi="Arial"/>
          <w:sz w:val="18"/>
          <w:szCs w:val="18"/>
          <w:color w:val="auto"/>
        </w:rPr>
        <w:t>” shall have the meaning provided such term in the definition of “Contingent Obligations”.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400"/>
          </w:cols>
          <w:pgMar w:left="240" w:top="810" w:right="259" w:bottom="1440" w:gutter="0" w:footer="0" w:header="0"/>
        </w:sectPr>
      </w:pPr>
    </w:p>
    <w:bookmarkStart w:id="129" w:name="page130"/>
    <w:bookmarkEnd w:id="129"/>
    <w:p>
      <w:pPr>
        <w:ind w:right="12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 Forma Adjustment</w:t>
      </w:r>
      <w:r>
        <w:rPr>
          <w:rFonts w:ascii="Arial" w:cs="Arial" w:eastAsia="Arial" w:hAnsi="Arial"/>
          <w:sz w:val="16"/>
          <w:szCs w:val="16"/>
          <w:color w:val="auto"/>
        </w:rPr>
        <w:t xml:space="preserve">” shall mean, for any Test Period that includes all or any part of a fiscal quarter included in any Post-Acquisition Period, with respect to the Acquired EBITDA of the applicable Acquired Entity or Business or Converted Restricted Subsidiary or the Consolidated EBITDA of Holdings, the pro forma increase or decrease in such Acquired EBITDA or such Consolidated EBITDA, as the case may be, projected by Holdings in good faith as a result of (i) actions taken during such Post-Acquisition Period for the purposes of realizing reasonably identifiable and factually supportable cost savings or (ii) any additional costs incurred during such Post-Acquisition Period, in each case in connection with the combination of the operations of such Acquired Entity or Business or Converted Restricted Subsidiary with the operations of Holdings and the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at the election of Holdings, such Pro Forma Adjustment shall not be required to be determined for any Acquired Entity or Business or Converted Restricted Subsidiary to the extent the aggregate consideration paid in connection with such acquisition was less than $10,000,000 and (b) so long as such actions are taken during such Post-Acquisition Period or such costs are incurred during such Post-Acquisition Period, as applicable, it may be assumed, for purposes of projecting such pro forma increase or decrease to such Acquired EBITDA or such Consolidated EBITDA, as the case may be, that the applicable amount of such cost savings will be realizable during the entirety of such Test Period, or the applicable amount of such additional costs, as applicable, will be incurred during the entirety of such Test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 any such pro forma increase or decrease to such Acquired EBITDA or such Consolidated EBITDA, as the case may be, shall be without duplication for cost savings or additional costs already included in such Acquired EBITDA or such Consolidated EBITDA, as the case may be, for such Test Period and (ii) the aggregate increase to Consolidated EBITDA for any period pursuant to this definition and clauses (i)(i), (i)(q) and (i)(r) of the definition of “Consolidated EBITDA” shall not exceed 25% of Consolidated EBITDA for such period (after giving effect to any increase in Consolidated EBITDA pursuant to the definition of “Acquired EBITDA”).</w:t>
      </w:r>
    </w:p>
    <w:p>
      <w:pPr>
        <w:spacing w:after="0" w:line="16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 Forma Basis</w:t>
      </w:r>
      <w:r>
        <w:rPr>
          <w:rFonts w:ascii="Arial" w:cs="Arial" w:eastAsia="Arial" w:hAnsi="Arial"/>
          <w:sz w:val="16"/>
          <w:szCs w:val="16"/>
          <w:color w:val="auto"/>
        </w:rPr>
        <w:t>,” “</w:t>
      </w:r>
      <w:r>
        <w:rPr>
          <w:rFonts w:ascii="Arial" w:cs="Arial" w:eastAsia="Arial" w:hAnsi="Arial"/>
          <w:sz w:val="16"/>
          <w:szCs w:val="16"/>
          <w:b w:val="1"/>
          <w:bCs w:val="1"/>
          <w:color w:val="auto"/>
        </w:rPr>
        <w:t>Pro Forma Compliance</w:t>
      </w:r>
      <w:r>
        <w:rPr>
          <w:rFonts w:ascii="Arial" w:cs="Arial" w:eastAsia="Arial" w:hAnsi="Arial"/>
          <w:sz w:val="16"/>
          <w:szCs w:val="16"/>
          <w:color w:val="auto"/>
        </w:rPr>
        <w:t>,” and “</w:t>
      </w:r>
      <w:r>
        <w:rPr>
          <w:rFonts w:ascii="Arial" w:cs="Arial" w:eastAsia="Arial" w:hAnsi="Arial"/>
          <w:sz w:val="16"/>
          <w:szCs w:val="16"/>
          <w:b w:val="1"/>
          <w:bCs w:val="1"/>
          <w:color w:val="auto"/>
        </w:rPr>
        <w:t>Pro Forma Effect</w:t>
      </w:r>
      <w:r>
        <w:rPr>
          <w:rFonts w:ascii="Arial" w:cs="Arial" w:eastAsia="Arial" w:hAnsi="Arial"/>
          <w:sz w:val="16"/>
          <w:szCs w:val="16"/>
          <w:color w:val="auto"/>
        </w:rPr>
        <w:t xml:space="preserve">” shall mean, with respect to compliance with any test, financial ratio, or covenant hereunder, that (i) to the extent applicable, the Pro Forma Adjustment shall have been made and (ii) all Specified Transactions and the following transactions in connection therewith shall be deemed to have occurred as of the first day of the applicable period of measurement in such test or covenant: (a) income statement items (whether positive or negative) attributable to the property or Person subject to such Specified Transaction, (1) in the case of a sale, transfer, or other disposition of all or substantially all Capital Stock in any Subsidiary of Holdings or any division, product line, or facility used for operations of Holdings or any of its Subsidiaries, shall be excluded, and (2) in the case of a Permitted Acquisition or Investment described in the definition of “Specified Transaction”, shall be included, (b) any retirement of Indebtedness, and (c) other than as set forth in the definition of “Maximum Incremental Facilities Amount”, any incurrence or assumption of Indebtedness by Holdings or any of the Restricted Subsidiaries in connection therewith (it being agreed that if such Indebtedness has a floating or formula rate, such Indebtedness shall have an implied rate of interest for the applicable period for purposes of this definition determined by utilizing the rate that is or would be in effect with respect to such Indebtedness as at the relevant date of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limiting the application of the Pro Forma Adjustment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the foregoing pro forma adjustments may be applied to any such test or covenant solely to the extent that such adjustments are consistent with the definition of “Consolidated EBITDA” and give effect to operating expense reductions that are (x)(1) directly attributable to such transaction, (2) expected to have a continuing impact on Holdings, the Borrower or any of the other Restricted Subsidiaries, and (3) factually supportable or (y) otherwise consistent with the definition of “Pro Forma Adjustment”.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Forma Entity</w:t>
      </w:r>
      <w:r>
        <w:rPr>
          <w:rFonts w:ascii="Arial" w:cs="Arial" w:eastAsia="Arial" w:hAnsi="Arial"/>
          <w:sz w:val="18"/>
          <w:szCs w:val="18"/>
          <w:color w:val="auto"/>
        </w:rPr>
        <w:t>” shall have the meaning provided in the definition of the term “Acquired EBITDA”.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Prohibited Transaction</w:t>
      </w:r>
      <w:r>
        <w:rPr>
          <w:rFonts w:ascii="Arial" w:cs="Arial" w:eastAsia="Arial" w:hAnsi="Arial"/>
          <w:sz w:val="18"/>
          <w:szCs w:val="18"/>
          <w:color w:val="auto"/>
        </w:rPr>
        <w:t>” shall have the meaning assigned to such term in Section 406 of ERISA and Section 4975(c) of the Code.</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PTE</w:t>
      </w:r>
      <w:r>
        <w:rPr>
          <w:rFonts w:ascii="Arial" w:cs="Arial" w:eastAsia="Arial" w:hAnsi="Arial"/>
          <w:sz w:val="18"/>
          <w:szCs w:val="18"/>
          <w:color w:val="auto"/>
        </w:rPr>
        <w:t>” shall mean a prohibited transaction class exemption issued by the U.S. Department of Labor, as any such exemption may be amended from time to time.</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360"/>
          </w:cols>
          <w:pgMar w:left="240" w:top="810" w:right="299" w:bottom="1440" w:gutter="0" w:footer="0" w:header="0"/>
        </w:sectPr>
      </w:pPr>
    </w:p>
    <w:bookmarkStart w:id="130" w:name="page131"/>
    <w:bookmarkEnd w:id="130"/>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Company Costs</w:t>
      </w:r>
      <w:r>
        <w:rPr>
          <w:rFonts w:ascii="Arial" w:cs="Arial" w:eastAsia="Arial" w:hAnsi="Arial"/>
          <w:sz w:val="18"/>
          <w:szCs w:val="18"/>
          <w:color w:val="auto"/>
        </w:rPr>
        <w:t>” shall mean costs relating to compliance with the provisions of the Securities Act of 1933, as amended, and the Securities Exchange Act of 1934, as amended, as applicable to companies with equity or debt securities held by the public, the rules of national securities exchange companies with listed equity or debt securities, directors’ or managers’ compensation, fees and expense reimbursement, costs relating to investor relations, shareholder meetings and reports to shareholders or debtholders, directors’ and officers’ insurance and other executive costs, legal and other professional fees, and listing fees.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Proceeds</w:t>
      </w:r>
      <w:r>
        <w:rPr>
          <w:rFonts w:ascii="Arial" w:cs="Arial" w:eastAsia="Arial" w:hAnsi="Arial"/>
          <w:sz w:val="18"/>
          <w:szCs w:val="18"/>
          <w:color w:val="auto"/>
        </w:rPr>
        <w:t>” shall mean assets that are used or useful in, or Capital Stock of any Person engaged in, a Similar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Stock</w:t>
      </w:r>
      <w:r>
        <w:rPr>
          <w:rFonts w:ascii="Arial" w:cs="Arial" w:eastAsia="Arial" w:hAnsi="Arial"/>
          <w:sz w:val="18"/>
          <w:szCs w:val="18"/>
          <w:color w:val="auto"/>
        </w:rPr>
        <w:t>” of any Person shall mean Capital Stock of such Person other than Disqualified Stock of such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Estate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9.1(f)</w:t>
      </w:r>
      <w:r>
        <w:rPr>
          <w:rFonts w:ascii="Arial" w:cs="Arial" w:eastAsia="Arial" w:hAnsi="Arial"/>
          <w:sz w:val="18"/>
          <w:szCs w:val="18"/>
          <w:color w:val="auto"/>
        </w:rPr>
        <w:t>.</w:t>
      </w:r>
    </w:p>
    <w:p>
      <w:pPr>
        <w:spacing w:after="0" w:line="225"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Receivables Facility</w:t>
      </w:r>
      <w:r>
        <w:rPr>
          <w:rFonts w:ascii="Arial" w:cs="Arial" w:eastAsia="Arial" w:hAnsi="Arial"/>
          <w:sz w:val="17"/>
          <w:szCs w:val="17"/>
          <w:color w:val="auto"/>
        </w:rPr>
        <w:t>” shall mean any of one or more receivables financing facilities (and any guarantee of such financing facility), as amended, supplemented, modified, extended, renewed, restated, or refunded from time to time, the obligations of which are non-recourse (except for customary representations, warranties, covenants, and indemnities made in connection with such facilities) to Holdings and the Restricted Subsidiaries (other than a Receivables Subsidiary) pursuant to which Holdings or any Restricted Subsidiary sells, directly or indirectly, grants a security interest in or otherwise transfers its accounts receivable to either (i) a Person that is not a Restricted Subsidiary or (ii) a Receivables Subsidiary that in turn funds such purchase by purporting to sell its accounts receivable to a Person that is not a Restricted Subsidiary or by borrowing from such a Person or from another Receivables Subsidiary that in turn funds itself by borrowing from such a Person.</w:t>
      </w:r>
    </w:p>
    <w:p>
      <w:pPr>
        <w:spacing w:after="0" w:line="17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Fee</w:t>
      </w:r>
      <w:r>
        <w:rPr>
          <w:rFonts w:ascii="Arial" w:cs="Arial" w:eastAsia="Arial" w:hAnsi="Arial"/>
          <w:sz w:val="18"/>
          <w:szCs w:val="18"/>
          <w:color w:val="auto"/>
        </w:rPr>
        <w:t>” shall mean distributions or payments made directly or by means of discounts with respect to any accounts receivable or participation interest issued or sold in connection with, and other fees paid to a Person that is not a Restricted Subsidiary in connection with, any Receivables Facility.</w:t>
      </w:r>
    </w:p>
    <w:p>
      <w:pPr>
        <w:spacing w:after="0" w:line="176"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Receivables Subsidiary</w:t>
      </w:r>
      <w:r>
        <w:rPr>
          <w:rFonts w:ascii="Arial" w:cs="Arial" w:eastAsia="Arial" w:hAnsi="Arial"/>
          <w:sz w:val="16"/>
          <w:szCs w:val="16"/>
          <w:color w:val="auto"/>
        </w:rPr>
        <w:t>” shall mean any Subsidiary formed for the purpose of facilitating or entering into one or more Receivables Facilities, and in each case engages only in activities reasonably related or incidental thereto or another Person formed for the purposes of engaging in a Receivables Facility in which Holdings or any Subsidiary makes an Investment and to which Holdings or any Subsidiary transfers accounts receivables and related assets.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Refinanced Term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Indebtedness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10.1(m)</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Refunding Capital Stock</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10.5(b)(2)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13.6(b)(iv)</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T</w:t>
      </w:r>
      <w:r>
        <w:rPr>
          <w:rFonts w:ascii="Arial" w:cs="Arial" w:eastAsia="Arial" w:hAnsi="Arial"/>
          <w:sz w:val="18"/>
          <w:szCs w:val="18"/>
          <w:color w:val="auto"/>
        </w:rPr>
        <w:t>” shall mean Regulation T of the Board as from time to time in effect and any successor to all or a portion thereof establishing margin requirements.</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U</w:t>
      </w:r>
      <w:r>
        <w:rPr>
          <w:rFonts w:ascii="Arial" w:cs="Arial" w:eastAsia="Arial" w:hAnsi="Arial"/>
          <w:sz w:val="18"/>
          <w:szCs w:val="18"/>
          <w:color w:val="auto"/>
        </w:rPr>
        <w:t>” shall mean Regulation U of the Board as from time to time in effect and any successor to all or a portion thereof establishing margin requirements.</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X</w:t>
      </w:r>
      <w:r>
        <w:rPr>
          <w:rFonts w:ascii="Arial" w:cs="Arial" w:eastAsia="Arial" w:hAnsi="Arial"/>
          <w:sz w:val="18"/>
          <w:szCs w:val="18"/>
          <w:color w:val="auto"/>
        </w:rPr>
        <w:t>” shall mean Regulation X of the Board as from time to time in effect and any successor to all or a portion thereof establishing margin requirements.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Reimbursement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400"/>
          </w:cols>
          <w:pgMar w:left="240" w:top="810" w:right="259" w:bottom="1440" w:gutter="0" w:footer="0" w:header="0"/>
        </w:sectPr>
      </w:pPr>
    </w:p>
    <w:bookmarkStart w:id="131" w:name="page132"/>
    <w:bookmarkEnd w:id="13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Reimbursement Obligations</w:t>
      </w:r>
      <w:r>
        <w:rPr>
          <w:rFonts w:ascii="Arial" w:cs="Arial" w:eastAsia="Arial" w:hAnsi="Arial"/>
          <w:sz w:val="18"/>
          <w:szCs w:val="18"/>
          <w:color w:val="auto"/>
        </w:rPr>
        <w:t xml:space="preserve">” shall mean the Borrower’s obligations to reimburse Unpaid Drawings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Reinvestment Period</w:t>
      </w:r>
      <w:r>
        <w:rPr>
          <w:rFonts w:ascii="Arial" w:cs="Arial" w:eastAsia="Arial" w:hAnsi="Arial"/>
          <w:sz w:val="18"/>
          <w:szCs w:val="18"/>
          <w:color w:val="auto"/>
        </w:rPr>
        <w:t>” shall mean 450 days following the date of receipt of Net Cash Proceeds of an Asset Sale Prepayment Event, Casualty Event, or Permitted Sale Leaseback.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Rejection Notice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5.2(f)</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Business Assets</w:t>
      </w:r>
      <w:r>
        <w:rPr>
          <w:rFonts w:ascii="Arial" w:cs="Arial" w:eastAsia="Arial" w:hAnsi="Arial"/>
          <w:sz w:val="18"/>
          <w:szCs w:val="18"/>
          <w:color w:val="auto"/>
        </w:rPr>
        <w:t xml:space="preserve">” shall mean assets (other than cash or Cash Equivalents) used or useful in a Similar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assets received by Holdings or the Restricted Subsidiaries in exchange for assets transferred by Holdings or a Restricted Subsidiary shall not be deemed to be Related Business Assets if they consist of securities of a Person, unless upon receipt of the securities of such Person, such Person would become a Restricted Subsidiary.</w:t>
      </w:r>
    </w:p>
    <w:p>
      <w:pPr>
        <w:spacing w:after="0" w:line="180"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Fund</w:t>
      </w:r>
      <w:r>
        <w:rPr>
          <w:rFonts w:ascii="Arial" w:cs="Arial" w:eastAsia="Arial" w:hAnsi="Arial"/>
          <w:sz w:val="18"/>
          <w:szCs w:val="18"/>
          <w:color w:val="auto"/>
        </w:rPr>
        <w:t>” shall mean, with respect to any Lender that is a Fund, any other Fund that is advised or managed by (a) such Lender, (b) an Affiliate of such Lender or (c) an entity or an Affiliate of such entity that administers, advises or manages such Lender.</w:t>
      </w:r>
    </w:p>
    <w:p>
      <w:pPr>
        <w:spacing w:after="0" w:line="162" w:lineRule="exact"/>
        <w:rPr>
          <w:sz w:val="20"/>
          <w:szCs w:val="20"/>
          <w:color w:val="auto"/>
        </w:rPr>
      </w:pPr>
    </w:p>
    <w:p>
      <w:pPr>
        <w:jc w:val="both"/>
        <w:ind w:right="1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shall mean, with respect to any specified Person, such Person’s Affiliates and the directors, officers, employees, agents, trustees, and advisors of such Person and any Person that possesses, directly or indirectly, the power to direct or cause the direction of the management or policies of such Person, whether through the ability to exercise voting power, by contract or otherwise.</w:t>
      </w:r>
    </w:p>
    <w:p>
      <w:pPr>
        <w:spacing w:after="0" w:line="176"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shall mean any release, spill, emission, discharge, disposal, escaping, leaking, pumping, pouring, dumping, emptying, injection, or leaching into the environment.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Removal Effective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12.9(b)</w:t>
      </w:r>
      <w:r>
        <w:rPr>
          <w:rFonts w:ascii="Arial" w:cs="Arial" w:eastAsia="Arial" w:hAnsi="Arial"/>
          <w:sz w:val="18"/>
          <w:szCs w:val="18"/>
          <w:color w:val="auto"/>
        </w:rPr>
        <w:t>.</w:t>
      </w:r>
    </w:p>
    <w:p>
      <w:pPr>
        <w:spacing w:after="0" w:line="225"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Amount</w:t>
      </w:r>
      <w:r>
        <w:rPr>
          <w:rFonts w:ascii="Arial" w:cs="Arial" w:eastAsia="Arial" w:hAnsi="Arial"/>
          <w:sz w:val="18"/>
          <w:szCs w:val="18"/>
          <w:color w:val="auto"/>
        </w:rPr>
        <w:t>” shall mean the Term A Loan Repayment Amount, a New Term Loan Repayment Amount with respect to any Series, or an Extended Term Loan Repayment Amount with respect to any Extension Series, as applicable.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Term Loan Commitment</w:t>
      </w:r>
      <w:r>
        <w:rPr>
          <w:rFonts w:ascii="Arial" w:cs="Arial" w:eastAsia="Arial" w:hAnsi="Arial"/>
          <w:sz w:val="18"/>
          <w:szCs w:val="18"/>
          <w:color w:val="auto"/>
        </w:rPr>
        <w:t>” means the commitments of the Lenders to make Replacement Term Loans.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Term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Reportable Event</w:t>
      </w:r>
      <w:r>
        <w:rPr>
          <w:rFonts w:ascii="Arial" w:cs="Arial" w:eastAsia="Arial" w:hAnsi="Arial"/>
          <w:sz w:val="18"/>
          <w:szCs w:val="18"/>
          <w:color w:val="auto"/>
        </w:rPr>
        <w:t>” shall mean any “reportable event”, as defined in Section 4043(c) of ERISA or the regulations issued thereunder, with respect to a Pension Plan (other than a Pension Plan maintained by an ERISA Affiliate that is considered an ERISA Affiliate only pursuant to subsection (m) or (o) of Section 414 of the Code), other than those events as to which notice is waived pursuant to PBGC Reg. § 4043.</w:t>
      </w:r>
    </w:p>
    <w:p>
      <w:pPr>
        <w:spacing w:after="0" w:line="176" w:lineRule="exact"/>
        <w:rPr>
          <w:sz w:val="20"/>
          <w:szCs w:val="20"/>
          <w:color w:val="auto"/>
        </w:rPr>
      </w:pPr>
    </w:p>
    <w:p>
      <w:pPr>
        <w:ind w:right="26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xml:space="preserve">” shall mean, at any date, (i) Non-Defaulting Lenders having or holding a majority of the sum of (a) the Adjusted Total Revolving Credit Commitment at such date, (b) the Adjusted Total Term Loan Commitment at such date, and (c) the outstanding principal amount of the Term Loans (excluding Term Loans held by Defaulting Lenders) at such date or (ii) if the Total Revolving Credit Commitment and the Total Term Loan Commitment have been terminated or for the purposes of acceleration pursuant to </w:t>
      </w:r>
      <w:r>
        <w:rPr>
          <w:rFonts w:ascii="Arial" w:cs="Arial" w:eastAsia="Arial" w:hAnsi="Arial"/>
          <w:sz w:val="18"/>
          <w:szCs w:val="18"/>
          <w:u w:val="single" w:color="auto"/>
          <w:color w:val="auto"/>
        </w:rPr>
        <w:t>Section 11</w:t>
      </w:r>
      <w:r>
        <w:rPr>
          <w:rFonts w:ascii="Arial" w:cs="Arial" w:eastAsia="Arial" w:hAnsi="Arial"/>
          <w:sz w:val="18"/>
          <w:szCs w:val="18"/>
          <w:color w:val="auto"/>
        </w:rPr>
        <w:t>, Non-Defaulting Lenders having or holding a majority of the outstanding principal amount of the Loans and Letter of Credit Exposure (excluding the Loans and Letter of Credit Exposure of Defaulting Lenders) in the aggregate at such date.</w:t>
      </w:r>
    </w:p>
    <w:p>
      <w:pPr>
        <w:spacing w:after="0" w:line="188"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Revolving Credit Lenders</w:t>
      </w:r>
      <w:r>
        <w:rPr>
          <w:rFonts w:ascii="Arial" w:cs="Arial" w:eastAsia="Arial" w:hAnsi="Arial"/>
          <w:sz w:val="18"/>
          <w:szCs w:val="18"/>
          <w:color w:val="auto"/>
        </w:rPr>
        <w:t>” shall mean, at any date, Non-Defaulting Lenders holding a majority of the Adjusted Total Revolving Credit Commitment at such date (or, if the Total Revolving Credit Commitment has been terminated at such time, a majority of the Revolving Credit Exposure (excluding Revolving Credit Exposure of Defaulting Lenders) at such time).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420"/>
          </w:cols>
          <w:pgMar w:left="240" w:top="810" w:right="239" w:bottom="1440" w:gutter="0" w:footer="0" w:header="0"/>
        </w:sectPr>
      </w:pPr>
    </w:p>
    <w:bookmarkStart w:id="132" w:name="page133"/>
    <w:bookmarkEnd w:id="132"/>
    <w:p>
      <w:pPr>
        <w:jc w:val="both"/>
        <w:ind w:right="3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Term A Loan Lenders</w:t>
      </w:r>
      <w:r>
        <w:rPr>
          <w:rFonts w:ascii="Arial" w:cs="Arial" w:eastAsia="Arial" w:hAnsi="Arial"/>
          <w:sz w:val="18"/>
          <w:szCs w:val="18"/>
          <w:color w:val="auto"/>
        </w:rPr>
        <w:t>” shall mean, at any date, Non-Defaulting Lenders having or holding a majority of the sum of (i) the Adjusted Total Term A Loan Commitment at such date and (ii) the aggregate outstanding principal amount of the Term A Loans (excluding Term A Loans held by Defaulting Lenders) at such date.</w:t>
      </w:r>
    </w:p>
    <w:p>
      <w:pPr>
        <w:spacing w:after="0" w:line="176"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Term Loan Lenders</w:t>
      </w:r>
      <w:r>
        <w:rPr>
          <w:rFonts w:ascii="Arial" w:cs="Arial" w:eastAsia="Arial" w:hAnsi="Arial"/>
          <w:sz w:val="18"/>
          <w:szCs w:val="18"/>
          <w:color w:val="auto"/>
        </w:rPr>
        <w:t>” shall mean, at any date, Non-Defaulting Lenders having or holding a majority of the sum of (i) the Adjusted Total Term Loan Commitment at such date and (ii) the aggregate outstanding principal amount of the Term Loans (excluding Term Loans held by Defaulting Lenders) at such date.</w:t>
      </w:r>
    </w:p>
    <w:p>
      <w:pPr>
        <w:spacing w:after="0" w:line="176" w:lineRule="exact"/>
        <w:rPr>
          <w:sz w:val="20"/>
          <w:szCs w:val="20"/>
          <w:color w:val="auto"/>
        </w:rPr>
      </w:pPr>
    </w:p>
    <w:p>
      <w:pPr>
        <w:jc w:val="both"/>
        <w:ind w:right="6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Requirement of Law</w:t>
      </w:r>
      <w:r>
        <w:rPr>
          <w:rFonts w:ascii="Arial" w:cs="Arial" w:eastAsia="Arial" w:hAnsi="Arial"/>
          <w:sz w:val="17"/>
          <w:szCs w:val="17"/>
          <w:color w:val="auto"/>
        </w:rPr>
        <w:t>” shall mean,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assets or to which such Person or any of its property or assets is subject.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Resignation Effective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12.9(a)</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Restatement Agreement</w:t>
      </w:r>
      <w:r>
        <w:rPr>
          <w:rFonts w:ascii="Arial" w:cs="Arial" w:eastAsia="Arial" w:hAnsi="Arial"/>
          <w:sz w:val="18"/>
          <w:szCs w:val="18"/>
          <w:color w:val="auto"/>
        </w:rPr>
        <w:t>” shall mean the Joinder and Amendment and Restatement Agreement, dated as of July 18, 2019, by and among the Credit Parties, the Administrative Agent, the Collateral Agent, the Former Agent and the Lenders party thereto.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Restatement Date Refinancing</w:t>
      </w:r>
      <w:r>
        <w:rPr>
          <w:rFonts w:ascii="Arial" w:cs="Arial" w:eastAsia="Arial" w:hAnsi="Arial"/>
          <w:sz w:val="18"/>
          <w:szCs w:val="18"/>
          <w:color w:val="auto"/>
        </w:rPr>
        <w:t>” shall have the meaning provided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Restatement Effective Date</w:t>
      </w:r>
      <w:r>
        <w:rPr>
          <w:rFonts w:ascii="Arial" w:cs="Arial" w:eastAsia="Arial" w:hAnsi="Arial"/>
          <w:sz w:val="17"/>
          <w:szCs w:val="17"/>
          <w:color w:val="auto"/>
        </w:rPr>
        <w:t xml:space="preserve">” shall mean July 18, 2019, the date on which the conditions precedent to effectiveness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are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satisfied.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Investment</w:t>
      </w:r>
      <w:r>
        <w:rPr>
          <w:rFonts w:ascii="Arial" w:cs="Arial" w:eastAsia="Arial" w:hAnsi="Arial"/>
          <w:sz w:val="18"/>
          <w:szCs w:val="18"/>
          <w:color w:val="auto"/>
        </w:rPr>
        <w:t>” shall mean an Investment other than a Permitted Investment.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Subsidiary</w:t>
      </w:r>
      <w:r>
        <w:rPr>
          <w:rFonts w:ascii="Arial" w:cs="Arial" w:eastAsia="Arial" w:hAnsi="Arial"/>
          <w:sz w:val="18"/>
          <w:szCs w:val="18"/>
          <w:color w:val="auto"/>
        </w:rPr>
        <w:t>” shall mean any Subsidiary of Holdings other than an Unrestricted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Retired Capital Stock</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10.5(b)(2)</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Credit Commitment</w:t>
      </w:r>
      <w:r>
        <w:rPr>
          <w:rFonts w:ascii="Arial" w:cs="Arial" w:eastAsia="Arial" w:hAnsi="Arial"/>
          <w:sz w:val="17"/>
          <w:szCs w:val="17"/>
          <w:color w:val="auto"/>
        </w:rPr>
        <w:t xml:space="preserve">” shall mean, as to each Revolving Credit Lender, its obligation to make Revolving Credit Loans to the Borrower pursuant to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in an aggregate principal amount (carried out to the ninth decimal place) at any one time outstanding not to exceed the amount set forth, and opposite such Lender’s name on </w:t>
      </w:r>
      <w:r>
        <w:rPr>
          <w:rFonts w:ascii="Arial" w:cs="Arial" w:eastAsia="Arial" w:hAnsi="Arial"/>
          <w:sz w:val="17"/>
          <w:szCs w:val="17"/>
          <w:u w:val="single" w:color="auto"/>
          <w:color w:val="auto"/>
        </w:rPr>
        <w:t>Schedule 1.1(b)</w:t>
      </w:r>
      <w:r>
        <w:rPr>
          <w:rFonts w:ascii="Arial" w:cs="Arial" w:eastAsia="Arial" w:hAnsi="Arial"/>
          <w:sz w:val="17"/>
          <w:szCs w:val="17"/>
          <w:color w:val="auto"/>
        </w:rPr>
        <w:t xml:space="preserve"> under the caption Revolving Credit Commitment or in the Assignment and Acceptance pursuant to which such Lender becomes a party hereto, as applicable, as such amount may be adjusted from time to time in accordance with this Agreement (including </w:t>
      </w:r>
      <w:r>
        <w:rPr>
          <w:rFonts w:ascii="Arial" w:cs="Arial" w:eastAsia="Arial" w:hAnsi="Arial"/>
          <w:sz w:val="17"/>
          <w:szCs w:val="17"/>
          <w:u w:val="single" w:color="auto"/>
          <w:color w:val="auto"/>
        </w:rPr>
        <w:t>Section 2.14</w:t>
      </w:r>
      <w:r>
        <w:rPr>
          <w:rFonts w:ascii="Arial" w:cs="Arial" w:eastAsia="Arial" w:hAnsi="Arial"/>
          <w:sz w:val="17"/>
          <w:szCs w:val="17"/>
          <w:color w:val="auto"/>
        </w:rPr>
        <w:t>). The aggregate Revolving Credit Commitments of all Revolving Credit Lenders, as of the Restatement Effective Date, shall be $300,000,000, as such amount may be adjusted from time to time in accordance with the terms of this Agreement.</w:t>
      </w:r>
    </w:p>
    <w:p>
      <w:pPr>
        <w:spacing w:after="0" w:line="174" w:lineRule="exact"/>
        <w:rPr>
          <w:sz w:val="20"/>
          <w:szCs w:val="20"/>
          <w:color w:val="auto"/>
        </w:rPr>
      </w:pPr>
    </w:p>
    <w:p>
      <w:pPr>
        <w:ind w:right="2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Commitment Percentage</w:t>
      </w:r>
      <w:r>
        <w:rPr>
          <w:rFonts w:ascii="Arial" w:cs="Arial" w:eastAsia="Arial" w:hAnsi="Arial"/>
          <w:sz w:val="18"/>
          <w:szCs w:val="18"/>
          <w:color w:val="auto"/>
        </w:rPr>
        <w:t xml:space="preserve">” shall mean at any time, for each Lender, the percentage (carried out to the ninth decimal place) obtained by dividing (i) such Lender’s Revolving Credit Commitment at such time by (ii) the amount of the Total Revolving Credit Commitment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any time when the Total Revolving Credit Commitment shall have been terminated, each Lender’s Revolving Credit Commitment Percentage shall be the percentage obtained by dividing (a) such Lender’s Revolving Credit Exposure at such time by (b) the Revolving Credit Exposure of all Lenders at such time.</w:t>
      </w:r>
    </w:p>
    <w:p>
      <w:pPr>
        <w:spacing w:after="0" w:line="184"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Exposure</w:t>
      </w:r>
      <w:r>
        <w:rPr>
          <w:rFonts w:ascii="Arial" w:cs="Arial" w:eastAsia="Arial" w:hAnsi="Arial"/>
          <w:sz w:val="18"/>
          <w:szCs w:val="18"/>
          <w:color w:val="auto"/>
        </w:rPr>
        <w:t>” shall mean, with respect to any Lender at any time, the sum of (i) the aggregate principal amount of Revolving Credit Loans of such Lender then outstanding, (ii) such Lender’s Letter of Credit Exposure at such time, and (iii) such Lender’s Revolving Credit Commitment Percentage of the aggregate principal amount of all outstanding Swingline Loans at such time.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420"/>
          </w:cols>
          <w:pgMar w:left="240" w:top="810" w:right="239" w:bottom="1440" w:gutter="0" w:footer="0" w:header="0"/>
        </w:sectPr>
      </w:pPr>
    </w:p>
    <w:bookmarkStart w:id="133" w:name="page134"/>
    <w:bookmarkEnd w:id="133"/>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w:t>
      </w:r>
      <w:r>
        <w:rPr>
          <w:rFonts w:ascii="Arial" w:cs="Arial" w:eastAsia="Arial" w:hAnsi="Arial"/>
          <w:sz w:val="18"/>
          <w:szCs w:val="18"/>
          <w:color w:val="auto"/>
        </w:rPr>
        <w:t>” shall mean, at any time, the aggregate amount of the Revolving Credit Lenders’ Revolving Credit Commitments at such time.</w:t>
      </w:r>
    </w:p>
    <w:p>
      <w:pPr>
        <w:spacing w:after="0" w:line="162" w:lineRule="exact"/>
        <w:rPr>
          <w:sz w:val="20"/>
          <w:szCs w:val="20"/>
          <w:color w:val="auto"/>
        </w:rPr>
      </w:pPr>
    </w:p>
    <w:p>
      <w:pPr>
        <w:ind w:right="8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Lender</w:t>
      </w:r>
      <w:r>
        <w:rPr>
          <w:rFonts w:ascii="Arial" w:cs="Arial" w:eastAsia="Arial" w:hAnsi="Arial"/>
          <w:sz w:val="18"/>
          <w:szCs w:val="18"/>
          <w:color w:val="auto"/>
        </w:rPr>
        <w:t>” shall mean, at any time, any Lender that has a Revolving Credit Commitment or Extended Revolving Credit Commitment at such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Loan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Credit Maturity Date</w:t>
      </w:r>
      <w:r>
        <w:rPr>
          <w:rFonts w:ascii="Arial" w:cs="Arial" w:eastAsia="Arial" w:hAnsi="Arial"/>
          <w:sz w:val="17"/>
          <w:szCs w:val="17"/>
          <w:color w:val="auto"/>
        </w:rPr>
        <w:t>” shall mean July 18, 2024 or, if such date is not a Business Day, the immediately preceding Business Day .</w:t>
      </w:r>
    </w:p>
    <w:p>
      <w:pPr>
        <w:spacing w:after="0" w:line="237" w:lineRule="exact"/>
        <w:rPr>
          <w:sz w:val="20"/>
          <w:szCs w:val="20"/>
          <w:color w:val="auto"/>
        </w:rPr>
      </w:pPr>
    </w:p>
    <w:p>
      <w:pPr>
        <w:ind w:right="4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Termination Date</w:t>
      </w:r>
      <w:r>
        <w:rPr>
          <w:rFonts w:ascii="Arial" w:cs="Arial" w:eastAsia="Arial" w:hAnsi="Arial"/>
          <w:sz w:val="16"/>
          <w:szCs w:val="16"/>
          <w:color w:val="auto"/>
        </w:rPr>
        <w:t>” shall mean the date on which the Revolving Credit Commitments shall have terminated, no Revolving Credit Loans or Swingline Loans shall be outstanding and the Letters of Credit Outstanding shall have been reduced to zero or Cash Collateralized.</w:t>
      </w:r>
    </w:p>
    <w:p>
      <w:pPr>
        <w:spacing w:after="0" w:line="116"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Loan</w:t>
      </w:r>
      <w:r>
        <w:rPr>
          <w:rFonts w:ascii="Arial" w:cs="Arial" w:eastAsia="Arial" w:hAnsi="Arial"/>
          <w:sz w:val="18"/>
          <w:szCs w:val="18"/>
          <w:color w:val="auto"/>
        </w:rPr>
        <w:t>” shall mean, collectively or individually as the context may require, any (i) Revolving Credit Loan or (ii) Extended Revolving Credit Loan, in each case made pursuant to and in accordance with the terms and conditions of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shall mean Standard &amp; Poor’s Ratings Services or any successor by merger or consolidation to its business.</w:t>
      </w:r>
    </w:p>
    <w:p>
      <w:pPr>
        <w:spacing w:after="0" w:line="225"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Leaseback</w:t>
      </w:r>
      <w:r>
        <w:rPr>
          <w:rFonts w:ascii="Arial" w:cs="Arial" w:eastAsia="Arial" w:hAnsi="Arial"/>
          <w:sz w:val="18"/>
          <w:szCs w:val="18"/>
          <w:color w:val="auto"/>
        </w:rPr>
        <w:t>” shall mean any arrangement with any Person providing for the leasing by Holdings or any Restricted Subsidiary of any real or tangible personal property, which property has been or is to be sold or transferred by Holdings or such Restricted Subsidiary to such Person in contemplation of such leasing.</w:t>
      </w:r>
    </w:p>
    <w:p>
      <w:pPr>
        <w:spacing w:after="0" w:line="176"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shall mean any sanction administered or enforced by the United States Government (including without limitation, OFAC), the United Nations Security Council, the European Union or any member state thereof, Her Majesty’s Treasury of the United Kingdom (“</w:t>
      </w:r>
      <w:r>
        <w:rPr>
          <w:rFonts w:ascii="Arial" w:cs="Arial" w:eastAsia="Arial" w:hAnsi="Arial"/>
          <w:sz w:val="18"/>
          <w:szCs w:val="18"/>
          <w:b w:val="1"/>
          <w:bCs w:val="1"/>
          <w:color w:val="auto"/>
        </w:rPr>
        <w:t>HMT</w:t>
      </w:r>
      <w:r>
        <w:rPr>
          <w:rFonts w:ascii="Arial" w:cs="Arial" w:eastAsia="Arial" w:hAnsi="Arial"/>
          <w:sz w:val="18"/>
          <w:szCs w:val="18"/>
          <w:color w:val="auto"/>
        </w:rPr>
        <w:t>”) or other relevant sanctions authority.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or any successor thereto.</w:t>
      </w:r>
    </w:p>
    <w:p>
      <w:pPr>
        <w:spacing w:after="0" w:line="225" w:lineRule="exact"/>
        <w:rPr>
          <w:sz w:val="20"/>
          <w:szCs w:val="20"/>
          <w:color w:val="auto"/>
        </w:rPr>
      </w:pPr>
    </w:p>
    <w:p>
      <w:pPr>
        <w:ind w:right="16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Second Lien Intercreditor Agreement</w:t>
      </w:r>
      <w:r>
        <w:rPr>
          <w:rFonts w:ascii="Arial" w:cs="Arial" w:eastAsia="Arial" w:hAnsi="Arial"/>
          <w:sz w:val="17"/>
          <w:szCs w:val="17"/>
          <w:color w:val="auto"/>
        </w:rPr>
        <w:t>” shall mean a First Lien/Second Lien Intercreditor Agreement substantially in the form of Exhibit I (with such changes to such form as may be reasonably acceptable to the Administrative Agent and the Borrower) among the Administrative Agent, the Collateral Agent and the representatives for purposes thereof for any Permitted Other Indebtedness Secured Parties that are holders of Permitted Other Indebtedness Obligations having a Lien on the Collateral ranking junior to the Lien securing the Obligations.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2.14 Additional Amendment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2.14(g)(iv)</w:t>
      </w:r>
      <w:r>
        <w:rPr>
          <w:rFonts w:ascii="Arial" w:cs="Arial" w:eastAsia="Arial" w:hAnsi="Arial"/>
          <w:sz w:val="18"/>
          <w:szCs w:val="18"/>
          <w:color w:val="auto"/>
        </w:rPr>
        <w:t>.</w:t>
      </w:r>
    </w:p>
    <w:p>
      <w:pPr>
        <w:spacing w:after="0" w:line="225"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9.1 Financials</w:t>
      </w:r>
      <w:r>
        <w:rPr>
          <w:rFonts w:ascii="Arial" w:cs="Arial" w:eastAsia="Arial" w:hAnsi="Arial"/>
          <w:sz w:val="18"/>
          <w:szCs w:val="18"/>
          <w:color w:val="auto"/>
        </w:rPr>
        <w:t xml:space="preserve">” shall mean the financial statements delivered, or required to be delivered, pursuant to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together with the accompanying officer’s certificate delivered, or required to be delivered, pursuant to </w:t>
      </w:r>
      <w:r>
        <w:rPr>
          <w:rFonts w:ascii="Arial" w:cs="Arial" w:eastAsia="Arial" w:hAnsi="Arial"/>
          <w:sz w:val="18"/>
          <w:szCs w:val="18"/>
          <w:u w:val="single" w:color="auto"/>
          <w:color w:val="auto"/>
        </w:rPr>
        <w:t>Section 9.1(d)</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Cash Management Agreement</w:t>
      </w:r>
      <w:r>
        <w:rPr>
          <w:rFonts w:ascii="Arial" w:cs="Arial" w:eastAsia="Arial" w:hAnsi="Arial"/>
          <w:sz w:val="18"/>
          <w:szCs w:val="18"/>
          <w:color w:val="auto"/>
        </w:rPr>
        <w:t>” shall mean any Cash Management Agreement that is entered into by and between Holdings or any of the Restricted Subsidiaries and any Cash Management Bank, which is specified in writing by the Borrower to the Administrative Agent as constituting a Secured Cash Management Agreement hereunder.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Cash Management Obligations</w:t>
      </w:r>
      <w:r>
        <w:rPr>
          <w:rFonts w:ascii="Arial" w:cs="Arial" w:eastAsia="Arial" w:hAnsi="Arial"/>
          <w:sz w:val="18"/>
          <w:szCs w:val="18"/>
          <w:color w:val="auto"/>
        </w:rPr>
        <w:t>” shall mean Obligations under Secured Cash Management Agreements.</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400"/>
          </w:cols>
          <w:pgMar w:left="240" w:top="810" w:right="259" w:bottom="1440" w:gutter="0" w:footer="0" w:header="0"/>
        </w:sectPr>
      </w:pPr>
    </w:p>
    <w:bookmarkStart w:id="134" w:name="page135"/>
    <w:bookmarkEnd w:id="134"/>
    <w:p>
      <w:pPr>
        <w:ind w:right="3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Hedge Agreement</w:t>
      </w:r>
      <w:r>
        <w:rPr>
          <w:rFonts w:ascii="Arial" w:cs="Arial" w:eastAsia="Arial" w:hAnsi="Arial"/>
          <w:sz w:val="18"/>
          <w:szCs w:val="18"/>
          <w:color w:val="auto"/>
        </w:rPr>
        <w:t>” shall mean any Hedge Agreement that is entered into by and between Holdings, the Borrower or any Restricted Subsidiary and any Hedge Bank, which is specified in writing by the Borrower to the Administrative Agent as constituting a “Secured Hedge Agreement” hereunder. For purposes of the preceding sentence, the Borrower may deliver one notice designating all Hedge Agreements entered into pursuant to a specified Master Agreement as “Secured Hedge Agreements”.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Hedge Obligations</w:t>
      </w:r>
      <w:r>
        <w:rPr>
          <w:rFonts w:ascii="Arial" w:cs="Arial" w:eastAsia="Arial" w:hAnsi="Arial"/>
          <w:sz w:val="18"/>
          <w:szCs w:val="18"/>
          <w:color w:val="auto"/>
        </w:rPr>
        <w:t>” shall mean Obligations under Secured Hedge Agreements.</w:t>
      </w:r>
    </w:p>
    <w:p>
      <w:pPr>
        <w:spacing w:after="0" w:line="225"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xml:space="preserve">” shall mean the Administrative Agent, the Collateral Agent, the Letter of Credit Issuer, and each Lender, in each case with respect to the Credit Facilities, each Hedge Bank that is party to any Secured Hedge Agreement with Holdings, the Borrower or any Restricted Subsidiary, each Cash Management Bank that is party to a Secured Cash Management Agreement with the Borrower or any Restricted Subsidiary and each sub-agent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appointed by the Administrative Agent with respect to matters relating to the Credit Facilities or the Collateral Agent with respect to matters relating to any Security Document.</w:t>
      </w:r>
    </w:p>
    <w:p>
      <w:pPr>
        <w:spacing w:after="0" w:line="184"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shall mean the Security Agreement, dated as of the Closing Date, entered into by the Borrower, the other grantors party thereto, and the Collateral Agent for the benefit of the Secured Parties.</w:t>
      </w:r>
    </w:p>
    <w:p>
      <w:pPr>
        <w:spacing w:after="0" w:line="162"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xml:space="preserve">” shall mean, collectively, the Pledge Agreement, the Security Agreement, the Mortgages, if executed, the First Lien Intercreditor Agreement, if executed, and each other security agreement or other instrument or document executed and delivered pursuant to </w:t>
      </w:r>
      <w:r>
        <w:rPr>
          <w:rFonts w:ascii="Arial" w:cs="Arial" w:eastAsia="Arial" w:hAnsi="Arial"/>
          <w:sz w:val="18"/>
          <w:szCs w:val="18"/>
          <w:u w:val="single" w:color="auto"/>
          <w:color w:val="auto"/>
        </w:rPr>
        <w:t>Sections 9.11</w:t>
      </w:r>
      <w:r>
        <w:rPr>
          <w:rFonts w:ascii="Arial" w:cs="Arial" w:eastAsia="Arial" w:hAnsi="Arial"/>
          <w:sz w:val="18"/>
          <w:szCs w:val="18"/>
          <w:color w:val="auto"/>
        </w:rPr>
        <w:t xml:space="preserve">, </w:t>
      </w:r>
      <w:r>
        <w:rPr>
          <w:rFonts w:ascii="Arial" w:cs="Arial" w:eastAsia="Arial" w:hAnsi="Arial"/>
          <w:sz w:val="18"/>
          <w:szCs w:val="18"/>
          <w:u w:val="single" w:color="auto"/>
          <w:color w:val="auto"/>
        </w:rPr>
        <w:t>9.12,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9.14</w:t>
      </w:r>
      <w:r>
        <w:rPr>
          <w:rFonts w:ascii="Arial" w:cs="Arial" w:eastAsia="Arial" w:hAnsi="Arial"/>
          <w:sz w:val="18"/>
          <w:szCs w:val="18"/>
          <w:color w:val="auto"/>
        </w:rPr>
        <w:t xml:space="preserve"> or pursuant to any other such Security Documents to secure the Obligations or to govern the lien priorities of the holders of Liens on the Collateral.</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Significant Subsidiary</w:t>
      </w:r>
      <w:r>
        <w:rPr>
          <w:rFonts w:ascii="Arial" w:cs="Arial" w:eastAsia="Arial" w:hAnsi="Arial"/>
          <w:sz w:val="16"/>
          <w:szCs w:val="16"/>
          <w:color w:val="auto"/>
        </w:rPr>
        <w:t>” shall mean, at any date of determination, (a) any Restricted Subsidiary whose gross revenues (when combined with the gross revenues of such Restricted Subsidiary’s Subsidiaries after eliminating intercompany obligations) for the Test Period most recently ended on or prior to such date were equal to or greater than 10% of the consolidated gross revenues of Holdings and the Restricted Subsidiaries for such period, determined in accordance with GAAP or (b) each other Restricted Subsidiary that, when such Restricted Subsidiary’s total gross revenues (when combined with the total gross revenues of such Restricted Subsidiary’s Subsidiaries after eliminating intercompany obligations) are aggregated with each other Restricted Subsidiary (when combined with the total gross revenues of such Restricted Subsidiary’s Subsidiaries after eliminating intercompany obligations) that is the subject of an Event of Default described in Section 11.5 would constitute a “Significant Subsidiary” under clause (a) above.</w:t>
      </w:r>
    </w:p>
    <w:p>
      <w:pPr>
        <w:spacing w:after="0" w:line="16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Similar Business</w:t>
      </w:r>
      <w:r>
        <w:rPr>
          <w:rFonts w:ascii="Arial" w:cs="Arial" w:eastAsia="Arial" w:hAnsi="Arial"/>
          <w:sz w:val="18"/>
          <w:szCs w:val="18"/>
          <w:color w:val="auto"/>
        </w:rPr>
        <w:t>” shall mean any business conducted or proposed to be conducted by Holdings and the Restricted Subsidiaries on the Restatement Effective Date or any business that is similar, reasonably related, synergistic, incidental, or ancillary thereto.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Sold Entity or Business</w:t>
      </w:r>
      <w:r>
        <w:rPr>
          <w:rFonts w:ascii="Arial" w:cs="Arial" w:eastAsia="Arial" w:hAnsi="Arial"/>
          <w:sz w:val="18"/>
          <w:szCs w:val="18"/>
          <w:color w:val="auto"/>
        </w:rPr>
        <w:t>” shall have the meaning provided in the definition of the term “Consolidated EBITDA”.</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shall mean, after giving effect to the consummation of the Transactions, (i) the sum of the liabilities (including contingent liabilities) of Holdings and its Subsidiaries, on a consolidated basis, does not exceed the present fair saleable value of the present assets of Holdings and its Subsidiaries, on a consolidated basis; (ii) the fair value of the property of Holdings and its Subsidiaries, on a consolidated basis, is greater than the total amount of liabilities (including contingent liabilities) of Holdings and its Subsidiaries, on a consolidated basis; (iii) the capital of Holdings and its Subsidiaries, on a consolidated basis, is not unreasonably small in relation to their business as contemplated on the date hereof; and (iv) Holdings and its Subsidiaries, on a consolidated basis, have not incurred and do not intend to incur, or believe that they will incur, debts including current obligations beyond their ability to pay such debts as they become due (whether at maturity or otherwise).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420"/>
          </w:cols>
          <w:pgMar w:left="240" w:top="810" w:right="239" w:bottom="1440" w:gutter="0" w:footer="0" w:header="0"/>
        </w:sectPr>
      </w:pPr>
    </w:p>
    <w:bookmarkStart w:id="135" w:name="page136"/>
    <w:bookmarkEnd w:id="13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Existing Revolving Credit Commitment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Transaction</w:t>
      </w:r>
      <w:r>
        <w:rPr>
          <w:rFonts w:ascii="Arial" w:cs="Arial" w:eastAsia="Arial" w:hAnsi="Arial"/>
          <w:sz w:val="18"/>
          <w:szCs w:val="18"/>
          <w:color w:val="auto"/>
        </w:rPr>
        <w:t>” shall mean, with respect to any period, any Investment (including a Permitted Acquisition), any asset sale, incurrence or repayment of Indebtedness, Restricted Payment, Subsidiary designation, New Term Loan, New Revolving Credit Commitment, or other event or action that in each case by the terms of this Agreement requires Pro Forma Compliance with a test or covenant hereunder or requires such test or covenant to be calculated on a Pro Forma Basis.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w:t>
      </w:r>
      <w:r>
        <w:rPr>
          <w:rFonts w:ascii="Arial" w:cs="Arial" w:eastAsia="Arial" w:hAnsi="Arial"/>
          <w:sz w:val="18"/>
          <w:szCs w:val="18"/>
          <w:color w:val="auto"/>
        </w:rPr>
        <w:t>” shall mean any of KKR and its Affiliates but excluding portfolio companies of any of the foregoing.</w:t>
      </w:r>
    </w:p>
    <w:p>
      <w:pPr>
        <w:spacing w:after="0" w:line="22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Spot Rate</w:t>
      </w:r>
      <w:r>
        <w:rPr>
          <w:rFonts w:ascii="Arial" w:cs="Arial" w:eastAsia="Arial" w:hAnsi="Arial"/>
          <w:sz w:val="18"/>
          <w:szCs w:val="18"/>
          <w:color w:val="auto"/>
        </w:rPr>
        <w:t xml:space="preserve">” for any currency shall mean the rate determined by the Administrative Agent to be the rate quoted by the Administrative Agent as the spot rate for the purchase by the Administrative Agent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obtain such spot rate from another financial institution designated by the Administrative Agent if it does not have as of the date of determination a spot buying rate for any such currency.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SPV</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13.6(g)</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Stated Amount</w:t>
      </w:r>
      <w:r>
        <w:rPr>
          <w:rFonts w:ascii="Arial" w:cs="Arial" w:eastAsia="Arial" w:hAnsi="Arial"/>
          <w:sz w:val="16"/>
          <w:szCs w:val="16"/>
          <w:color w:val="auto"/>
        </w:rPr>
        <w:t xml:space="preserve">” of any Letter of Credit shall mean the maximum amount from time to time available to be drawn thereunder, determined without regard to whether any conditions to drawing could then be met;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any Letter of Credit that by its terms or the terms of any Issuer Document provides for one or more automatic increases in the stated amount thereof, the Stated Amount shall be deemed to be the maximum stated amount of such Letter of Credit after giving effect to all such increases, whether or not such maximum stated amount is in effect at such time.</w:t>
      </w:r>
    </w:p>
    <w:p>
      <w:pPr>
        <w:spacing w:after="0" w:line="151"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Equivalents</w:t>
      </w:r>
      <w:r>
        <w:rPr>
          <w:rFonts w:ascii="Arial" w:cs="Arial" w:eastAsia="Arial" w:hAnsi="Arial"/>
          <w:sz w:val="18"/>
          <w:szCs w:val="18"/>
          <w:color w:val="auto"/>
        </w:rPr>
        <w:t>” shall mean all securities convertible into or exchangeable for Capital Stock and all warrants, options, or other rights to purchase or subscribe for any Capital Stock, whether or not presently convertible, exchangeable, or exercisable.</w:t>
      </w:r>
    </w:p>
    <w:p>
      <w:pPr>
        <w:spacing w:after="0" w:line="162"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Stores</w:t>
      </w:r>
      <w:r>
        <w:rPr>
          <w:rFonts w:ascii="Arial" w:cs="Arial" w:eastAsia="Arial" w:hAnsi="Arial"/>
          <w:sz w:val="18"/>
          <w:szCs w:val="18"/>
          <w:color w:val="auto"/>
        </w:rPr>
        <w:t>” shall mean any retail store (which may include any real property, fixtures, equipment, inventory and other property related thereto) operated, or to be operated, by Holdings or any Restricted Subsidiary.</w:t>
      </w:r>
    </w:p>
    <w:p>
      <w:pPr>
        <w:spacing w:after="0" w:line="162" w:lineRule="exact"/>
        <w:rPr>
          <w:sz w:val="20"/>
          <w:szCs w:val="20"/>
          <w:color w:val="auto"/>
        </w:rPr>
      </w:pPr>
    </w:p>
    <w:p>
      <w:pPr>
        <w:ind w:right="4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Indebtedness</w:t>
      </w:r>
      <w:r>
        <w:rPr>
          <w:rFonts w:ascii="Arial" w:cs="Arial" w:eastAsia="Arial" w:hAnsi="Arial"/>
          <w:sz w:val="16"/>
          <w:szCs w:val="16"/>
          <w:color w:val="auto"/>
        </w:rPr>
        <w:t>” shall mean Indebtedness of Holdings, the Borrower, or any other Guarantor that is by its terms subordinated in right of payment to the obligations of Holdings, the Borrower, or such Guarantor, as applicable, under this Agreement or the Guarantee, as applicable.</w:t>
      </w:r>
    </w:p>
    <w:p>
      <w:pPr>
        <w:spacing w:after="0" w:line="116"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Person shall mean and include (i) any corporation more than 50% of whose Capital Stock of any class or classes having by the terms thereof ordinary voting power to elect a majority of the directors of such corporation (irrespective of whether or not at the time Capital Stock of any class or classes of such corporation shall have or might have voting power by reason of the happening of any contingency) is at the time owned by such Person directly or indirectly through Subsidiaries, or (ii) any limited liability company, partnership, association, joint venture, or other entity of which such Person directly or indirectly through Subsidiaries has more than a 50% equity interest at the time. Unless otherwise expressly provided, all references herein to a Subsidiary shall mean a Subsidiary of Holdings.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Borrower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10.3(a)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Obligation</w:t>
      </w:r>
      <w:r>
        <w:rPr>
          <w:rFonts w:ascii="Arial" w:cs="Arial" w:eastAsia="Arial" w:hAnsi="Arial"/>
          <w:sz w:val="18"/>
          <w:szCs w:val="18"/>
          <w:color w:val="auto"/>
        </w:rPr>
        <w:t>” shall mean, with respect to any Credit Party, any obligation to pay or perform under any agreement, contract, or transaction that constitutes a “swap” within the meaning of section 1(a)(47) of the Commodity Exchange Act.</w:t>
      </w: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340"/>
          </w:cols>
          <w:pgMar w:left="240" w:top="810" w:right="319" w:bottom="1440" w:gutter="0" w:footer="0" w:header="0"/>
        </w:sectPr>
      </w:pPr>
    </w:p>
    <w:bookmarkStart w:id="136" w:name="page137"/>
    <w:bookmarkEnd w:id="136"/>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Swingline Commitment</w:t>
      </w:r>
      <w:r>
        <w:rPr>
          <w:rFonts w:ascii="Arial" w:cs="Arial" w:eastAsia="Arial" w:hAnsi="Arial"/>
          <w:sz w:val="16"/>
          <w:szCs w:val="16"/>
          <w:color w:val="auto"/>
        </w:rPr>
        <w:t>” shall mean $20,000,000. The Swingline Commitment is part of and not in addition to the Revolving Credit Commitment.</w:t>
      </w:r>
    </w:p>
    <w:p>
      <w:pPr>
        <w:spacing w:after="0" w:line="248"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Exposure</w:t>
      </w:r>
      <w:r>
        <w:rPr>
          <w:rFonts w:ascii="Arial" w:cs="Arial" w:eastAsia="Arial" w:hAnsi="Arial"/>
          <w:sz w:val="18"/>
          <w:szCs w:val="18"/>
          <w:color w:val="auto"/>
        </w:rPr>
        <w:t>” shall mean at any time the aggregate principal amount at such time of all outstanding Swingline Loans. The Swingline Exposure of any Revolving Credit Lender at any time shall equal its Revolving Credit Commitment Percentage of the aggregate Swingline Exposure at such time.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Swingline Lender</w:t>
      </w:r>
      <w:r>
        <w:rPr>
          <w:rFonts w:ascii="Arial" w:cs="Arial" w:eastAsia="Arial" w:hAnsi="Arial"/>
          <w:sz w:val="16"/>
          <w:szCs w:val="16"/>
          <w:color w:val="auto"/>
        </w:rPr>
        <w:t>” shall mean Bank of America, N.A., in its capacity as lender of Swingline Loans hereunder or any replacement or successor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225"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Maturity Date</w:t>
      </w:r>
      <w:r>
        <w:rPr>
          <w:rFonts w:ascii="Arial" w:cs="Arial" w:eastAsia="Arial" w:hAnsi="Arial"/>
          <w:sz w:val="18"/>
          <w:szCs w:val="18"/>
          <w:color w:val="auto"/>
        </w:rPr>
        <w:t>” shall mean, with respect to any Swingline Loan, the date that is five Business Days prior to the Revolving Credit Maturity Date.</w:t>
      </w:r>
    </w:p>
    <w:p>
      <w:pPr>
        <w:spacing w:after="0" w:line="162"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Syndication Agents</w:t>
      </w:r>
      <w:r>
        <w:rPr>
          <w:rFonts w:ascii="Arial" w:cs="Arial" w:eastAsia="Arial" w:hAnsi="Arial"/>
          <w:sz w:val="18"/>
          <w:szCs w:val="18"/>
          <w:color w:val="auto"/>
        </w:rPr>
        <w:t>” shall mean JPMorgan Chase Bank, N.A. and Wells Fargo Securities, LLC, as syndication agents for the Lenders under this Agreement and the other Credit Documents.</w:t>
      </w:r>
    </w:p>
    <w:p>
      <w:pPr>
        <w:spacing w:after="0" w:line="162"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shall mean any and all present or future taxes, duties, levies, imposts, assessments, deductions, withholdings (including backup withholding), fees, or other similar charges imposed by any Governmental Authority and any interest, fines, penalties, or additions to tax with respect to the foregoing.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Lender</w:t>
      </w:r>
      <w:r>
        <w:rPr>
          <w:rFonts w:ascii="Arial" w:cs="Arial" w:eastAsia="Arial" w:hAnsi="Arial"/>
          <w:sz w:val="18"/>
          <w:szCs w:val="18"/>
          <w:color w:val="auto"/>
        </w:rPr>
        <w:t>” shall mean a Lender with a Term A Loan Commitment or an outstanding Term A Loan.</w:t>
      </w:r>
    </w:p>
    <w:p>
      <w:pPr>
        <w:spacing w:after="0" w:line="225"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 Commitment</w:t>
      </w:r>
      <w:r>
        <w:rPr>
          <w:rFonts w:ascii="Arial" w:cs="Arial" w:eastAsia="Arial" w:hAnsi="Arial"/>
          <w:sz w:val="18"/>
          <w:szCs w:val="18"/>
          <w:color w:val="auto"/>
        </w:rPr>
        <w:t xml:space="preserve">” shall mean, in the case of each Lender that is a Lender on the Restatement Effective Date, the amount (carried out to the ninth decimal place) set forth opposite such Lender’s name on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as such Lender’s “Term A Loan Commitment”. The aggregate amount of the Term A Loan Commitments as of the Restatement Effective Date is $420,000,000.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A Loan Maturity Date</w:t>
      </w:r>
      <w:r>
        <w:rPr>
          <w:rFonts w:ascii="Arial" w:cs="Arial" w:eastAsia="Arial" w:hAnsi="Arial"/>
          <w:sz w:val="17"/>
          <w:szCs w:val="17"/>
          <w:color w:val="auto"/>
        </w:rPr>
        <w:t>” shall mean July 18, 2024 or, if such date is not a Business Day, the immediately preceding Business Day.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 Repayment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 Repayment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2.5(b)</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Loans</w:t>
      </w:r>
      <w:r>
        <w:rPr>
          <w:rFonts w:ascii="Arial" w:cs="Arial" w:eastAsia="Arial" w:hAnsi="Arial"/>
          <w:sz w:val="18"/>
          <w:szCs w:val="18"/>
          <w:color w:val="auto"/>
        </w:rPr>
        <w:t xml:space="preserve">” shall mean the Term A Loans funded on the Restatement Effective Date pursuant to the terms and conditions of the Restatement Agreement and this Agreement (including </w:t>
      </w:r>
      <w:r>
        <w:rPr>
          <w:rFonts w:ascii="Arial" w:cs="Arial" w:eastAsia="Arial" w:hAnsi="Arial"/>
          <w:sz w:val="18"/>
          <w:szCs w:val="18"/>
          <w:u w:val="single" w:color="auto"/>
          <w:color w:val="auto"/>
        </w:rPr>
        <w:t>Section 2.1(a)(ii)</w:t>
      </w:r>
      <w:r>
        <w:rPr>
          <w:rFonts w:ascii="Arial" w:cs="Arial" w:eastAsia="Arial" w:hAnsi="Arial"/>
          <w:sz w:val="18"/>
          <w:szCs w:val="18"/>
          <w:color w:val="auto"/>
        </w:rPr>
        <w:t>).</w:t>
      </w:r>
    </w:p>
    <w:p>
      <w:pPr>
        <w:spacing w:after="0" w:line="162"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w:t>
      </w:r>
      <w:r>
        <w:rPr>
          <w:rFonts w:ascii="Arial" w:cs="Arial" w:eastAsia="Arial" w:hAnsi="Arial"/>
          <w:sz w:val="18"/>
          <w:szCs w:val="18"/>
          <w:color w:val="auto"/>
        </w:rPr>
        <w:t>” shall mean, with respect to each Lender, such Lender’s A Loan Commitment, and, if applicable, New Term Loan Commitment with respect to any Series and Replacement Term Loan Commitment with respect to any Series.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Extension Request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 (g)(i)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Lender</w:t>
      </w:r>
      <w:r>
        <w:rPr>
          <w:rFonts w:ascii="Arial" w:cs="Arial" w:eastAsia="Arial" w:hAnsi="Arial"/>
          <w:sz w:val="18"/>
          <w:szCs w:val="18"/>
          <w:color w:val="auto"/>
        </w:rPr>
        <w:t>” shall mean, at any time, any Lender that has a Term Loan Commitment or an outstanding Term Loan.</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Loans</w:t>
      </w:r>
      <w:r>
        <w:rPr>
          <w:rFonts w:ascii="Arial" w:cs="Arial" w:eastAsia="Arial" w:hAnsi="Arial"/>
          <w:sz w:val="18"/>
          <w:szCs w:val="18"/>
          <w:color w:val="auto"/>
        </w:rPr>
        <w:t>” shall mean the Term A Loans, any New Term Loans, any Replacement Term Loans, and any Extended Term Loans, collectively or individually, as the context may require.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Terminated Contracts</w:t>
      </w:r>
      <w:r>
        <w:rPr>
          <w:rFonts w:ascii="Arial" w:cs="Arial" w:eastAsia="Arial" w:hAnsi="Arial"/>
          <w:sz w:val="17"/>
          <w:szCs w:val="17"/>
          <w:color w:val="auto"/>
        </w:rPr>
        <w:t>” shall mean binding contracts with Counterparties that have terminated (whether on or before their stated expiration).</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400"/>
          </w:cols>
          <w:pgMar w:left="240" w:top="810" w:right="259" w:bottom="1440" w:gutter="0" w:footer="0" w:header="0"/>
        </w:sectPr>
      </w:pPr>
    </w:p>
    <w:bookmarkStart w:id="137" w:name="page138"/>
    <w:bookmarkEnd w:id="137"/>
    <w:p>
      <w:pPr>
        <w:ind w:right="12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Test Period</w:t>
      </w:r>
      <w:r>
        <w:rPr>
          <w:rFonts w:ascii="Arial" w:cs="Arial" w:eastAsia="Arial" w:hAnsi="Arial"/>
          <w:sz w:val="17"/>
          <w:szCs w:val="17"/>
          <w:color w:val="auto"/>
        </w:rPr>
        <w:t>” shall mean, for any determination under this Agreement, the four consecutive fiscal quarters of Holdings then last ended and for which Section 9.1 Financials shall have been delivered (or were required to be delivered) to the Administrative Agent (or, before the first delivery of Section 9.1 Financials, the most recent period of four fiscal quarters at the end of which financial statements are available).</w:t>
      </w:r>
    </w:p>
    <w:p>
      <w:pPr>
        <w:spacing w:after="0" w:line="158" w:lineRule="exact"/>
        <w:rPr>
          <w:sz w:val="20"/>
          <w:szCs w:val="20"/>
          <w:color w:val="auto"/>
        </w:rPr>
      </w:pPr>
    </w:p>
    <w:p>
      <w:pPr>
        <w:ind w:right="4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Credit Exposure</w:t>
      </w:r>
      <w:r>
        <w:rPr>
          <w:rFonts w:ascii="Arial" w:cs="Arial" w:eastAsia="Arial" w:hAnsi="Arial"/>
          <w:sz w:val="16"/>
          <w:szCs w:val="16"/>
          <w:color w:val="auto"/>
        </w:rPr>
        <w:t xml:space="preserve">” shall mean, at any date, the sum, without duplication, of (i) the Total Revolving Credit Commitment at such date (or, if the Total Revolving Credit Commitment shall have terminated on such date, the aggregate Revolving Credit Exposure of all Lenders at such date), (ii) the Total Term Loan Commitment at such date, and (iii) without duplication of </w:t>
      </w:r>
      <w:r>
        <w:rPr>
          <w:rFonts w:ascii="Arial" w:cs="Arial" w:eastAsia="Arial" w:hAnsi="Arial"/>
          <w:sz w:val="16"/>
          <w:szCs w:val="16"/>
          <w:u w:val="single" w:color="auto"/>
          <w:color w:val="auto"/>
        </w:rPr>
        <w:t>clause (ii)</w:t>
      </w:r>
      <w:r>
        <w:rPr>
          <w:rFonts w:ascii="Arial" w:cs="Arial" w:eastAsia="Arial" w:hAnsi="Arial"/>
          <w:sz w:val="16"/>
          <w:szCs w:val="16"/>
          <w:color w:val="auto"/>
        </w:rPr>
        <w:t>, the aggregate outstanding principal amount of all Term Loans at such date.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Revolving Credit Commitment</w:t>
      </w:r>
      <w:r>
        <w:rPr>
          <w:rFonts w:ascii="Arial" w:cs="Arial" w:eastAsia="Arial" w:hAnsi="Arial"/>
          <w:sz w:val="18"/>
          <w:szCs w:val="18"/>
          <w:color w:val="auto"/>
        </w:rPr>
        <w:t>” shall mean the sum of the Revolving Credit Commitments of all the Lenders.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Term A Loan Commitment</w:t>
      </w:r>
      <w:r>
        <w:rPr>
          <w:rFonts w:ascii="Arial" w:cs="Arial" w:eastAsia="Arial" w:hAnsi="Arial"/>
          <w:sz w:val="18"/>
          <w:szCs w:val="18"/>
          <w:color w:val="auto"/>
        </w:rPr>
        <w:t>” shall mean the sum of the Term A Loan Commitments of all Lenders.</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Term Loan Commitment</w:t>
      </w:r>
      <w:r>
        <w:rPr>
          <w:rFonts w:ascii="Arial" w:cs="Arial" w:eastAsia="Arial" w:hAnsi="Arial"/>
          <w:sz w:val="18"/>
          <w:szCs w:val="18"/>
          <w:color w:val="auto"/>
        </w:rPr>
        <w:t>” shall mean the sum of the Term A Loan Commitments and the New Term Loan Commitments, if applicable, of all the Lenders.</w:t>
      </w:r>
    </w:p>
    <w:p>
      <w:pPr>
        <w:spacing w:after="0" w:line="162" w:lineRule="exact"/>
        <w:rPr>
          <w:sz w:val="20"/>
          <w:szCs w:val="20"/>
          <w:color w:val="auto"/>
        </w:rPr>
      </w:pPr>
    </w:p>
    <w:p>
      <w:pPr>
        <w:ind w:right="14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Expenses</w:t>
      </w:r>
      <w:r>
        <w:rPr>
          <w:rFonts w:ascii="Arial" w:cs="Arial" w:eastAsia="Arial" w:hAnsi="Arial"/>
          <w:sz w:val="16"/>
          <w:szCs w:val="16"/>
          <w:color w:val="auto"/>
        </w:rPr>
        <w:t>” shall mean any fees, costs, or expenses incurred or paid by Holdings, the Borrower, or any of their respective Affiliates in connection with the Transactions, this Agreement, and the other Credit Documents, and the transactions contemplated hereby and thereby.</w:t>
      </w:r>
    </w:p>
    <w:p>
      <w:pPr>
        <w:spacing w:after="0" w:line="116" w:lineRule="exact"/>
        <w:rPr>
          <w:sz w:val="20"/>
          <w:szCs w:val="20"/>
          <w:color w:val="auto"/>
        </w:rPr>
      </w:pPr>
    </w:p>
    <w:p>
      <w:pPr>
        <w:jc w:val="both"/>
        <w:ind w:right="10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Transactions</w:t>
      </w:r>
      <w:r>
        <w:rPr>
          <w:rFonts w:ascii="Arial" w:cs="Arial" w:eastAsia="Arial" w:hAnsi="Arial"/>
          <w:sz w:val="16"/>
          <w:szCs w:val="16"/>
          <w:color w:val="auto"/>
        </w:rPr>
        <w:t>” shall mean, collectively, the transactions contemplated by this Agreement to occur on the Restatement Effective Date, including the repayment of Indebtedness under the Original Credit Agreement in connection therewith, the consummation of any other transactions in connection with the foregoing (including the payment of the fees and expenses incurred in connection with any of the foregoing (including the Transaction Expenses)).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Transferee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13.6(e)</w:t>
      </w:r>
      <w:r>
        <w:rPr>
          <w:rFonts w:ascii="Arial" w:cs="Arial" w:eastAsia="Arial" w:hAnsi="Arial"/>
          <w:sz w:val="18"/>
          <w:szCs w:val="18"/>
          <w:color w:val="auto"/>
        </w:rPr>
        <w:t>.</w:t>
      </w:r>
    </w:p>
    <w:p>
      <w:pPr>
        <w:spacing w:after="0" w:line="225"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shall mean (i) as to any Term Loan, its nature as an ABR Loan or a LIBOR Loan and (ii) as to any Revolving Loan, its nature as an ABR Loan or a LIBOR Revolving Credit Loan.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Drawing</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right="80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Unrestricted Subsidiary</w:t>
      </w:r>
      <w:r>
        <w:rPr>
          <w:rFonts w:ascii="Arial" w:cs="Arial" w:eastAsia="Arial" w:hAnsi="Arial"/>
          <w:sz w:val="17"/>
          <w:szCs w:val="17"/>
          <w:color w:val="auto"/>
        </w:rPr>
        <w:t>” shall mean (i) any Subsidiary of Holdings which at the time of determination is an Unrestricted Subsidiary (as designated by the board of directors of Holdings, as provided below) and (ii) any Subsidiary of an Unrestricted Subsidiary.</w:t>
      </w:r>
    </w:p>
    <w:p>
      <w:pPr>
        <w:spacing w:after="0" w:line="142"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The board of directors of Holdings may designate any Subsidiary of Holdings (including any existing Subsidiary and any newly acquired or newly formed Subsidiary) other than the Borrower or a Subsidiary of Holdings that is a direct or indirect parent of the Borrower to be an Unrestricted Subsidiary unless such Subsidiary or any of its Subsidiaries owns any Equity Interests or Indebtedness of, or owns or holds any Lien on, any property of, Holdings or any Subsidiary of Holdings (other than any Subsidiary of the Subsidiary to be so designated or an Unrestricted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54" w:lineRule="exact"/>
        <w:rPr>
          <w:sz w:val="20"/>
          <w:szCs w:val="20"/>
          <w:color w:val="auto"/>
        </w:rPr>
      </w:pPr>
    </w:p>
    <w:p>
      <w:pPr>
        <w:ind w:left="1680" w:hanging="375"/>
        <w:spacing w:after="0"/>
        <w:tabs>
          <w:tab w:leader="none" w:pos="16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such designation complies with </w:t>
      </w:r>
      <w:r>
        <w:rPr>
          <w:rFonts w:ascii="Arial" w:cs="Arial" w:eastAsia="Arial" w:hAnsi="Arial"/>
          <w:sz w:val="18"/>
          <w:szCs w:val="18"/>
          <w:u w:val="single" w:color="auto"/>
          <w:color w:val="auto"/>
        </w:rPr>
        <w:t>Section 10.5</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660" w:right="20" w:firstLine="645"/>
        <w:spacing w:after="0" w:line="264" w:lineRule="auto"/>
        <w:tabs>
          <w:tab w:leader="none" w:pos="1698"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of (1) the Subsidiary to be so designated and (2) its Subsidiaries has not at the time of designation, and does not thereafter, create, incur, issue, assume, guarantee, or otherwise become directly or indirectly liable with respect to any Indebtedness pursuant to which the lender has recourse to any of the assets of Holdings or any Restricted Subsidiary.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420"/>
          </w:cols>
          <w:pgMar w:left="240" w:top="810" w:right="239" w:bottom="1440" w:gutter="0" w:footer="0" w:header="0"/>
        </w:sectPr>
      </w:pPr>
    </w:p>
    <w:bookmarkStart w:id="138" w:name="page139"/>
    <w:bookmarkEnd w:id="138"/>
    <w:p>
      <w:pPr>
        <w:ind w:firstLine="648"/>
        <w:spacing w:after="0" w:line="257" w:lineRule="auto"/>
        <w:rPr>
          <w:sz w:val="20"/>
          <w:szCs w:val="20"/>
          <w:color w:val="auto"/>
        </w:rPr>
      </w:pPr>
      <w:r>
        <w:rPr>
          <w:rFonts w:ascii="Arial" w:cs="Arial" w:eastAsia="Arial" w:hAnsi="Arial"/>
          <w:sz w:val="18"/>
          <w:szCs w:val="18"/>
          <w:color w:val="auto"/>
        </w:rPr>
        <w:t xml:space="preserve">The board of directors of Holdings may designate any Unrestricted Subsidiary to be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after giving effect to such designation no Event of Default shall have occurred and be continuing and either: (i) Holdings could incur at least $1.00 of additional Indebtedness pursuant to the Fixed Charge Coverage Ratio test set forth in the first paragraph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or (ii) the Fixed Charge Coverage Ratio for Holdings and the Restricted Subsidiaries would be greater than such ratio for Holdings and the Restricted Subsidiaries immediately prior to such designation, in each case on a Pro Forma Basis taking into account such designation.</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Any such designation by the board of directors of Holdings shall be notified by Holdings to the Administrative Agent by promptly delivering to the Administrative Agent a copy of the Board resolution giving effect to such designation and a certificate of an Authorized Officer of Holdings certifying that such designation complied with the foregoing provisions.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and “</w:t>
      </w:r>
      <w:r>
        <w:rPr>
          <w:rFonts w:ascii="Arial" w:cs="Arial" w:eastAsia="Arial" w:hAnsi="Arial"/>
          <w:sz w:val="18"/>
          <w:szCs w:val="18"/>
          <w:b w:val="1"/>
          <w:bCs w:val="1"/>
          <w:color w:val="auto"/>
        </w:rPr>
        <w:t>United States</w:t>
      </w:r>
      <w:r>
        <w:rPr>
          <w:rFonts w:ascii="Arial" w:cs="Arial" w:eastAsia="Arial" w:hAnsi="Arial"/>
          <w:sz w:val="18"/>
          <w:szCs w:val="18"/>
          <w:color w:val="auto"/>
        </w:rPr>
        <w:t>” shall mean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5.4(e)(ii)(A)</w:t>
      </w:r>
      <w:r>
        <w:rPr>
          <w:rFonts w:ascii="Arial" w:cs="Arial" w:eastAsia="Arial" w:hAnsi="Arial"/>
          <w:sz w:val="18"/>
          <w:szCs w:val="18"/>
          <w:color w:val="auto"/>
        </w:rPr>
        <w:t>.</w:t>
      </w:r>
    </w:p>
    <w:p>
      <w:pPr>
        <w:spacing w:after="0" w:line="225"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shall mean, with respect to any Person as of any date, the Capital Stock of such Person that is at the time entitled to vote in the election of the board of directors of such Person.</w:t>
      </w:r>
    </w:p>
    <w:p>
      <w:pPr>
        <w:spacing w:after="0" w:line="16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Wal-Mart Agreements</w:t>
      </w:r>
      <w:r>
        <w:rPr>
          <w:rFonts w:ascii="Arial" w:cs="Arial" w:eastAsia="Arial" w:hAnsi="Arial"/>
          <w:sz w:val="16"/>
          <w:szCs w:val="16"/>
          <w:color w:val="auto"/>
        </w:rPr>
        <w:t>” shall mean (i) the Management &amp; Services Agreement, dated as of May 1, 2012, by and among Wal-Mart Stores, Inc., a Delaware corporation (“</w:t>
      </w:r>
      <w:r>
        <w:rPr>
          <w:rFonts w:ascii="Arial" w:cs="Arial" w:eastAsia="Arial" w:hAnsi="Arial"/>
          <w:sz w:val="16"/>
          <w:szCs w:val="16"/>
          <w:u w:val="single" w:color="auto"/>
          <w:color w:val="auto"/>
        </w:rPr>
        <w:t>Wal-Mart</w:t>
      </w:r>
      <w:r>
        <w:rPr>
          <w:rFonts w:ascii="Arial" w:cs="Arial" w:eastAsia="Arial" w:hAnsi="Arial"/>
          <w:sz w:val="16"/>
          <w:szCs w:val="16"/>
          <w:color w:val="auto"/>
        </w:rPr>
        <w:t>”), its U.S. operating subsidiaries, including Sam’s West, Inc., and the Borrower, (ii) the Lease of Premises and License of Equipment, dated May 2, 2009, by and among Wal-Mart, its affiliates and subsidiaries and FirstSight, as amended by the First Amendment to FirstSight Lease, dated as of March 31, 2012, (iii) the Management and Services Agreement, dated as of December 17, 2012, by and between Wal-Mart, but excluding its United States operating subsidiaries Sam’s West, Inc., a Delaware corporation, and Sam’s East Inc., a Delaware corporation (together with Sam’s West, Inc., “Sam’s”) and Arlington Contact Lens Services, Inc., an Ohio corporation (“</w:t>
      </w:r>
      <w:r>
        <w:rPr>
          <w:rFonts w:ascii="Arial" w:cs="Arial" w:eastAsia="Arial" w:hAnsi="Arial"/>
          <w:sz w:val="16"/>
          <w:szCs w:val="16"/>
          <w:u w:val="single" w:color="auto"/>
          <w:color w:val="auto"/>
        </w:rPr>
        <w:t>AC Lens</w:t>
      </w:r>
      <w:r>
        <w:rPr>
          <w:rFonts w:ascii="Arial" w:cs="Arial" w:eastAsia="Arial" w:hAnsi="Arial"/>
          <w:sz w:val="16"/>
          <w:szCs w:val="16"/>
          <w:color w:val="auto"/>
        </w:rPr>
        <w:t>”), (iv) the Management and Services Agreement, dated as of December 17, 2012, by and among Sam’s and its operating subsidiaries and AC Lens, (v) the Professional Office Lease Agreement, dated as of May 1, 2012, by and among Wal-Mart, its affiliates and subsidiaries and the Borrower and (vi) the Supplier Agreement, dated as of May 1, 2012, by and among the Borrower and Wal-Mart, in each case, as amended, restated, amended and restated, supplemented, otherwise modified or replaced from time to time.</w:t>
      </w:r>
    </w:p>
    <w:p>
      <w:pPr>
        <w:spacing w:after="0" w:line="160" w:lineRule="exact"/>
        <w:rPr>
          <w:sz w:val="20"/>
          <w:szCs w:val="20"/>
          <w:color w:val="auto"/>
        </w:rPr>
      </w:pPr>
    </w:p>
    <w:p>
      <w:pPr>
        <w:jc w:val="both"/>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Wholly-Owned Restricted Subsidiary</w:t>
      </w:r>
      <w:r>
        <w:rPr>
          <w:rFonts w:ascii="Arial" w:cs="Arial" w:eastAsia="Arial" w:hAnsi="Arial"/>
          <w:sz w:val="18"/>
          <w:szCs w:val="18"/>
          <w:color w:val="auto"/>
        </w:rPr>
        <w:t>” of any Person shall mean a Restricted Subsidiary of such Person, 100% of the outstanding Capital Stock or other ownership interests of which (other than directors’ qualifying shares) shall at the time be owned by such Person or by one or more Wholly-Owned Subsidiaries of such Person.</w:t>
      </w:r>
    </w:p>
    <w:p>
      <w:pPr>
        <w:spacing w:after="0" w:line="176"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Wholly-Owned Subsidiary</w:t>
      </w:r>
      <w:r>
        <w:rPr>
          <w:rFonts w:ascii="Arial" w:cs="Arial" w:eastAsia="Arial" w:hAnsi="Arial"/>
          <w:sz w:val="18"/>
          <w:szCs w:val="18"/>
          <w:color w:val="auto"/>
        </w:rPr>
        <w:t>” of any Person shall mean a Subsidiary of such Person, 100% of the outstanding Capital Stock or other ownership interests of which (other than directors’ qualifying shares) shall at the time be owned by such Person or by one or more Wholly-Owned Subsidiaries of such Person.</w:t>
      </w:r>
    </w:p>
    <w:p>
      <w:pPr>
        <w:spacing w:after="0" w:line="176"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Liability</w:t>
      </w:r>
      <w:r>
        <w:rPr>
          <w:rFonts w:ascii="Arial" w:cs="Arial" w:eastAsia="Arial" w:hAnsi="Arial"/>
          <w:sz w:val="18"/>
          <w:szCs w:val="18"/>
          <w:color w:val="auto"/>
        </w:rPr>
        <w:t>” shall mean liability to a Multiemployer Plan as a result of a complete or partial withdrawal from such Multiemployer Plan, as such terms are defined in Title IV of ERISA.</w:t>
      </w:r>
    </w:p>
    <w:p>
      <w:pPr>
        <w:spacing w:after="0" w:line="162"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Agent</w:t>
      </w:r>
      <w:r>
        <w:rPr>
          <w:rFonts w:ascii="Arial" w:cs="Arial" w:eastAsia="Arial" w:hAnsi="Arial"/>
          <w:sz w:val="18"/>
          <w:szCs w:val="18"/>
          <w:color w:val="auto"/>
        </w:rPr>
        <w:t>” shall mean any Credit Party, the Administrative Agent and, in the case of any U.S. federal withholding Tax, any other applicable withholding agent.</w:t>
      </w:r>
    </w:p>
    <w:p>
      <w:pPr>
        <w:spacing w:after="0" w:line="16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shall mean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340"/>
          </w:cols>
          <w:pgMar w:left="240" w:top="814" w:right="319" w:bottom="1440" w:gutter="0" w:footer="0" w:header="0"/>
        </w:sectPr>
      </w:pPr>
    </w:p>
    <w:bookmarkStart w:id="139" w:name="page140"/>
    <w:bookmarkEnd w:id="139"/>
    <w:p>
      <w:pPr>
        <w:ind w:right="160" w:firstLine="648"/>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With reference to this Agreement and each other Credit Document, unless otherwise specified herein or in such other Credit Document:</w:t>
      </w:r>
    </w:p>
    <w:p>
      <w:pPr>
        <w:spacing w:after="0" w:line="170" w:lineRule="exact"/>
        <w:rPr>
          <w:sz w:val="20"/>
          <w:szCs w:val="20"/>
          <w:color w:val="auto"/>
        </w:rPr>
      </w:pPr>
    </w:p>
    <w:p>
      <w:pPr>
        <w:ind w:left="1680" w:hanging="375"/>
        <w:spacing w:after="0"/>
        <w:tabs>
          <w:tab w:leader="none" w:pos="1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meanings of defined terms are equally applicable to the singular and plural forms of the defined terms.</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6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words “herein”, “hereto”, “hereof”, and “hereunder” and words of similar import when used in any Credit Document shall refer to such Credit Document as a whole and not to any particular provision thereof.</w:t>
      </w:r>
    </w:p>
    <w:p>
      <w:pPr>
        <w:spacing w:after="0" w:line="170" w:lineRule="exact"/>
        <w:rPr>
          <w:rFonts w:ascii="Arial" w:cs="Arial" w:eastAsia="Arial" w:hAnsi="Arial"/>
          <w:sz w:val="18"/>
          <w:szCs w:val="18"/>
          <w:color w:val="auto"/>
        </w:rPr>
      </w:pPr>
    </w:p>
    <w:p>
      <w:pPr>
        <w:ind w:left="1680" w:hanging="375"/>
        <w:spacing w:after="0"/>
        <w:tabs>
          <w:tab w:leader="none" w:pos="1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Section, Exhibit, and Schedule references are to the Credit Document in which such reference appears.</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term “including” is by way of example and not limitation.</w:t>
      </w:r>
    </w:p>
    <w:p>
      <w:pPr>
        <w:spacing w:after="0" w:line="225" w:lineRule="exact"/>
        <w:rPr>
          <w:rFonts w:ascii="Arial" w:cs="Arial" w:eastAsia="Arial" w:hAnsi="Arial"/>
          <w:sz w:val="18"/>
          <w:szCs w:val="18"/>
          <w:color w:val="auto"/>
        </w:rPr>
      </w:pPr>
    </w:p>
    <w:p>
      <w:pPr>
        <w:ind w:left="660" w:right="60" w:firstLine="645"/>
        <w:spacing w:after="0" w:line="277" w:lineRule="auto"/>
        <w:tabs>
          <w:tab w:leader="none" w:pos="168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170" w:lineRule="exact"/>
        <w:rPr>
          <w:rFonts w:ascii="Arial" w:cs="Arial" w:eastAsia="Arial" w:hAnsi="Arial"/>
          <w:sz w:val="18"/>
          <w:szCs w:val="18"/>
          <w:color w:val="auto"/>
        </w:rPr>
      </w:pPr>
    </w:p>
    <w:p>
      <w:pPr>
        <w:ind w:left="660" w:right="100" w:firstLine="645"/>
        <w:spacing w:after="0" w:line="277" w:lineRule="auto"/>
        <w:tabs>
          <w:tab w:leader="none" w:pos="1668"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70" w:lineRule="exact"/>
        <w:rPr>
          <w:rFonts w:ascii="Arial" w:cs="Arial" w:eastAsia="Arial" w:hAnsi="Arial"/>
          <w:sz w:val="18"/>
          <w:szCs w:val="18"/>
          <w:color w:val="auto"/>
        </w:rPr>
      </w:pPr>
    </w:p>
    <w:p>
      <w:pPr>
        <w:ind w:left="660" w:right="400" w:firstLine="645"/>
        <w:spacing w:after="0" w:line="277" w:lineRule="auto"/>
        <w:tabs>
          <w:tab w:leader="none" w:pos="1698"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Section headings herein and in the other Credit Documents are included for convenience of reference only and shall not affect the interpretation of this Agreement or any other Credit Document.</w:t>
      </w:r>
    </w:p>
    <w:p>
      <w:pPr>
        <w:spacing w:after="0" w:line="170" w:lineRule="exact"/>
        <w:rPr>
          <w:rFonts w:ascii="Arial" w:cs="Arial" w:eastAsia="Arial" w:hAnsi="Arial"/>
          <w:sz w:val="18"/>
          <w:szCs w:val="18"/>
          <w:color w:val="auto"/>
        </w:rPr>
      </w:pPr>
    </w:p>
    <w:p>
      <w:pPr>
        <w:ind w:left="660" w:right="460" w:firstLine="645"/>
        <w:spacing w:after="0" w:line="277" w:lineRule="auto"/>
        <w:tabs>
          <w:tab w:leader="none" w:pos="16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words “asset” and “property” shall be construed to have the same meaning and effect and to refer to any and all tangible and intangible assets and properties, including cash, securities, accounts and contract rights.</w:t>
      </w:r>
    </w:p>
    <w:p>
      <w:pPr>
        <w:spacing w:after="0" w:line="170" w:lineRule="exact"/>
        <w:rPr>
          <w:rFonts w:ascii="Arial" w:cs="Arial" w:eastAsia="Arial" w:hAnsi="Arial"/>
          <w:sz w:val="18"/>
          <w:szCs w:val="18"/>
          <w:color w:val="auto"/>
        </w:rPr>
      </w:pPr>
    </w:p>
    <w:p>
      <w:pPr>
        <w:ind w:left="660" w:right="100" w:firstLine="645"/>
        <w:spacing w:after="0" w:line="277" w:lineRule="auto"/>
        <w:tabs>
          <w:tab w:leader="none" w:pos="1648"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references to “knowledge” or “awareness” of any Credit Party or any Restricted Subsidiary thereof means the actual knowledge of an Authorized Officer of such Credit Party or such Restricted Subsidiary.</w:t>
      </w:r>
    </w:p>
    <w:p>
      <w:pPr>
        <w:spacing w:after="0" w:line="17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Accounting Terms</w:t>
      </w:r>
      <w:r>
        <w:rPr>
          <w:rFonts w:ascii="Arial" w:cs="Arial" w:eastAsia="Arial" w:hAnsi="Arial"/>
          <w:sz w:val="16"/>
          <w:szCs w:val="16"/>
          <w:color w:val="auto"/>
        </w:rPr>
        <w:t>.</w:t>
      </w:r>
    </w:p>
    <w:p>
      <w:pPr>
        <w:spacing w:after="0" w:line="225" w:lineRule="exact"/>
        <w:rPr>
          <w:sz w:val="20"/>
          <w:szCs w:val="20"/>
          <w:color w:val="auto"/>
        </w:rPr>
      </w:pPr>
    </w:p>
    <w:p>
      <w:pPr>
        <w:ind w:right="180" w:firstLine="656"/>
        <w:spacing w:after="0" w:line="264" w:lineRule="auto"/>
        <w:tabs>
          <w:tab w:leader="none" w:pos="1028"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Except as expressly provided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consistent manner.</w:t>
      </w:r>
    </w:p>
    <w:p>
      <w:pPr>
        <w:spacing w:after="0" w:line="181" w:lineRule="exact"/>
        <w:rPr>
          <w:rFonts w:ascii="Arial" w:cs="Arial" w:eastAsia="Arial" w:hAnsi="Arial"/>
          <w:sz w:val="18"/>
          <w:szCs w:val="18"/>
          <w:color w:val="auto"/>
        </w:rPr>
      </w:pPr>
    </w:p>
    <w:p>
      <w:pPr>
        <w:ind w:firstLine="656"/>
        <w:spacing w:after="0" w:line="259" w:lineRule="auto"/>
        <w:tabs>
          <w:tab w:leader="none" w:pos="1038"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Notwithstanding anything to the contrary herein, for purposes of determining compliance with any test or covenant contained in this Agreement with respect to any period during which any Specified Transaction occurs, the Consolidated Total Debt to Consolidated EBITDA Ratio, the Consolidated First Lien Secured Debt to Consolidated EBITDA Ratio, and the First Lien Secured Leverage Test shall each be calculated with respect to such period and such Specified Transaction on a Pro Forma Basis.</w:t>
      </w:r>
    </w:p>
    <w:p>
      <w:pPr>
        <w:spacing w:after="0" w:line="186" w:lineRule="exact"/>
        <w:rPr>
          <w:rFonts w:ascii="Arial" w:cs="Arial" w:eastAsia="Arial" w:hAnsi="Arial"/>
          <w:sz w:val="18"/>
          <w:szCs w:val="18"/>
          <w:color w:val="auto"/>
        </w:rPr>
      </w:pPr>
    </w:p>
    <w:p>
      <w:pPr>
        <w:ind w:right="40" w:firstLine="656"/>
        <w:spacing w:after="0" w:line="277" w:lineRule="auto"/>
        <w:tabs>
          <w:tab w:leader="none" w:pos="1025"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Where reference is made to “Holdings and the Restricted Subsidiaries on a consolidated basis” or similar language, such consolidation shall not include any Subsidiaries of Holdings other than Restricted Subsidiaries.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420"/>
          </w:cols>
          <w:pgMar w:left="240" w:top="814" w:right="239" w:bottom="1440" w:gutter="0" w:footer="0" w:header="0"/>
        </w:sectPr>
      </w:pPr>
    </w:p>
    <w:bookmarkStart w:id="140" w:name="page141"/>
    <w:bookmarkEnd w:id="140"/>
    <w:p>
      <w:pPr>
        <w:ind w:right="20" w:firstLine="648"/>
        <w:spacing w:after="0" w:line="286"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Rounding</w:t>
      </w:r>
      <w:r>
        <w:rPr>
          <w:rFonts w:ascii="Arial" w:cs="Arial" w:eastAsia="Arial" w:hAnsi="Arial"/>
          <w:sz w:val="17"/>
          <w:szCs w:val="17"/>
          <w:color w:val="auto"/>
        </w:rPr>
        <w:t>. Any financial ratios required to be maintained by Holdings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w:t>
      </w:r>
    </w:p>
    <w:p>
      <w:pPr>
        <w:spacing w:after="0" w:line="16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References to Agreements Laws, Etc</w:t>
      </w:r>
      <w:r>
        <w:rPr>
          <w:rFonts w:ascii="Arial" w:cs="Arial" w:eastAsia="Arial" w:hAnsi="Arial"/>
          <w:sz w:val="18"/>
          <w:szCs w:val="18"/>
          <w:color w:val="auto"/>
        </w:rPr>
        <w:t>. Unless otherwise expressly provided herein, (a) references to organizational documents, agreements (including the Credit Documents), and other Contractual Requirements shall be deemed to include all subsequent amendments, restatements, amendment, and restatements, extensions, supplements, modifications, replacements, refinancings, renewals, or increases, but only to the extent that such amendments, restatements, amendment, and restatements, extensions, supplements, modifications, replacements, refinancings, renewals, or increases are permitted by any Credit Document; and (b) references to any Requirement of Law shall include all statutory and regulatory provisions consolidating, amending, replacing, supplementing, or interpreting such Requirement of Law.</w:t>
      </w:r>
    </w:p>
    <w:p>
      <w:pPr>
        <w:spacing w:after="0" w:line="193"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u w:val="single" w:color="auto"/>
          <w:color w:val="auto"/>
        </w:rPr>
        <w:t>Exchange Rates</w:t>
      </w:r>
      <w:r>
        <w:rPr>
          <w:rFonts w:ascii="Arial" w:cs="Arial" w:eastAsia="Arial" w:hAnsi="Arial"/>
          <w:sz w:val="16"/>
          <w:szCs w:val="16"/>
          <w:color w:val="auto"/>
        </w:rPr>
        <w:t xml:space="preserve">. Notwithstanding the foregoing, for purposes of any determination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or any determination under any other provision of this Agreement expressly requiring the use of a current exchange rate, all amounts incurred, outstanding, or proposed to be incurred or outstanding in currencies other than Dollars shall be translated into Dollars at the Spot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purposes of determining compliance with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with respect to the amount of any Indebtedness, Restricted Investment, Lien, Asset Sale, or Restricted Payment in a currency other than Dollars, no Default or Event of Default shall be deemed to have occurred solely as a result of changes in rates of exchange occurring after the time such Indebtedness, Lien or Restricted Investment is incurred or Asset Sale or Restricted Payment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the foregoing provisions of this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shall otherwise apply to such Sections, including with respect to determining whether any Indebtedness, Lien, or Investment may be incurred or Asset Sale or Restricted Payment made at any time under such Sections. For purposes of any determination of Consolidated Total Debt or Consolidated First Lien Secured Debt, amounts in currencies other than Dollars shall be translated into Dollars at the currency exchange rates used in preparing the most recently delivered Section 9.1 Financials..</w:t>
      </w:r>
    </w:p>
    <w:p>
      <w:pPr>
        <w:spacing w:after="0" w:line="16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Rates</w:t>
      </w:r>
      <w:r>
        <w:rPr>
          <w:rFonts w:ascii="Arial" w:cs="Arial" w:eastAsia="Arial" w:hAnsi="Arial"/>
          <w:sz w:val="18"/>
          <w:szCs w:val="18"/>
          <w:color w:val="auto"/>
        </w:rPr>
        <w:t>. The Administrative Agent does not warrant, nor accept responsibility, nor shall the Administrative Agent have any liability with respect to the administration, submission, or any other matter related to the rates in the definition of “LIBOR Rate” or with respect to any rate that is an alternative or replacement for or successor to any such rate (including, without limitation, any LIBOR Successor Rate) or the effect of any of the foregoing, or of any LIBOR Successor Rate Conforming Changes.</w:t>
      </w:r>
    </w:p>
    <w:p>
      <w:pPr>
        <w:spacing w:after="0" w:line="18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Times of Day</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Timing of Payment or Performance</w:t>
      </w:r>
      <w:r>
        <w:rPr>
          <w:rFonts w:ascii="Arial" w:cs="Arial" w:eastAsia="Arial" w:hAnsi="Arial"/>
          <w:sz w:val="18"/>
          <w:szCs w:val="18"/>
          <w:color w:val="auto"/>
        </w:rPr>
        <w:t>. Except as otherwise provided herein, when the payment of any obligation or the performance of any covenant, duty, or obligation is stated to be due or performance required on (or before) a day which is not a Business Day, the date of such payment (other than as described in the definition of “Interest Period”) or performance shall extend to the immediately succeeding Business Day, and such extension of time shall be reflected in computing interest or fees, as the case may be.</w:t>
      </w:r>
    </w:p>
    <w:p>
      <w:pPr>
        <w:spacing w:after="0" w:line="18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u w:val="single" w:color="auto"/>
          <w:color w:val="auto"/>
        </w:rPr>
        <w:t>Certifications</w:t>
      </w:r>
      <w:r>
        <w:rPr>
          <w:rFonts w:ascii="Arial" w:cs="Arial" w:eastAsia="Arial" w:hAnsi="Arial"/>
          <w:sz w:val="16"/>
          <w:szCs w:val="16"/>
          <w:color w:val="auto"/>
        </w:rPr>
        <w:t>. All certifications to be made hereunder by an officer or representative of a Credit Party shall be made by such a Person in his or her capacity solely as an officer or a representative of such Credit Party, on such Credit Party’s behalf and not in such Person’s individual capacity.</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420"/>
          </w:cols>
          <w:pgMar w:left="240" w:top="814" w:right="239" w:bottom="1440" w:gutter="0" w:footer="0" w:header="0"/>
        </w:sectPr>
      </w:pPr>
    </w:p>
    <w:bookmarkStart w:id="141" w:name="page142"/>
    <w:bookmarkEnd w:id="141"/>
    <w:p>
      <w:pPr>
        <w:ind w:right="20" w:firstLine="648"/>
        <w:spacing w:after="0" w:line="276"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Compliance with Certain Sections</w:t>
      </w:r>
      <w:r>
        <w:rPr>
          <w:rFonts w:ascii="Arial" w:cs="Arial" w:eastAsia="Arial" w:hAnsi="Arial"/>
          <w:sz w:val="17"/>
          <w:szCs w:val="17"/>
          <w:color w:val="auto"/>
        </w:rPr>
        <w:t xml:space="preserve">. In the event that any Lien, Investment, Indebtedness (whether at the time of incurrence or upon application of all or a portion of the proceeds thereof), disposition, Restricted Payment, Affiliate transaction, Contractual Requirement, or prepayment of Indebtedness meets the criteria of one or more than one of the categories of transactions then permitted pursuant to any clause or subsection of </w:t>
      </w:r>
      <w:r>
        <w:rPr>
          <w:rFonts w:ascii="Arial" w:cs="Arial" w:eastAsia="Arial" w:hAnsi="Arial"/>
          <w:sz w:val="17"/>
          <w:szCs w:val="17"/>
          <w:u w:val="single" w:color="auto"/>
          <w:color w:val="auto"/>
        </w:rPr>
        <w:t>Section 9.9</w:t>
      </w:r>
      <w:r>
        <w:rPr>
          <w:rFonts w:ascii="Arial" w:cs="Arial" w:eastAsia="Arial" w:hAnsi="Arial"/>
          <w:sz w:val="17"/>
          <w:szCs w:val="17"/>
          <w:color w:val="auto"/>
        </w:rPr>
        <w:t xml:space="preserve"> or any clause or subsection of </w:t>
      </w:r>
      <w:r>
        <w:rPr>
          <w:rFonts w:ascii="Arial" w:cs="Arial" w:eastAsia="Arial" w:hAnsi="Arial"/>
          <w:sz w:val="17"/>
          <w:szCs w:val="17"/>
          <w:u w:val="single" w:color="auto"/>
          <w:color w:val="auto"/>
        </w:rPr>
        <w:t>Sections 10.1</w:t>
      </w:r>
      <w:r>
        <w:rPr>
          <w:rFonts w:ascii="Arial" w:cs="Arial" w:eastAsia="Arial" w:hAnsi="Arial"/>
          <w:sz w:val="17"/>
          <w:szCs w:val="17"/>
          <w:color w:val="auto"/>
        </w:rPr>
        <w:t xml:space="preserve">, </w:t>
      </w:r>
      <w:r>
        <w:rPr>
          <w:rFonts w:ascii="Arial" w:cs="Arial" w:eastAsia="Arial" w:hAnsi="Arial"/>
          <w:sz w:val="17"/>
          <w:szCs w:val="17"/>
          <w:u w:val="single" w:color="auto"/>
          <w:color w:val="auto"/>
        </w:rPr>
        <w:t>10.2</w:t>
      </w:r>
      <w:r>
        <w:rPr>
          <w:rFonts w:ascii="Arial" w:cs="Arial" w:eastAsia="Arial" w:hAnsi="Arial"/>
          <w:sz w:val="17"/>
          <w:szCs w:val="17"/>
          <w:color w:val="auto"/>
        </w:rPr>
        <w:t xml:space="preserve">, </w:t>
      </w:r>
      <w:r>
        <w:rPr>
          <w:rFonts w:ascii="Arial" w:cs="Arial" w:eastAsia="Arial" w:hAnsi="Arial"/>
          <w:sz w:val="17"/>
          <w:szCs w:val="17"/>
          <w:u w:val="single" w:color="auto"/>
          <w:color w:val="auto"/>
        </w:rPr>
        <w:t>10.3</w:t>
      </w:r>
      <w:r>
        <w:rPr>
          <w:rFonts w:ascii="Arial" w:cs="Arial" w:eastAsia="Arial" w:hAnsi="Arial"/>
          <w:sz w:val="17"/>
          <w:szCs w:val="17"/>
          <w:color w:val="auto"/>
        </w:rPr>
        <w:t xml:space="preserve">, </w:t>
      </w:r>
      <w:r>
        <w:rPr>
          <w:rFonts w:ascii="Arial" w:cs="Arial" w:eastAsia="Arial" w:hAnsi="Arial"/>
          <w:sz w:val="17"/>
          <w:szCs w:val="17"/>
          <w:u w:val="single" w:color="auto"/>
          <w:color w:val="auto"/>
        </w:rPr>
        <w:t>10.4</w:t>
      </w:r>
      <w:r>
        <w:rPr>
          <w:rFonts w:ascii="Arial" w:cs="Arial" w:eastAsia="Arial" w:hAnsi="Arial"/>
          <w:sz w:val="17"/>
          <w:szCs w:val="17"/>
          <w:color w:val="auto"/>
        </w:rPr>
        <w:t xml:space="preserve">, </w:t>
      </w:r>
      <w:r>
        <w:rPr>
          <w:rFonts w:ascii="Arial" w:cs="Arial" w:eastAsia="Arial" w:hAnsi="Arial"/>
          <w:sz w:val="17"/>
          <w:szCs w:val="17"/>
          <w:u w:val="single" w:color="auto"/>
          <w:color w:val="auto"/>
        </w:rPr>
        <w:t>10.5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10.6</w:t>
      </w:r>
      <w:r>
        <w:rPr>
          <w:rFonts w:ascii="Arial" w:cs="Arial" w:eastAsia="Arial" w:hAnsi="Arial"/>
          <w:sz w:val="17"/>
          <w:szCs w:val="17"/>
          <w:color w:val="auto"/>
        </w:rPr>
        <w:t xml:space="preserve"> then, such transaction (or portion thereof) at any time shall be allocated to one or more of such clauses or subsections within the relevant sections as determined by the Borrower in its sole discretion at such time.</w:t>
      </w:r>
    </w:p>
    <w:p>
      <w:pPr>
        <w:spacing w:after="0" w:line="17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Pro Forma and Other Calculations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85" w:lineRule="auto"/>
        <w:tabs>
          <w:tab w:leader="none" w:pos="1028" w:val="left"/>
        </w:tabs>
        <w:numPr>
          <w:ilvl w:val="0"/>
          <w:numId w:val="76"/>
        </w:numPr>
        <w:rPr>
          <w:rFonts w:ascii="Arial" w:cs="Arial" w:eastAsia="Arial" w:hAnsi="Arial"/>
          <w:sz w:val="16"/>
          <w:szCs w:val="16"/>
          <w:color w:val="auto"/>
        </w:rPr>
      </w:pPr>
      <w:r>
        <w:rPr>
          <w:rFonts w:ascii="Arial" w:cs="Arial" w:eastAsia="Arial" w:hAnsi="Arial"/>
          <w:sz w:val="16"/>
          <w:szCs w:val="16"/>
          <w:color w:val="auto"/>
        </w:rPr>
        <w:t>For purposes of calculating the Fixed Charge Coverage Ratio, Investments, acquisitions, dispositions, mergers, consolidations, and disposed operations (as determined in accordance with GAAP) that have been made by Holdings or any Restricted Subsidiary during the Test Period or subsequent to such Test Period and on or prior to or simultaneously with the date of determination shall be calculated on a Pro Forma Basis assuming that all such Investments, acquisitions, dispositions, mergers, consolidations, and disposed operations (and the change in any associated fixed charge obligations and the change in Consolidated EBITDA resulting therefrom) had occurred on the first day of the Test Period. If since the beginning of such period any Person (that subsequently became a Restricted Subsidiary or was merged with or into Holdings or any Restricted Subsidiary since the beginning of such period) shall have made any Investment, acquisition, disposition, merger, consolidation, or disposed operation that would have required adjustment pursuant to this definition, then the Fixed Charge Coverage Ratio shall be calculated giving Pro Forma Effect thereto for such Test Period as if such Investment, acquisition, disposition, merger, consolidation, or disposed operation had occurred at the beginning of the Test Period. Notwithstanding anything to the contrary herein, with respect to any amounts incurred or transactions entered into (or consummated) in reliance on a provision of this Agreement that does not require compliance with a financial ratio or test (including, without limitation, the Fixed Charge Coverage Ratio, the Consolidated First Lien Secured Debt to Consolidated EBITDA Ratio and Consolidated Total Debt to Consolidated EBITDA Ratio) (any such amounts, the “</w:t>
      </w:r>
      <w:r>
        <w:rPr>
          <w:rFonts w:ascii="Arial" w:cs="Arial" w:eastAsia="Arial" w:hAnsi="Arial"/>
          <w:sz w:val="16"/>
          <w:szCs w:val="16"/>
          <w:b w:val="1"/>
          <w:bCs w:val="1"/>
          <w:color w:val="auto"/>
        </w:rPr>
        <w:t>Fixed Amounts</w:t>
      </w:r>
      <w:r>
        <w:rPr>
          <w:rFonts w:ascii="Arial" w:cs="Arial" w:eastAsia="Arial" w:hAnsi="Arial"/>
          <w:sz w:val="16"/>
          <w:szCs w:val="16"/>
          <w:color w:val="auto"/>
        </w:rPr>
        <w:t>”) substantially concurrently with any amounts Incurred or transactions entered into (or consummated) in reliance on a provision of this Agreement that requires compliance with any such financial ratio or test (any such amounts, the “</w:t>
      </w:r>
      <w:r>
        <w:rPr>
          <w:rFonts w:ascii="Arial" w:cs="Arial" w:eastAsia="Arial" w:hAnsi="Arial"/>
          <w:sz w:val="16"/>
          <w:szCs w:val="16"/>
          <w:b w:val="1"/>
          <w:bCs w:val="1"/>
          <w:color w:val="auto"/>
        </w:rPr>
        <w:t>Incurrence Based Amounts</w:t>
      </w:r>
      <w:r>
        <w:rPr>
          <w:rFonts w:ascii="Arial" w:cs="Arial" w:eastAsia="Arial" w:hAnsi="Arial"/>
          <w:sz w:val="16"/>
          <w:szCs w:val="16"/>
          <w:color w:val="auto"/>
        </w:rPr>
        <w:t xml:space="preserve">”), it is understood and agreed that the Fixed Amounts (and any cash proceeds thereof) shall be disregarded in the calculation of the financial ratio or test applicable to the Incurrence Based Amounts in connection with such substantially concurrent Incurrence, except that Incurrences of Indebtedness and Liens constituting Fixed Amounts shall be taken into account for purposes of Incurrence Based Amounts other than Incurrence Based Amounts contained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10.2</w:t>
      </w: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420"/>
          </w:cols>
          <w:pgMar w:left="240" w:top="814" w:right="239" w:bottom="1440" w:gutter="0" w:footer="0" w:header="0"/>
        </w:sectPr>
      </w:pPr>
    </w:p>
    <w:bookmarkStart w:id="142" w:name="page143"/>
    <w:bookmarkEnd w:id="142"/>
    <w:p>
      <w:pPr>
        <w:ind w:right="140" w:firstLine="656"/>
        <w:spacing w:after="0" w:line="283" w:lineRule="auto"/>
        <w:tabs>
          <w:tab w:leader="none" w:pos="1035" w:val="left"/>
        </w:tabs>
        <w:numPr>
          <w:ilvl w:val="1"/>
          <w:numId w:val="77"/>
        </w:numPr>
        <w:rPr>
          <w:rFonts w:ascii="Arial" w:cs="Arial" w:eastAsia="Arial" w:hAnsi="Arial"/>
          <w:sz w:val="16"/>
          <w:szCs w:val="16"/>
          <w:color w:val="auto"/>
        </w:rPr>
      </w:pPr>
      <w:r>
        <w:rPr>
          <w:rFonts w:ascii="Arial" w:cs="Arial" w:eastAsia="Arial" w:hAnsi="Arial"/>
          <w:sz w:val="16"/>
          <w:szCs w:val="16"/>
          <w:color w:val="auto"/>
        </w:rPr>
        <w:t xml:space="preserve">Whenever Pro Forma Effect is to be given to a transaction, the pro forma calculations shall be made in good faith by a responsible financial or accounting officer of the Borrower (and may include, for the avoidance of doubt and without duplication, cost savings, and operating expense reductions resulting from such Investment, acquisition, merger, or consolidation which is being given Pro Forma Effect that have been or are expected to be realized;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costs savings and operating expense reductions are made in compliance with the definition of “Pro Forma Adjustment”). If any Indebtedness bears a floating rate of interest and is being given Pro Forma Effect, the interest on such Indebtedness shall be calculated as if the rate in effect on the date of determination had been the applicable rate for the entire period (taking into account for such entire period, any Hedging Obligation applicable to such Indebtedness with a remaining term of 12 months or longer, and in the case of any Hedging Obligation applicable to such Indebtedness with a remaining term of less than 12 months, taking into account such Hedging Obligation to the extent of its remaining term). Interest on a Capitalized Lease Obligation shall be deemed to accrue at an interest rate reasonably determined by a responsible financial or accounting officer of Holdings to be the rate of interest implicit in such Capitalized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(or, if lower, the greater of (i) maximum commitments under such revolving credit facilities as of the date of determination and</w:t>
      </w:r>
    </w:p>
    <w:p>
      <w:pPr>
        <w:spacing w:after="0" w:line="3" w:lineRule="exact"/>
        <w:rPr>
          <w:rFonts w:ascii="Arial" w:cs="Arial" w:eastAsia="Arial" w:hAnsi="Arial"/>
          <w:sz w:val="16"/>
          <w:szCs w:val="16"/>
          <w:color w:val="auto"/>
        </w:rPr>
      </w:pPr>
    </w:p>
    <w:p>
      <w:pPr>
        <w:jc w:val="both"/>
        <w:ind w:right="100" w:firstLine="8"/>
        <w:spacing w:after="0" w:line="277" w:lineRule="auto"/>
        <w:tabs>
          <w:tab w:leader="none" w:pos="265"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aggregate principal amount of loans outstanding under such a revolving credit facilities on such date).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may designate.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any action being taken solely in connection with a Limited Condition Transaction, for purposes of:</w:t>
      </w:r>
    </w:p>
    <w:p>
      <w:pPr>
        <w:spacing w:after="0" w:line="225" w:lineRule="exact"/>
        <w:rPr>
          <w:sz w:val="20"/>
          <w:szCs w:val="20"/>
          <w:color w:val="auto"/>
        </w:rPr>
      </w:pPr>
    </w:p>
    <w:p>
      <w:pPr>
        <w:ind w:left="660" w:firstLine="888"/>
        <w:spacing w:after="0" w:line="308" w:lineRule="auto"/>
        <w:tabs>
          <w:tab w:leader="none" w:pos="1901" w:val="left"/>
        </w:tabs>
        <w:numPr>
          <w:ilvl w:val="0"/>
          <w:numId w:val="79"/>
        </w:numPr>
        <w:rPr>
          <w:rFonts w:ascii="Arial" w:cs="Arial" w:eastAsia="Arial" w:hAnsi="Arial"/>
          <w:sz w:val="17"/>
          <w:szCs w:val="17"/>
          <w:color w:val="auto"/>
        </w:rPr>
      </w:pPr>
      <w:r>
        <w:rPr>
          <w:rFonts w:ascii="Arial" w:cs="Arial" w:eastAsia="Arial" w:hAnsi="Arial"/>
          <w:sz w:val="17"/>
          <w:szCs w:val="17"/>
          <w:color w:val="auto"/>
        </w:rPr>
        <w:t>determining compliance with any provision of this Agreement which requires the calculation of the Consolidated First Lien Secured Debt to Consolidated EBITDA Ratio, Consolidated Total Debt to Consolidated EBITDA Ratio or the Fixed Charge Coverage Ratio; or</w:t>
      </w:r>
    </w:p>
    <w:p>
      <w:pPr>
        <w:spacing w:after="0" w:line="146" w:lineRule="exact"/>
        <w:rPr>
          <w:rFonts w:ascii="Arial" w:cs="Arial" w:eastAsia="Arial" w:hAnsi="Arial"/>
          <w:sz w:val="17"/>
          <w:szCs w:val="17"/>
          <w:color w:val="auto"/>
        </w:rPr>
      </w:pPr>
    </w:p>
    <w:p>
      <w:pPr>
        <w:ind w:left="660" w:right="20" w:firstLine="888"/>
        <w:spacing w:after="0" w:line="264" w:lineRule="auto"/>
        <w:tabs>
          <w:tab w:leader="none" w:pos="1951"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other than for purposes of determining the satisfaction of the conditions precedent to extensions of credit under the Revolving Credit Commitment, determining the accuracy of representations and warranties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and/or whether a Default or Event of Default shall have occurred and be continuing under </w:t>
      </w:r>
      <w:r>
        <w:rPr>
          <w:rFonts w:ascii="Arial" w:cs="Arial" w:eastAsia="Arial" w:hAnsi="Arial"/>
          <w:sz w:val="18"/>
          <w:szCs w:val="18"/>
          <w:u w:val="single" w:color="auto"/>
          <w:color w:val="auto"/>
        </w:rPr>
        <w:t>Section 11</w:t>
      </w:r>
      <w:r>
        <w:rPr>
          <w:rFonts w:ascii="Arial" w:cs="Arial" w:eastAsia="Arial" w:hAnsi="Arial"/>
          <w:sz w:val="18"/>
          <w:szCs w:val="18"/>
          <w:color w:val="auto"/>
        </w:rPr>
        <w:t>; or</w:t>
      </w:r>
    </w:p>
    <w:p>
      <w:pPr>
        <w:spacing w:after="0" w:line="181" w:lineRule="exact"/>
        <w:rPr>
          <w:rFonts w:ascii="Arial" w:cs="Arial" w:eastAsia="Arial" w:hAnsi="Arial"/>
          <w:sz w:val="18"/>
          <w:szCs w:val="18"/>
          <w:color w:val="auto"/>
        </w:rPr>
      </w:pPr>
    </w:p>
    <w:p>
      <w:pPr>
        <w:ind w:left="660" w:firstLine="888"/>
        <w:spacing w:after="0" w:line="277" w:lineRule="auto"/>
        <w:tabs>
          <w:tab w:leader="none" w:pos="2001" w:val="left"/>
        </w:tabs>
        <w:numPr>
          <w:ilvl w:val="0"/>
          <w:numId w:val="79"/>
        </w:numPr>
        <w:rPr>
          <w:rFonts w:ascii="Arial" w:cs="Arial" w:eastAsia="Arial" w:hAnsi="Arial"/>
          <w:sz w:val="18"/>
          <w:szCs w:val="18"/>
          <w:color w:val="auto"/>
        </w:rPr>
      </w:pPr>
      <w:r>
        <w:rPr>
          <w:rFonts w:ascii="Arial" w:cs="Arial" w:eastAsia="Arial" w:hAnsi="Arial"/>
          <w:sz w:val="18"/>
          <w:szCs w:val="18"/>
          <w:color w:val="auto"/>
        </w:rPr>
        <w:t>testing availability under baskets set forth in this agreement (including baskets measured as a percentage of Consolidated EBITDA or Consolidated Total Assets);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420"/>
          </w:cols>
          <w:pgMar w:left="240" w:top="814" w:right="239" w:bottom="1440" w:gutter="0" w:footer="0" w:header="0"/>
        </w:sectPr>
      </w:pPr>
    </w:p>
    <w:bookmarkStart w:id="143" w:name="page144"/>
    <w:bookmarkEnd w:id="143"/>
    <w:p>
      <w:pPr>
        <w:spacing w:after="0" w:line="267" w:lineRule="auto"/>
        <w:rPr>
          <w:sz w:val="20"/>
          <w:szCs w:val="20"/>
          <w:color w:val="auto"/>
        </w:rPr>
      </w:pPr>
      <w:r>
        <w:rPr>
          <w:rFonts w:ascii="Arial" w:cs="Arial" w:eastAsia="Arial" w:hAnsi="Arial"/>
          <w:sz w:val="17"/>
          <w:szCs w:val="17"/>
          <w:color w:val="auto"/>
        </w:rPr>
        <w:t>in each case, at the option of the Borrower (the Borrower’s election to exercise such option in connection with any Limited Condition Transaction, an “</w:t>
      </w:r>
      <w:r>
        <w:rPr>
          <w:rFonts w:ascii="Arial" w:cs="Arial" w:eastAsia="Arial" w:hAnsi="Arial"/>
          <w:sz w:val="17"/>
          <w:szCs w:val="17"/>
          <w:b w:val="1"/>
          <w:bCs w:val="1"/>
          <w:color w:val="auto"/>
        </w:rPr>
        <w:t>LCT</w:t>
      </w:r>
      <w:r>
        <w:rPr>
          <w:rFonts w:ascii="Arial" w:cs="Arial" w:eastAsia="Arial" w:hAnsi="Arial"/>
          <w:sz w:val="17"/>
          <w:szCs w:val="17"/>
          <w:color w:val="auto"/>
        </w:rPr>
        <w:t xml:space="preserve"> </w:t>
      </w:r>
      <w:r>
        <w:rPr>
          <w:rFonts w:ascii="Arial" w:cs="Arial" w:eastAsia="Arial" w:hAnsi="Arial"/>
          <w:sz w:val="17"/>
          <w:szCs w:val="17"/>
          <w:b w:val="1"/>
          <w:bCs w:val="1"/>
          <w:color w:val="auto"/>
        </w:rPr>
        <w:t>Election</w:t>
      </w:r>
      <w:r>
        <w:rPr>
          <w:rFonts w:ascii="Arial" w:cs="Arial" w:eastAsia="Arial" w:hAnsi="Arial"/>
          <w:sz w:val="17"/>
          <w:szCs w:val="17"/>
          <w:color w:val="auto"/>
        </w:rPr>
        <w:t>”) (it being understood and agreed that the Borrower may elect to revoke any LCT Election in its sole discretion), the date of determination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whether any such action is permitted hereunder, shall be deemed to be the date the definitive agreements for such Limited Condition Transaction are entered into (the “</w:t>
      </w:r>
      <w:r>
        <w:rPr>
          <w:rFonts w:ascii="Arial" w:cs="Arial" w:eastAsia="Arial" w:hAnsi="Arial"/>
          <w:sz w:val="17"/>
          <w:szCs w:val="17"/>
          <w:b w:val="1"/>
          <w:bCs w:val="1"/>
          <w:color w:val="auto"/>
        </w:rPr>
        <w:t>LCT Test Date</w:t>
      </w:r>
      <w:r>
        <w:rPr>
          <w:rFonts w:ascii="Arial" w:cs="Arial" w:eastAsia="Arial" w:hAnsi="Arial"/>
          <w:sz w:val="17"/>
          <w:szCs w:val="17"/>
          <w:color w:val="auto"/>
        </w:rPr>
        <w:t>”), and if, after giving Pro Forma Effect to the Limited Condition Transaction and the other transactions to be entered into in connection therewith (including any Incurrence of Indebtedness and the use of proceeds thereof) as if they had occurred at the beginning of the most recent Test Period ending prior to the LCT Test Date, the Borrower could have taken such action on the relevant LCT Test Date in compliance with such ratio or basket, such ratio or basket shall be deemed to have been complied with. For the avoidance of doubt, if the Borrower has made an LCT Election and any of the ratios or baskets for which compliance was determined or tested as of the LCT Test Date are exceeded as a result of fluctuations in any such ratio or basket, including due to fluctuations in Consolidated EBITDA of the Borrower or the Person subject to such Limited Condition Transaction, at or prior to the consummation of the relevant transaction or action, such baskets or ratios will not be deemed to have been exceeded as a result of such fluctuations. If the Borrower has made an LCT Election for any Limited Condition Transaction, then in connection with any subsequent calculation of any ratio or basket availability with respect to the Incurrence of Indebtedness or Liens, or the making of Restricted Payments, mergers, the conveyance, lease or other transfer of all or substantially all of the assets of the Borrower, the prepayment, redemption, purchase, defeasance or other satisfaction of Indebtedness, or the designation of an Unrestricted Subsidiary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and the use of proceeds thereof) have been consummated until such time as the Limited Condition Transaction has been consummated or the definitive agreement with respect thereto has been terminated or expires.</w:t>
      </w:r>
    </w:p>
    <w:p>
      <w:pPr>
        <w:spacing w:after="0" w:line="194" w:lineRule="exact"/>
        <w:rPr>
          <w:sz w:val="20"/>
          <w:szCs w:val="20"/>
          <w:color w:val="auto"/>
        </w:rPr>
      </w:pPr>
    </w:p>
    <w:p>
      <w:pPr>
        <w:ind w:firstLine="656"/>
        <w:spacing w:after="0" w:line="259" w:lineRule="auto"/>
        <w:tabs>
          <w:tab w:leader="none" w:pos="1028"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or in any classification under GAAP of any Person, business, assets or operations in respect of which a definitive agreement for the disposition thereof has been entered into as discontinued operations, no Pro Forma Effect shall be given to any discontinued operations (and the EBITDA attributable to any such Person, business, assets or operations shall not be excluded for any purposes hereunder) until such disposition shall have been consummated.</w:t>
      </w:r>
    </w:p>
    <w:p>
      <w:pPr>
        <w:spacing w:after="0" w:line="186" w:lineRule="exact"/>
        <w:rPr>
          <w:rFonts w:ascii="Arial" w:cs="Arial" w:eastAsia="Arial" w:hAnsi="Arial"/>
          <w:sz w:val="18"/>
          <w:szCs w:val="18"/>
          <w:color w:val="auto"/>
        </w:rPr>
      </w:pPr>
    </w:p>
    <w:p>
      <w:pPr>
        <w:ind w:firstLine="656"/>
        <w:spacing w:after="0" w:line="277" w:lineRule="auto"/>
        <w:tabs>
          <w:tab w:leader="none" w:pos="1028"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determination of Consolidated Total Assets shall be made by reference to the last day of the Test Period most recently ended on or prior to the relevant date of determination.</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Credit Documents, in connection with any division or plan of division under Delaware law (or any comparable event under a different jurisdiction’s laws): (a) if any asset, right, obligation or liability of any Person becomes an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340"/>
          </w:cols>
          <w:pgMar w:left="240" w:top="810" w:right="319" w:bottom="1440" w:gutter="0" w:footer="0" w:header="0"/>
        </w:sectPr>
      </w:pPr>
    </w:p>
    <w:bookmarkStart w:id="144" w:name="page145"/>
    <w:bookmarkEnd w:id="144"/>
    <w:p>
      <w:pPr>
        <w:ind w:firstLine="648"/>
        <w:spacing w:after="0" w:line="267"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Amendment and Restatement</w:t>
      </w:r>
      <w:r>
        <w:rPr>
          <w:rFonts w:ascii="Arial" w:cs="Arial" w:eastAsia="Arial" w:hAnsi="Arial"/>
          <w:sz w:val="17"/>
          <w:szCs w:val="17"/>
          <w:color w:val="auto"/>
        </w:rPr>
        <w:t xml:space="preserve">. This Agreement shall amend and restate the Original Credit Agreement in its entirety, with the parties hereby agreeing that there is no novation of the Original Credit Agreement or any other Credit Document and from and after the effectiveness of this Agreement, the rights and obligations of the parties under the Original Credit Agreement shall be subsumed and governed by this Agreement. From and after the effectiveness of this Agreement, the Obligations under the Original Credit Agreement shall continue as Obligations under this Agreement and the Credit Documents until otherwise paid in accordance with the terms hereof. The Security Documents and the grant of Liens on all of the Collateral described therein do and shall continue to secure the payment of all Obligations. Without limiting the generality of the foregoing, the parties hereto acknowledge and agree that the Liens securing the “Obligations” as defined in the Original Credit Agreement, shall from and after the Restatement Effective Date secure the payment and performance of all Obligations for the benefit of the Collateral Agent and the Secured Parties, and all such Liens shall continue in full force and effect after giving effect to this Agreement and are hereby confirmed and reaffirmed by each of the Credit Parties. The parties hereto further acknowledge and agree that all “Collateral Documents” as defined in the Original Credit Agreement shall remain in full force and effect after the Restatement Effective Date in favor of and for the benefit of the Collateral Agent and the Secured Parties (with each reference therein to the collateral agent, the credit agreement or a credit document being a reference to the Collateral Agent, this Agreement or the other Credit Documents, as applicable), and each Credit Party hereby confirms and ratifies its obligations thereunder. For the avoidance of doubt, unless otherwise expressly provided herein, upon the Restatement Effective Date, any basket which permits a certain amount of a given type of transaction over the life of the Credit Agreement (however denominated) shall be reset such that any use of such baskets on or subsequent to the Closing Date but prior to the Restatement Effective Date shall be disregarded for purposes of testing such basket;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shall be construed to (i) prohibit any transaction occurring prior to the Restatement Effective Date utilizing the corresponding baskets under the Original Credit Agreement or (ii) apply to the calculation of any adjustment to Consolidated EBITDA (or any related definition).</w:t>
      </w:r>
    </w:p>
    <w:p>
      <w:pPr>
        <w:spacing w:after="0" w:line="19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color w:val="auto"/>
        </w:rPr>
        <w:t>Amount and Terms of Credit</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Commitments.</w:t>
      </w:r>
    </w:p>
    <w:p>
      <w:pPr>
        <w:spacing w:after="0" w:line="225" w:lineRule="exact"/>
        <w:rPr>
          <w:sz w:val="20"/>
          <w:szCs w:val="20"/>
          <w:color w:val="auto"/>
        </w:rPr>
      </w:pPr>
    </w:p>
    <w:p>
      <w:pPr>
        <w:ind w:right="120" w:firstLine="656"/>
        <w:spacing w:after="0" w:line="271" w:lineRule="auto"/>
        <w:tabs>
          <w:tab w:leader="none" w:pos="1028"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Term A Loans</w:t>
      </w:r>
      <w:r>
        <w:rPr>
          <w:rFonts w:ascii="Arial" w:cs="Arial" w:eastAsia="Arial" w:hAnsi="Arial"/>
          <w:sz w:val="17"/>
          <w:szCs w:val="17"/>
          <w:i w:val="1"/>
          <w:iCs w:val="1"/>
          <w:color w:val="auto"/>
        </w:rPr>
        <w:t>.</w:t>
      </w:r>
      <w:r>
        <w:rPr>
          <w:rFonts w:ascii="Arial" w:cs="Arial" w:eastAsia="Arial" w:hAnsi="Arial"/>
          <w:sz w:val="17"/>
          <w:szCs w:val="17"/>
          <w:color w:val="auto"/>
        </w:rPr>
        <w:t xml:space="preserve"> Subject to and upon the terms and conditions of the Restatement Agreement and this Agreement, the Term A Lenders agree to make the Term A Loans to the Borrower on the Restatement Effective Date, which Term A Loans shall not exceed for any such Term A Lender the Term A Loan Commitment of such Lender and in the aggregate shall not exceed $420,000,000. Such Term Loans (i) may at the option of the Borrower be incurred and maintained as, and/or converted into, ABR Loans or LIBOR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Term Loans made by each of the Lenders pursuant to the same Borrowing shall, unless otherwise specifically provided herein, consist entirely of Term Loans of the same Type, (ii) may be repaid or prepaid in accordance with the provisions hereof, but once repaid or prepaid, may not be reborrowed, (iii) shall not exceed for any such Lender the Term A Loan Commitment of such Lender, and (iv) shall not exceed in the aggregate the Total Term A Loan Commitments. On the Term A Loan Maturity Date, all then unpaid Term A Loans shall be repaid in full in Dollars.</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380"/>
          </w:cols>
          <w:pgMar w:left="240" w:top="814" w:right="279" w:bottom="1440" w:gutter="0" w:footer="0" w:header="0"/>
        </w:sectPr>
      </w:pPr>
    </w:p>
    <w:bookmarkStart w:id="145" w:name="page146"/>
    <w:bookmarkEnd w:id="145"/>
    <w:p>
      <w:pPr>
        <w:ind w:left="-20" w:right="40" w:firstLine="656"/>
        <w:spacing w:after="0" w:line="286" w:lineRule="auto"/>
        <w:tabs>
          <w:tab w:leader="none" w:pos="1018" w:val="left"/>
        </w:tabs>
        <w:numPr>
          <w:ilvl w:val="0"/>
          <w:numId w:val="82"/>
        </w:numPr>
        <w:rPr>
          <w:rFonts w:ascii="Arial" w:cs="Arial" w:eastAsia="Arial" w:hAnsi="Arial"/>
          <w:sz w:val="16"/>
          <w:szCs w:val="16"/>
          <w:color w:val="auto"/>
        </w:rPr>
      </w:pPr>
      <w:r>
        <w:rPr>
          <w:rFonts w:ascii="Arial" w:cs="Arial" w:eastAsia="Arial" w:hAnsi="Arial"/>
          <w:sz w:val="16"/>
          <w:szCs w:val="16"/>
          <w:color w:val="auto"/>
        </w:rPr>
        <w:t>Subject to and upon the terms and conditions herein set forth each Revolving Credit Lender severally agrees to make Revolving Credit Loans denominated in Dollars to the Borrower from its applicable lending office (each, a “</w:t>
      </w:r>
      <w:r>
        <w:rPr>
          <w:rFonts w:ascii="Arial" w:cs="Arial" w:eastAsia="Arial" w:hAnsi="Arial"/>
          <w:sz w:val="16"/>
          <w:szCs w:val="16"/>
          <w:b w:val="1"/>
          <w:bCs w:val="1"/>
          <w:color w:val="auto"/>
        </w:rPr>
        <w:t>Revolving Credit Loan</w:t>
      </w:r>
      <w:r>
        <w:rPr>
          <w:rFonts w:ascii="Arial" w:cs="Arial" w:eastAsia="Arial" w:hAnsi="Arial"/>
          <w:sz w:val="16"/>
          <w:szCs w:val="16"/>
          <w:color w:val="auto"/>
        </w:rPr>
        <w:t xml:space="preserve">”) in an aggregate principal amount not to exceed at any time outstanding the amount of such Revolving Credit Lender’s Revolving Credit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of the foregoing such Revolving Credit Loans (A) shall be made at any time and from time to time on and after the Restatement Effective Date and prior to the Revolving Credit Maturity Date, (B) may, at the option of the Borrower be incurred and maintained as, and/or converted into, ABR Loans or LIBOR Loans that are Revolving Credit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Revolving Credit Loans made by each of the Lenders pursuant to the same Borrowing shall, unless otherwise specifically provided herein, consist entirely of Revolving Credit Loans of the same Type, (C) may be repaid (without premium or penalty) and reborrowed in accordance with the provisions hereof, (D) shall not, for any Lender at any time, after giving effect thereto and to the application of the proceeds thereof, result in such Revolving Credit Lender’s Revolving Credit Exposure in respect of any Class of Revolving Loans at such time exceeding such Revolving Credit Lender’s Revolving Credit Commitment in respect of such Class of Revolving Loan at such time and (E) shall not, after giving effect thereto and to the application of the proceeds thereof, result at any time in the aggregate amount of the Revolving Credit Lenders’ Revolving Credit Exposures at such time exceeding the Total Revolving Credit Commitment then in effect or the aggregate amount of the Revolving Credit Lenders’ Revolving Credit Exposures of any Class of Revolving Loans at such time exceeding the aggregate Revolving Credit Commitment with respect to such Class.</w:t>
      </w:r>
    </w:p>
    <w:p>
      <w:pPr>
        <w:spacing w:after="0" w:line="174" w:lineRule="exact"/>
        <w:rPr>
          <w:rFonts w:ascii="Arial" w:cs="Arial" w:eastAsia="Arial" w:hAnsi="Arial"/>
          <w:sz w:val="16"/>
          <w:szCs w:val="16"/>
          <w:color w:val="auto"/>
        </w:rPr>
      </w:pPr>
    </w:p>
    <w:p>
      <w:pPr>
        <w:ind w:left="-20" w:firstLine="656"/>
        <w:spacing w:after="0" w:line="270" w:lineRule="auto"/>
        <w:tabs>
          <w:tab w:leader="none" w:pos="1008" w:val="left"/>
        </w:tabs>
        <w:numPr>
          <w:ilvl w:val="0"/>
          <w:numId w:val="82"/>
        </w:numPr>
        <w:rPr>
          <w:rFonts w:ascii="Arial" w:cs="Arial" w:eastAsia="Arial" w:hAnsi="Arial"/>
          <w:sz w:val="17"/>
          <w:szCs w:val="17"/>
          <w:color w:val="auto"/>
        </w:rPr>
      </w:pPr>
      <w:r>
        <w:rPr>
          <w:rFonts w:ascii="Arial" w:cs="Arial" w:eastAsia="Arial" w:hAnsi="Arial"/>
          <w:sz w:val="17"/>
          <w:szCs w:val="17"/>
          <w:color w:val="auto"/>
        </w:rPr>
        <w:t>Subject to and upon the terms and conditions herein set forth, the Swingline Lender in its individual capacity agrees, at any time and from time to time on and after the Restatement Effective Date and prior to the Swingline Maturity Date, to make a loan or loans (each, a “</w:t>
      </w:r>
      <w:r>
        <w:rPr>
          <w:rFonts w:ascii="Arial" w:cs="Arial" w:eastAsia="Arial" w:hAnsi="Arial"/>
          <w:sz w:val="17"/>
          <w:szCs w:val="17"/>
          <w:b w:val="1"/>
          <w:bCs w:val="1"/>
          <w:color w:val="auto"/>
        </w:rPr>
        <w:t>Swingline Loan</w:t>
      </w:r>
      <w:r>
        <w:rPr>
          <w:rFonts w:ascii="Arial" w:cs="Arial" w:eastAsia="Arial" w:hAnsi="Arial"/>
          <w:sz w:val="17"/>
          <w:szCs w:val="17"/>
          <w:color w:val="auto"/>
        </w:rPr>
        <w:t>” and, collectively the “</w:t>
      </w:r>
      <w:r>
        <w:rPr>
          <w:rFonts w:ascii="Arial" w:cs="Arial" w:eastAsia="Arial" w:hAnsi="Arial"/>
          <w:sz w:val="17"/>
          <w:szCs w:val="17"/>
          <w:b w:val="1"/>
          <w:bCs w:val="1"/>
          <w:color w:val="auto"/>
        </w:rPr>
        <w:t>Swingline Loans</w:t>
      </w:r>
      <w:r>
        <w:rPr>
          <w:rFonts w:ascii="Arial" w:cs="Arial" w:eastAsia="Arial" w:hAnsi="Arial"/>
          <w:sz w:val="17"/>
          <w:szCs w:val="17"/>
          <w:color w:val="auto"/>
        </w:rPr>
        <w:t xml:space="preserve">”) to the Borrower, which Swingline Loans (i) shall be ABR Loans, (ii) shall have the benefit of the provisions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2.1(d)</w:t>
      </w:r>
      <w:r>
        <w:rPr>
          <w:rFonts w:ascii="Arial" w:cs="Arial" w:eastAsia="Arial" w:hAnsi="Arial"/>
          <w:sz w:val="17"/>
          <w:szCs w:val="17"/>
          <w:color w:val="auto"/>
        </w:rPr>
        <w:t xml:space="preserve">, (iii) shall not exceed at any time outstanding the Swingline Commitment, (iv) shall not, after giving effect thereto and to the application of the proceeds thereof, result at any time in the aggregate amount of the Revolving Credit Lenders’ Revolving Credit Exposures at such time exceeding the Revolving Credit Commitment then in effect, and (v) may be repaid and reborrowed in accordance with the provisions hereof. On the Swingline Maturity Date, all Swingline Loans shall be repaid in full. The Swingline Lender shall not make any Swingline Loan after receiving a written notice from Holdings, the Borrower, the Administrative Agent or the Required Revolving Credit Lenders stating that a Default or Event of Default exists and is continuing until such time as the Swingline Lender shall have received written notice of (i) rescission of all such notices from the party or parties originally delivering such notice or (ii) the waiver of such Default or Event of Default in accordance with the provisions of </w:t>
      </w:r>
      <w:r>
        <w:rPr>
          <w:rFonts w:ascii="Arial" w:cs="Arial" w:eastAsia="Arial" w:hAnsi="Arial"/>
          <w:sz w:val="17"/>
          <w:szCs w:val="17"/>
          <w:u w:val="single" w:color="auto"/>
          <w:color w:val="auto"/>
        </w:rPr>
        <w:t>Section 13.1</w:t>
      </w:r>
      <w:r>
        <w:rPr>
          <w:rFonts w:ascii="Arial" w:cs="Arial" w:eastAsia="Arial" w:hAnsi="Arial"/>
          <w:sz w:val="17"/>
          <w:szCs w:val="17"/>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380"/>
          </w:cols>
          <w:pgMar w:left="260" w:top="814" w:right="259" w:bottom="1440" w:gutter="0" w:footer="0" w:header="0"/>
        </w:sectPr>
      </w:pPr>
    </w:p>
    <w:bookmarkStart w:id="146" w:name="page147"/>
    <w:bookmarkEnd w:id="146"/>
    <w:p>
      <w:pPr>
        <w:ind w:firstLine="656"/>
        <w:spacing w:after="0" w:line="268" w:lineRule="auto"/>
        <w:tabs>
          <w:tab w:leader="none" w:pos="1038" w:val="left"/>
        </w:tabs>
        <w:numPr>
          <w:ilvl w:val="0"/>
          <w:numId w:val="83"/>
        </w:numPr>
        <w:rPr>
          <w:rFonts w:ascii="Arial" w:cs="Arial" w:eastAsia="Arial" w:hAnsi="Arial"/>
          <w:sz w:val="17"/>
          <w:szCs w:val="17"/>
          <w:color w:val="auto"/>
        </w:rPr>
      </w:pPr>
      <w:r>
        <w:rPr>
          <w:rFonts w:ascii="Arial" w:cs="Arial" w:eastAsia="Arial" w:hAnsi="Arial"/>
          <w:sz w:val="17"/>
          <w:szCs w:val="17"/>
          <w:color w:val="auto"/>
        </w:rPr>
        <w:t>On any Business Day, the Swingline Lender may, in its sole discretion, give notice to each Revolving Credit Lender that all then-outstanding Swingline Loans shall be funded with a Borrowing of Revolving Credit Loans, in which case (i) Revolving Credit Loans constituting ABR Loans shall be made on the immediately succeeding Business Day (each such Borrowing, a “</w:t>
      </w:r>
      <w:r>
        <w:rPr>
          <w:rFonts w:ascii="Arial" w:cs="Arial" w:eastAsia="Arial" w:hAnsi="Arial"/>
          <w:sz w:val="17"/>
          <w:szCs w:val="17"/>
          <w:b w:val="1"/>
          <w:bCs w:val="1"/>
          <w:color w:val="auto"/>
        </w:rPr>
        <w:t>Mandatory Borrowing</w:t>
      </w:r>
      <w:r>
        <w:rPr>
          <w:rFonts w:ascii="Arial" w:cs="Arial" w:eastAsia="Arial" w:hAnsi="Arial"/>
          <w:sz w:val="17"/>
          <w:szCs w:val="17"/>
          <w:color w:val="auto"/>
        </w:rPr>
        <w:t xml:space="preserve">”) by each Revolving Credit Lender pro rata based on each Revolving Credit Lender’s Revolving Credit Commitment Percentage, and the proceeds thereof shall be applied directly to the Swingline Lender to repay the Swingline Lender for such outstanding Swingline Loans. Each Revolving Credit Lender hereby irrevocably agrees to make such Revolving Credit Loans upon one Business Day’s notice pursuant to each Mandatory Borrowing in the amount and in the manner specified in the preceding sentence and on the date specified to it in writing by the Swingline Lender notwithstanding (i) that the amount of the Mandatory Borrowing may not comply with the minimum amount for each Borrowing specified in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(ii) whether any conditions specified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are then satisfied, (iii) whether a Default or an Event of Default has occurred and is continuing, (iv) the date of such Mandatory Borrowing, or (v) any reduction in the Total Revolving Credit Commitment after any such Swingline Loans were made. In the event that, in the sole judgment of the Swingline Lender, any Mandatory Borrowing cannot for any reason be made on the date otherwise required above (including as a result of the commencement of a proceeding under the Bankruptcy Code in respect of the Borrower), each Revolving Credit Lender hereby agrees that it shall forthwith purchase from the Swingline Lender (without recourse or warranty) such participation of the outstanding Swingline Loans as shall be necessary to cause the Lenders to share in such Swingline Loans ratably based upon their respective Revolving Credit Commitment Percentages;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principal and interest payable on such Swingline Loans shall be for the account of the Swingline Lender until the date the respective participation is purchased and, to the extent attributable to the purchased participation, shall be payable to such Lender purchasing same from and after such date of purchase.</w:t>
      </w:r>
    </w:p>
    <w:p>
      <w:pPr>
        <w:spacing w:after="0" w:line="176" w:lineRule="exact"/>
        <w:rPr>
          <w:rFonts w:ascii="Arial" w:cs="Arial" w:eastAsia="Arial" w:hAnsi="Arial"/>
          <w:sz w:val="17"/>
          <w:szCs w:val="17"/>
          <w:color w:val="auto"/>
        </w:rPr>
      </w:pPr>
    </w:p>
    <w:p>
      <w:pPr>
        <w:ind w:right="20" w:firstLine="656"/>
        <w:spacing w:after="0" w:line="288" w:lineRule="auto"/>
        <w:tabs>
          <w:tab w:leader="none" w:pos="1028"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the maturity date shall have occurred in respect of any tranche of Revolving Credit Commitments (the “</w:t>
      </w:r>
      <w:r>
        <w:rPr>
          <w:rFonts w:ascii="Arial" w:cs="Arial" w:eastAsia="Arial" w:hAnsi="Arial"/>
          <w:sz w:val="16"/>
          <w:szCs w:val="16"/>
          <w:b w:val="1"/>
          <w:bCs w:val="1"/>
          <w:color w:val="auto"/>
        </w:rPr>
        <w:t>Expiring Credit Commitment</w:t>
      </w:r>
      <w:r>
        <w:rPr>
          <w:rFonts w:ascii="Arial" w:cs="Arial" w:eastAsia="Arial" w:hAnsi="Arial"/>
          <w:sz w:val="16"/>
          <w:szCs w:val="16"/>
          <w:color w:val="auto"/>
        </w:rPr>
        <w:t>”) at a time when another tranche or tranches of Revolving Credit Commitments is or are in effect with a longer maturity date (each a “</w:t>
      </w:r>
      <w:r>
        <w:rPr>
          <w:rFonts w:ascii="Arial" w:cs="Arial" w:eastAsia="Arial" w:hAnsi="Arial"/>
          <w:sz w:val="16"/>
          <w:szCs w:val="16"/>
          <w:b w:val="1"/>
          <w:bCs w:val="1"/>
          <w:color w:val="auto"/>
        </w:rPr>
        <w:t>Non-Expiring Credit</w:t>
      </w:r>
      <w:r>
        <w:rPr>
          <w:rFonts w:ascii="Arial" w:cs="Arial" w:eastAsia="Arial" w:hAnsi="Arial"/>
          <w:sz w:val="16"/>
          <w:szCs w:val="16"/>
          <w:color w:val="auto"/>
        </w:rPr>
        <w:t xml:space="preserve"> </w:t>
      </w:r>
      <w:r>
        <w:rPr>
          <w:rFonts w:ascii="Arial" w:cs="Arial" w:eastAsia="Arial" w:hAnsi="Arial"/>
          <w:sz w:val="16"/>
          <w:szCs w:val="16"/>
          <w:b w:val="1"/>
          <w:bCs w:val="1"/>
          <w:color w:val="auto"/>
        </w:rPr>
        <w:t>Commitment</w:t>
      </w:r>
      <w:r>
        <w:rPr>
          <w:rFonts w:ascii="Arial" w:cs="Arial" w:eastAsia="Arial" w:hAnsi="Arial"/>
          <w:sz w:val="16"/>
          <w:szCs w:val="16"/>
          <w:color w:val="auto"/>
        </w:rPr>
        <w:t>” and collectively, the “</w:t>
      </w:r>
      <w:r>
        <w:rPr>
          <w:rFonts w:ascii="Arial" w:cs="Arial" w:eastAsia="Arial" w:hAnsi="Arial"/>
          <w:sz w:val="16"/>
          <w:szCs w:val="16"/>
          <w:b w:val="1"/>
          <w:bCs w:val="1"/>
          <w:color w:val="auto"/>
        </w:rPr>
        <w:t>Non-Expiring Credit Commitments</w:t>
      </w:r>
      <w:r>
        <w:rPr>
          <w:rFonts w:ascii="Arial" w:cs="Arial" w:eastAsia="Arial" w:hAnsi="Arial"/>
          <w:sz w:val="16"/>
          <w:szCs w:val="16"/>
          <w:color w:val="auto"/>
        </w:rPr>
        <w:t>”), then with respect to each outstanding Swingline Loan, if consented to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Swingline Lender (such consent not to be unreasonably withheld, conditioned or delayed), on the earliest occurring maturity date such Swingline Loan shall be deemed reallocated to the tranche or tranches of the Non-Expiring Credit Commitments on a pro rata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to the extent that the amount of such reallocation would cause the aggregate credit exposure to exceed the aggregate amount of such Non-Expiring Credit Commitments, immediately prior to such reallocation the amount of Swing Line Loans to be reallocated equal to such excess shall be repaid or Cash Collateralized and (y) notwithstanding the foregoing, if a Default or Event of Default has occurred and is continuing, the Borrower shall still be obligated to pay Swingline Loans allocated to the Revolving Credit Lenders holding the Expiring Credit Commitments at the maturity date of the Expiring Credit Commitment or if the Loans have been accelerated prior to the maturity date of the Expiring Credit Commitment. Upon the maturity date of any tranche of Revolving Credit Commitments, the sublimit for Swingline Loans may be reduced as agreed between the Swingline Lender and the Borrower, without the consent of any other Person.</w:t>
      </w:r>
    </w:p>
    <w:p>
      <w:pPr>
        <w:spacing w:after="0" w:line="16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Minimum Amount of Each Borrowing; Maximum Number of Borrowings</w:t>
      </w:r>
      <w:r>
        <w:rPr>
          <w:rFonts w:ascii="Arial" w:cs="Arial" w:eastAsia="Arial" w:hAnsi="Arial"/>
          <w:sz w:val="18"/>
          <w:szCs w:val="18"/>
          <w:color w:val="auto"/>
        </w:rPr>
        <w:t xml:space="preserve">. The aggregate principal amount of each Borrowing of Term Loans or Revolving Credit Loans shall be in a minimum amount of at least the Minimum Borrowing Amount for such Type of Loans and in a multiple of $100,000 in excess thereof and Swingline Loans shall be in a minimum amount of $500,000 and in a multiple of $100,000 in excess thereof (except that Mandatory Borrowings shall be made in the amounts required by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and Revolving Credit Loans to reimburse the Letter of Credit Issuer with respect to any Unpaid Drawing shall be made in the amounts required by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as applicable). More than one Borrowing may be incurred on any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no time shall there be outstanding more than five Borrowings of LIBOR Loans that are Term Loans and ten Borrowings of LIBOR Loans that are Revolving Credit Loans under this Agreement.</w:t>
      </w:r>
    </w:p>
    <w:p>
      <w:pPr>
        <w:spacing w:after="0" w:line="189"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Notice of Borrowing</w:t>
      </w:r>
      <w:r>
        <w:rPr>
          <w:rFonts w:ascii="Arial" w:cs="Arial" w:eastAsia="Arial" w:hAnsi="Arial"/>
          <w:sz w:val="17"/>
          <w:szCs w:val="17"/>
          <w:color w:val="auto"/>
        </w:rPr>
        <w:t>.</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1420"/>
          </w:cols>
          <w:pgMar w:left="240" w:top="814" w:right="239" w:bottom="1440" w:gutter="0" w:footer="0" w:header="0"/>
        </w:sectPr>
      </w:pPr>
    </w:p>
    <w:bookmarkStart w:id="147" w:name="page148"/>
    <w:bookmarkEnd w:id="147"/>
    <w:p>
      <w:pPr>
        <w:ind w:left="-20" w:firstLine="656"/>
        <w:spacing w:after="0" w:line="268" w:lineRule="auto"/>
        <w:tabs>
          <w:tab w:leader="none" w:pos="1005"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Borrower shall give the Administrative Agent at the Administrative Agent’s Office prior to 12:00 p.m. (New York City time) (i) in the case of a Borrowing of Term A Loans that are to be ABR Loans, at least one Business Day’s prior written notice and (ii) in the case of a Borrowing of Term A Loans to be made on the Restatement Effective Date if such Term A Loans are to be LIBOR Loans, at least two Business Day’s prior written notice. Such notice (a “</w:t>
      </w:r>
      <w:r>
        <w:rPr>
          <w:rFonts w:ascii="Arial" w:cs="Arial" w:eastAsia="Arial" w:hAnsi="Arial"/>
          <w:sz w:val="17"/>
          <w:szCs w:val="17"/>
          <w:b w:val="1"/>
          <w:bCs w:val="1"/>
          <w:color w:val="auto"/>
        </w:rPr>
        <w:t>Notice of Borrowing</w:t>
      </w:r>
      <w:r>
        <w:rPr>
          <w:rFonts w:ascii="Arial" w:cs="Arial" w:eastAsia="Arial" w:hAnsi="Arial"/>
          <w:sz w:val="17"/>
          <w:szCs w:val="17"/>
          <w:color w:val="auto"/>
        </w:rPr>
        <w:t>”) shall specify (A) the aggregate principal amount of the Term Loans to be made, (B) the date of the Borrowing (which shall be the Restatement Effective Date) and (C) whether the Term A Loans shall consist of ABR Loans and/or LIBOR Loans and, if the Term A Loans are to include LIBOR Loans, the Interest Period to be initially applicable thereto. A Notice of Borrowing may be in such other form as may be approved by the Administrative Agent (including any form on an electronic platform or electronic transmission system as shall be approved by the Administrative Agent), appropriately completed and signed by an Authorized Officer of the Borrower. A Notice of Borrowing may be given by (x) telephone or (y) a written Notice of Borrowing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telephonic notice must be confirmed promptly by delivery to the Administrative Agent of a written Notice of Borrowing. If no election as to the Type of Borrowing is specified in any such notice, then the requested Borrowing shall be an ABR Borrowing. If no Interest Period with respect to any Borrowing of LIBOR Loans is specified in any such notice, then the Borrower shall be deemed to have selected an Interest Period of one month’s duration. The Administrative Agent shall promptly advise the applicable Lenders of any notice given pursuant to this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(and the contents thereof), and of each Lender’s pro rata share of the requested Borrowing.</w:t>
      </w:r>
    </w:p>
    <w:p>
      <w:pPr>
        <w:spacing w:after="0" w:line="187" w:lineRule="exact"/>
        <w:rPr>
          <w:rFonts w:ascii="Arial" w:cs="Arial" w:eastAsia="Arial" w:hAnsi="Arial"/>
          <w:sz w:val="17"/>
          <w:szCs w:val="17"/>
          <w:color w:val="auto"/>
        </w:rPr>
      </w:pPr>
    </w:p>
    <w:p>
      <w:pPr>
        <w:ind w:left="-20" w:firstLine="656"/>
        <w:spacing w:after="0" w:line="253" w:lineRule="auto"/>
        <w:tabs>
          <w:tab w:leader="none" w:pos="1015"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Whenever the Borrower desires to incur Revolving Credit Loans (other than Mandatory Borrowings or borrowings to repay Unpaid Drawings), the Borrower shall give the Administrative Agent at the Administrative Agent’s Office, (i) prior to 12:00 noon (New York City Time) at least three Business Days’ prior written notice of each Borrowing of LIBOR Loans that are Revolving Credit Loans and (ii) prior to 10:00 a.m. (New York City time) on the day of such Borrowing prior written notice of each Borrowing of Revolving Credit Loans that are ABR Loans. Such Notice may be given by telephone;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telephonic notice must be confirmed promptly by delivery to the Administrative Agent of a Notice of Borrowing. Each such Notice of Borrowing, except as otherwise expressly provided in </w:t>
      </w:r>
      <w:r>
        <w:rPr>
          <w:rFonts w:ascii="Arial" w:cs="Arial" w:eastAsia="Arial" w:hAnsi="Arial"/>
          <w:sz w:val="18"/>
          <w:szCs w:val="18"/>
          <w:u w:val="single" w:color="auto"/>
          <w:color w:val="auto"/>
        </w:rPr>
        <w:t>Section 2.10</w:t>
      </w:r>
      <w:r>
        <w:rPr>
          <w:rFonts w:ascii="Arial" w:cs="Arial" w:eastAsia="Arial" w:hAnsi="Arial"/>
          <w:sz w:val="18"/>
          <w:szCs w:val="18"/>
          <w:color w:val="auto"/>
        </w:rPr>
        <w:t>, shall specify (x) the aggregate principal amount of the Revolving Credit Loans to be made pursuant to such Borrowing, (y) the date of Borrowing (which shall be a Business Day) and (z) whether the respective Borrowing shall consist of ABR Loans or LIBOR Loans that are Revolving Credit Loans and, if LIBOR Loans that are Revolving Credit Loans, the Interest Period to be initially applicable thereto. The Administrative Agent shall promptly give each Revolving Credit Lender written notice of each proposed Borrowing of Revolving Credit Loans, of such Lender’s Revolving Credit Commitment Percentage thereof, of the identity of the Borrower, and of the other matters covered by the related Notice of Borrowing.</w:t>
      </w:r>
    </w:p>
    <w:p>
      <w:pPr>
        <w:spacing w:after="0" w:line="192" w:lineRule="exact"/>
        <w:rPr>
          <w:rFonts w:ascii="Arial" w:cs="Arial" w:eastAsia="Arial" w:hAnsi="Arial"/>
          <w:sz w:val="18"/>
          <w:szCs w:val="18"/>
          <w:color w:val="auto"/>
        </w:rPr>
      </w:pPr>
    </w:p>
    <w:p>
      <w:pPr>
        <w:ind w:left="-20" w:right="20" w:firstLine="656"/>
        <w:spacing w:after="0" w:line="259" w:lineRule="auto"/>
        <w:tabs>
          <w:tab w:leader="none" w:pos="10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Whenever the Borrower desires to incur Swingline Loans hereunder, the Borrower shall give the Swingline Lender written notice with a copy to the Administrative Agent of each Borrowing of Swingline Loans prior to 2:00 p.m. (New York City time) on the date of such Borrowing. Each such notice shall specify (x) the aggregate principal amount of the Swingline Loans to be made pursuant to such Borrowing and (y) the date of Borrowing (which shall be a Business Day).</w:t>
      </w:r>
    </w:p>
    <w:p>
      <w:pPr>
        <w:spacing w:after="0" w:line="186" w:lineRule="exact"/>
        <w:rPr>
          <w:rFonts w:ascii="Arial" w:cs="Arial" w:eastAsia="Arial" w:hAnsi="Arial"/>
          <w:sz w:val="18"/>
          <w:szCs w:val="18"/>
          <w:color w:val="auto"/>
        </w:rPr>
      </w:pPr>
    </w:p>
    <w:p>
      <w:pPr>
        <w:ind w:left="-20" w:right="120" w:firstLine="656"/>
        <w:spacing w:after="0" w:line="277" w:lineRule="auto"/>
        <w:tabs>
          <w:tab w:leader="none" w:pos="1018"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Mandatory Borrowings shall be made upon the notice specified in </w:t>
      </w:r>
      <w:r>
        <w:rPr>
          <w:rFonts w:ascii="Arial" w:cs="Arial" w:eastAsia="Arial" w:hAnsi="Arial"/>
          <w:sz w:val="18"/>
          <w:szCs w:val="18"/>
          <w:u w:val="single" w:color="auto"/>
          <w:color w:val="auto"/>
        </w:rPr>
        <w:t>Section 2.1(d)</w:t>
      </w:r>
      <w:r>
        <w:rPr>
          <w:rFonts w:ascii="Arial" w:cs="Arial" w:eastAsia="Arial" w:hAnsi="Arial"/>
          <w:sz w:val="18"/>
          <w:szCs w:val="18"/>
          <w:color w:val="auto"/>
        </w:rPr>
        <w:t>, with the Borrower irrevocably agreeing, by its incurrence of any Swingline Loan, to the making of Mandatory Borrowings as set forth in such Section.</w:t>
      </w:r>
    </w:p>
    <w:p>
      <w:pPr>
        <w:spacing w:after="0" w:line="170" w:lineRule="exact"/>
        <w:rPr>
          <w:rFonts w:ascii="Arial" w:cs="Arial" w:eastAsia="Arial" w:hAnsi="Arial"/>
          <w:sz w:val="18"/>
          <w:szCs w:val="18"/>
          <w:color w:val="auto"/>
        </w:rPr>
      </w:pPr>
    </w:p>
    <w:p>
      <w:pPr>
        <w:ind w:left="1020" w:hanging="384"/>
        <w:spacing w:after="0"/>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Borrowings to reimburse Unpaid Drawings shall be made upon the notice specified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300" w:firstLine="656"/>
        <w:spacing w:after="0" w:line="264" w:lineRule="auto"/>
        <w:tabs>
          <w:tab w:leader="none" w:pos="985" w:val="left"/>
        </w:tabs>
        <w:numPr>
          <w:ilvl w:val="0"/>
          <w:numId w:val="84"/>
        </w:numPr>
        <w:rPr>
          <w:rFonts w:ascii="Arial" w:cs="Arial" w:eastAsia="Arial" w:hAnsi="Arial"/>
          <w:sz w:val="18"/>
          <w:szCs w:val="18"/>
          <w:color w:val="auto"/>
        </w:rPr>
      </w:pPr>
      <w:r>
        <w:rPr>
          <w:rFonts w:ascii="Arial" w:cs="Arial" w:eastAsia="Arial" w:hAnsi="Arial"/>
          <w:sz w:val="18"/>
          <w:szCs w:val="18"/>
          <w:color w:val="auto"/>
        </w:rPr>
        <w:t>Without in any way limiting the obligation of the Borrower to confirm in writing any notice it shall give hereunder by telephone (which obligation is absolute), the Administrative Agent may act prior to receipt of written confirmation without liability upon the basis of such telephonic notice believed by the Administrative Agent in good faith to be from an Authorized Officer of Holdings or the Borrower.</w:t>
      </w:r>
    </w:p>
    <w:p>
      <w:pPr>
        <w:spacing w:after="0" w:line="181"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Disbursement of Funds</w:t>
      </w:r>
      <w:r>
        <w:rPr>
          <w:rFonts w:ascii="Arial" w:cs="Arial" w:eastAsia="Arial" w:hAnsi="Arial"/>
          <w:sz w:val="16"/>
          <w:szCs w:val="16"/>
          <w:color w:val="auto"/>
        </w:rPr>
        <w: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1380"/>
          </w:cols>
          <w:pgMar w:left="260" w:top="814" w:right="259" w:bottom="1440" w:gutter="0" w:footer="0" w:header="0"/>
        </w:sectPr>
      </w:pPr>
    </w:p>
    <w:bookmarkStart w:id="148" w:name="page149"/>
    <w:bookmarkEnd w:id="148"/>
    <w:p>
      <w:pPr>
        <w:ind w:left="-20" w:right="60" w:firstLine="656"/>
        <w:spacing w:after="0" w:line="257" w:lineRule="auto"/>
        <w:tabs>
          <w:tab w:leader="none" w:pos="1008"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No later than 2:00 p.m. (New York City time) on the date specified in each Notice of Borrowing (including Mandatory Borrowings), each Lender shall make available its pro rata portion, if any, of each Borrowing requested to be made on such date in the manner provided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the Restatement Effective Date, such funds may be made available at such earlier time as may be agreed among the Lenders, Holdings, and the Administrative Agent for the purpose of consummating the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all Swingline Loans shall be made available to the Borrower in the full amount thereof by the Swingline Lender no later than 4:00 p.m. (New York City time).</w:t>
      </w:r>
    </w:p>
    <w:p>
      <w:pPr>
        <w:spacing w:after="0" w:line="188" w:lineRule="exact"/>
        <w:rPr>
          <w:rFonts w:ascii="Arial" w:cs="Arial" w:eastAsia="Arial" w:hAnsi="Arial"/>
          <w:sz w:val="18"/>
          <w:szCs w:val="18"/>
          <w:color w:val="auto"/>
        </w:rPr>
      </w:pPr>
    </w:p>
    <w:p>
      <w:pPr>
        <w:ind w:left="-20" w:firstLine="656"/>
        <w:spacing w:after="0" w:line="286" w:lineRule="auto"/>
        <w:tabs>
          <w:tab w:leader="none" w:pos="1018"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Each Lender shall make available all amounts it is to fund to the Borrower under any Borrowing for its applicable Commitments, in Dollars and in immediately available funds, to the Administrative Agent at the Administrative Agent’s Office and the Administrative Agent will (except in the case of Mandatory Borrowings and Borrowings to repay Unpaid Drawings) make available to the Borrower, by depositing to an account designated by Holdings or the Borrower to the Administrative Agent the aggregate of the amounts so made available in Dollars. Unless the Administrative Agent shall have been notified by any Lender prior to the date of any such Borrowing that such Lender does not intend to make available to the Administrative Agent its portion of the Borrowing or Borrowings to be made on such date, the Administrative Agent may assume that such Lender has made such amount available to the Administrative Agent on such date of Borrowing, and the Administrative Agent, in reliance upon such assumption, may (in its sole discretion and without any obligation to do so) make available to the Borrower a corresponding amount. If such corresponding amount is not in fact made available to the Administrative Agent by such Lender and the Administrative Agent has made available such amount to the Borrower, the Administrative Agent shall be entitled to recover such corresponding amount from such Lender. If such Lender does not pay such corresponding amount forthwith upon the Administrative Agent’s demand therefor the Administrative Agent shall promptly notify the Borrower and the Borrower shall immediately pay such corresponding amount to the Administrative Agent in Dollars. The Administrative Agent shall also be entitled to recover from such Lender or the Borrower interest on such corresponding amount in respect of each day from the date such corresponding amount was made available by the Administrative Agent to the Borrower to the date such corresponding amount is recovered by the Administrative Agent, at a rate per annum equal to (i) if paid by such Lender, the Overnight Rate or (ii) if paid by the Borrower, the then-applicable rate of interest or fees, calculated in accordance with </w:t>
      </w:r>
      <w:r>
        <w:rPr>
          <w:rFonts w:ascii="Arial" w:cs="Arial" w:eastAsia="Arial" w:hAnsi="Arial"/>
          <w:sz w:val="16"/>
          <w:szCs w:val="16"/>
          <w:u w:val="single" w:color="auto"/>
          <w:color w:val="auto"/>
        </w:rPr>
        <w:t>Section 2.8</w:t>
      </w:r>
      <w:r>
        <w:rPr>
          <w:rFonts w:ascii="Arial" w:cs="Arial" w:eastAsia="Arial" w:hAnsi="Arial"/>
          <w:sz w:val="16"/>
          <w:szCs w:val="16"/>
          <w:color w:val="auto"/>
        </w:rPr>
        <w:t>, for the respective Loans.</w:t>
      </w:r>
    </w:p>
    <w:p>
      <w:pPr>
        <w:spacing w:after="0" w:line="168" w:lineRule="exact"/>
        <w:rPr>
          <w:rFonts w:ascii="Arial" w:cs="Arial" w:eastAsia="Arial" w:hAnsi="Arial"/>
          <w:sz w:val="16"/>
          <w:szCs w:val="16"/>
          <w:color w:val="auto"/>
        </w:rPr>
      </w:pPr>
    </w:p>
    <w:p>
      <w:pPr>
        <w:ind w:left="-20" w:right="60" w:firstLine="656"/>
        <w:spacing w:after="0" w:line="264" w:lineRule="auto"/>
        <w:tabs>
          <w:tab w:leader="none" w:pos="1008"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w:t>
      </w:r>
    </w:p>
    <w:p>
      <w:pPr>
        <w:spacing w:after="0" w:line="181"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225" w:lineRule="exact"/>
        <w:rPr>
          <w:sz w:val="20"/>
          <w:szCs w:val="20"/>
          <w:color w:val="auto"/>
        </w:rPr>
      </w:pPr>
    </w:p>
    <w:p>
      <w:pPr>
        <w:jc w:val="both"/>
        <w:ind w:left="-20" w:right="220" w:firstLine="656"/>
        <w:spacing w:after="0" w:line="264" w:lineRule="auto"/>
        <w:tabs>
          <w:tab w:leader="none" w:pos="100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Borrower shall repay to the Administrative Agent, for the benefit of the applicable Lenders, on the Term A Loan Maturity Date, the then outstanding Term A Loans. The Borrower shall repay to the Administrative Agent for the benefit of the Revolving Credit Lenders, on the Revolving Credit Maturity Date, the then outstanding Revolving Credit Loans.</w:t>
      </w:r>
    </w:p>
    <w:p>
      <w:pPr>
        <w:spacing w:after="0" w:line="181" w:lineRule="exact"/>
        <w:rPr>
          <w:rFonts w:ascii="Arial" w:cs="Arial" w:eastAsia="Arial" w:hAnsi="Arial"/>
          <w:sz w:val="18"/>
          <w:szCs w:val="18"/>
          <w:color w:val="auto"/>
        </w:rPr>
      </w:pPr>
    </w:p>
    <w:p>
      <w:pPr>
        <w:ind w:left="-20" w:right="180" w:firstLine="656"/>
        <w:spacing w:after="0" w:line="259" w:lineRule="auto"/>
        <w:tabs>
          <w:tab w:leader="none" w:pos="101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Borrower shall repay to the Administrative Agent for the benefit of the Term A Lenders, (x) on each date set forth below (or if not a Business Day the immediately preceding Business Day) (each, a “</w:t>
      </w:r>
      <w:r>
        <w:rPr>
          <w:rFonts w:ascii="Arial" w:cs="Arial" w:eastAsia="Arial" w:hAnsi="Arial"/>
          <w:sz w:val="18"/>
          <w:szCs w:val="18"/>
          <w:b w:val="1"/>
          <w:bCs w:val="1"/>
          <w:color w:val="auto"/>
        </w:rPr>
        <w:t>Term A Loan Repayment Date</w:t>
      </w:r>
      <w:r>
        <w:rPr>
          <w:rFonts w:ascii="Arial" w:cs="Arial" w:eastAsia="Arial" w:hAnsi="Arial"/>
          <w:sz w:val="18"/>
          <w:szCs w:val="18"/>
          <w:color w:val="auto"/>
        </w:rPr>
        <w:t>”), a principal amount equal to the applicable amount set forth below opposite such Term A Loan Repayment Date and (y) on the Term A Loan Maturity Date, any remaining outstanding amount of Term A Loans (each, a “</w:t>
      </w:r>
      <w:r>
        <w:rPr>
          <w:rFonts w:ascii="Arial" w:cs="Arial" w:eastAsia="Arial" w:hAnsi="Arial"/>
          <w:sz w:val="18"/>
          <w:szCs w:val="18"/>
          <w:b w:val="1"/>
          <w:bCs w:val="1"/>
          <w:color w:val="auto"/>
        </w:rPr>
        <w:t>Term A Loan Repayment Amount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380"/>
          </w:cols>
          <w:pgMar w:left="260" w:top="814" w:right="259" w:bottom="1440" w:gutter="0" w:footer="0" w:header="0"/>
        </w:sectPr>
      </w:pPr>
    </w:p>
    <w:bookmarkStart w:id="149" w:name="page150"/>
    <w:bookmarkEnd w:id="149"/>
    <w:tbl>
      <w:tblPr>
        <w:tblLayout w:type="fixed"/>
        <w:tblInd w:w="2060" w:type="dxa"/>
        <w:tblCellMar>
          <w:top w:w="0" w:type="dxa"/>
          <w:left w:w="0" w:type="dxa"/>
          <w:bottom w:w="0" w:type="dxa"/>
          <w:right w:w="0" w:type="dxa"/>
        </w:tblCellMar>
      </w:tblPr>
      <w:tr>
        <w:trPr>
          <w:trHeight w:val="234"/>
        </w:trPr>
        <w:tc>
          <w:tcPr>
            <w:tcW w:w="3060" w:type="dxa"/>
            <w:vAlign w:val="bottom"/>
          </w:tcPr>
          <w:p>
            <w:pPr>
              <w:jc w:val="center"/>
              <w:ind w:right="610"/>
              <w:spacing w:after="0"/>
              <w:rPr>
                <w:sz w:val="20"/>
                <w:szCs w:val="20"/>
                <w:color w:val="auto"/>
              </w:rPr>
            </w:pPr>
            <w:r>
              <w:rPr>
                <w:rFonts w:ascii="Arial" w:cs="Arial" w:eastAsia="Arial" w:hAnsi="Arial"/>
                <w:sz w:val="18"/>
                <w:szCs w:val="18"/>
                <w:b w:val="1"/>
                <w:bCs w:val="1"/>
                <w:color w:val="auto"/>
                <w:w w:val="92"/>
              </w:rPr>
              <w:t>Term A Loan Repayment Date</w:t>
            </w:r>
          </w:p>
        </w:tc>
        <w:tc>
          <w:tcPr>
            <w:tcW w:w="4920" w:type="dxa"/>
            <w:vAlign w:val="bottom"/>
          </w:tcPr>
          <w:p>
            <w:pPr>
              <w:jc w:val="center"/>
              <w:ind w:left="590"/>
              <w:spacing w:after="0"/>
              <w:rPr>
                <w:sz w:val="20"/>
                <w:szCs w:val="20"/>
                <w:color w:val="auto"/>
              </w:rPr>
            </w:pPr>
            <w:r>
              <w:rPr>
                <w:rFonts w:ascii="Arial" w:cs="Arial" w:eastAsia="Arial" w:hAnsi="Arial"/>
                <w:sz w:val="18"/>
                <w:szCs w:val="18"/>
                <w:b w:val="1"/>
                <w:bCs w:val="1"/>
                <w:color w:val="auto"/>
                <w:w w:val="92"/>
              </w:rPr>
              <w:t>Term A Loan Repayment Amount</w:t>
            </w:r>
          </w:p>
        </w:tc>
      </w:tr>
      <w:tr>
        <w:trPr>
          <w:trHeight w:val="270"/>
        </w:trPr>
        <w:tc>
          <w:tcPr>
            <w:tcW w:w="3060" w:type="dxa"/>
            <w:vAlign w:val="bottom"/>
          </w:tcPr>
          <w:p>
            <w:pPr>
              <w:jc w:val="center"/>
              <w:ind w:right="590"/>
              <w:spacing w:after="0"/>
              <w:rPr>
                <w:sz w:val="20"/>
                <w:szCs w:val="20"/>
                <w:color w:val="auto"/>
              </w:rPr>
            </w:pPr>
            <w:r>
              <w:rPr>
                <w:rFonts w:ascii="Arial" w:cs="Arial" w:eastAsia="Arial" w:hAnsi="Arial"/>
                <w:sz w:val="18"/>
                <w:szCs w:val="18"/>
                <w:color w:val="auto"/>
                <w:w w:val="89"/>
              </w:rPr>
              <w:t>December 27, 2019</w:t>
            </w:r>
          </w:p>
        </w:tc>
        <w:tc>
          <w:tcPr>
            <w:tcW w:w="4920" w:type="dxa"/>
            <w:vAlign w:val="bottom"/>
          </w:tcPr>
          <w:p>
            <w:pPr>
              <w:jc w:val="center"/>
              <w:ind w:left="590"/>
              <w:spacing w:after="0"/>
              <w:rPr>
                <w:sz w:val="20"/>
                <w:szCs w:val="20"/>
                <w:color w:val="auto"/>
              </w:rPr>
            </w:pPr>
            <w:r>
              <w:rPr>
                <w:rFonts w:ascii="Arial" w:cs="Arial" w:eastAsia="Arial" w:hAnsi="Arial"/>
                <w:sz w:val="18"/>
                <w:szCs w:val="18"/>
                <w:color w:val="auto"/>
                <w:w w:val="88"/>
              </w:rPr>
              <w:t>$2,625,000</w:t>
            </w:r>
          </w:p>
        </w:tc>
      </w:tr>
      <w:tr>
        <w:trPr>
          <w:trHeight w:val="270"/>
        </w:trPr>
        <w:tc>
          <w:tcPr>
            <w:tcW w:w="3060" w:type="dxa"/>
            <w:vAlign w:val="bottom"/>
          </w:tcPr>
          <w:p>
            <w:pPr>
              <w:jc w:val="center"/>
              <w:ind w:right="590"/>
              <w:spacing w:after="0"/>
              <w:rPr>
                <w:sz w:val="20"/>
                <w:szCs w:val="20"/>
                <w:color w:val="auto"/>
              </w:rPr>
            </w:pPr>
            <w:r>
              <w:rPr>
                <w:rFonts w:ascii="Arial" w:cs="Arial" w:eastAsia="Arial" w:hAnsi="Arial"/>
                <w:sz w:val="18"/>
                <w:szCs w:val="18"/>
                <w:color w:val="auto"/>
                <w:w w:val="91"/>
              </w:rPr>
              <w:t>March 27, 2020</w:t>
            </w:r>
          </w:p>
        </w:tc>
        <w:tc>
          <w:tcPr>
            <w:tcW w:w="4920" w:type="dxa"/>
            <w:vAlign w:val="bottom"/>
          </w:tcPr>
          <w:p>
            <w:pPr>
              <w:jc w:val="center"/>
              <w:ind w:left="590"/>
              <w:spacing w:after="0"/>
              <w:rPr>
                <w:sz w:val="20"/>
                <w:szCs w:val="20"/>
                <w:color w:val="auto"/>
              </w:rPr>
            </w:pPr>
            <w:r>
              <w:rPr>
                <w:rFonts w:ascii="Arial" w:cs="Arial" w:eastAsia="Arial" w:hAnsi="Arial"/>
                <w:sz w:val="18"/>
                <w:szCs w:val="18"/>
                <w:color w:val="auto"/>
                <w:w w:val="88"/>
              </w:rPr>
              <w:t>$2,625,000</w:t>
            </w:r>
          </w:p>
        </w:tc>
      </w:tr>
      <w:tr>
        <w:trPr>
          <w:trHeight w:val="270"/>
        </w:trPr>
        <w:tc>
          <w:tcPr>
            <w:tcW w:w="3060" w:type="dxa"/>
            <w:vAlign w:val="bottom"/>
          </w:tcPr>
          <w:p>
            <w:pPr>
              <w:jc w:val="center"/>
              <w:ind w:right="610"/>
              <w:spacing w:after="0"/>
              <w:rPr>
                <w:sz w:val="20"/>
                <w:szCs w:val="20"/>
                <w:color w:val="auto"/>
              </w:rPr>
            </w:pPr>
            <w:r>
              <w:rPr>
                <w:rFonts w:ascii="Arial" w:cs="Arial" w:eastAsia="Arial" w:hAnsi="Arial"/>
                <w:sz w:val="18"/>
                <w:szCs w:val="18"/>
                <w:color w:val="auto"/>
                <w:w w:val="87"/>
              </w:rPr>
              <w:t>June 26, 2020</w:t>
            </w:r>
          </w:p>
        </w:tc>
        <w:tc>
          <w:tcPr>
            <w:tcW w:w="4920" w:type="dxa"/>
            <w:vAlign w:val="bottom"/>
          </w:tcPr>
          <w:p>
            <w:pPr>
              <w:jc w:val="center"/>
              <w:ind w:left="590"/>
              <w:spacing w:after="0"/>
              <w:rPr>
                <w:sz w:val="20"/>
                <w:szCs w:val="20"/>
                <w:color w:val="auto"/>
              </w:rPr>
            </w:pPr>
            <w:r>
              <w:rPr>
                <w:rFonts w:ascii="Arial" w:cs="Arial" w:eastAsia="Arial" w:hAnsi="Arial"/>
                <w:sz w:val="18"/>
                <w:szCs w:val="18"/>
                <w:color w:val="auto"/>
                <w:w w:val="88"/>
              </w:rPr>
              <w:t>$2,625,000</w:t>
            </w:r>
          </w:p>
        </w:tc>
      </w:tr>
      <w:tr>
        <w:trPr>
          <w:trHeight w:val="270"/>
        </w:trPr>
        <w:tc>
          <w:tcPr>
            <w:tcW w:w="3060" w:type="dxa"/>
            <w:vAlign w:val="bottom"/>
          </w:tcPr>
          <w:p>
            <w:pPr>
              <w:jc w:val="center"/>
              <w:ind w:right="610"/>
              <w:spacing w:after="0"/>
              <w:rPr>
                <w:sz w:val="20"/>
                <w:szCs w:val="20"/>
                <w:color w:val="auto"/>
              </w:rPr>
            </w:pPr>
            <w:r>
              <w:rPr>
                <w:rFonts w:ascii="Arial" w:cs="Arial" w:eastAsia="Arial" w:hAnsi="Arial"/>
                <w:sz w:val="18"/>
                <w:szCs w:val="18"/>
                <w:color w:val="auto"/>
                <w:w w:val="88"/>
              </w:rPr>
              <w:t>September 25, 2020</w:t>
            </w:r>
          </w:p>
        </w:tc>
        <w:tc>
          <w:tcPr>
            <w:tcW w:w="4920" w:type="dxa"/>
            <w:vAlign w:val="bottom"/>
          </w:tcPr>
          <w:p>
            <w:pPr>
              <w:jc w:val="center"/>
              <w:ind w:left="590"/>
              <w:spacing w:after="0"/>
              <w:rPr>
                <w:sz w:val="20"/>
                <w:szCs w:val="20"/>
                <w:color w:val="auto"/>
              </w:rPr>
            </w:pPr>
            <w:r>
              <w:rPr>
                <w:rFonts w:ascii="Arial" w:cs="Arial" w:eastAsia="Arial" w:hAnsi="Arial"/>
                <w:sz w:val="18"/>
                <w:szCs w:val="18"/>
                <w:color w:val="auto"/>
                <w:w w:val="88"/>
              </w:rPr>
              <w:t>$2,625,000</w:t>
            </w:r>
          </w:p>
        </w:tc>
      </w:tr>
      <w:tr>
        <w:trPr>
          <w:trHeight w:val="270"/>
        </w:trPr>
        <w:tc>
          <w:tcPr>
            <w:tcW w:w="3060" w:type="dxa"/>
            <w:vAlign w:val="bottom"/>
          </w:tcPr>
          <w:p>
            <w:pPr>
              <w:jc w:val="center"/>
              <w:ind w:right="590"/>
              <w:spacing w:after="0"/>
              <w:rPr>
                <w:sz w:val="20"/>
                <w:szCs w:val="20"/>
                <w:color w:val="auto"/>
              </w:rPr>
            </w:pPr>
            <w:r>
              <w:rPr>
                <w:rFonts w:ascii="Arial" w:cs="Arial" w:eastAsia="Arial" w:hAnsi="Arial"/>
                <w:sz w:val="18"/>
                <w:szCs w:val="18"/>
                <w:color w:val="auto"/>
                <w:w w:val="88"/>
              </w:rPr>
              <w:t>January 1, 2021</w:t>
            </w:r>
          </w:p>
        </w:tc>
        <w:tc>
          <w:tcPr>
            <w:tcW w:w="4920" w:type="dxa"/>
            <w:vAlign w:val="bottom"/>
          </w:tcPr>
          <w:p>
            <w:pPr>
              <w:jc w:val="center"/>
              <w:ind w:left="590"/>
              <w:spacing w:after="0"/>
              <w:rPr>
                <w:sz w:val="20"/>
                <w:szCs w:val="20"/>
                <w:color w:val="auto"/>
              </w:rPr>
            </w:pPr>
            <w:r>
              <w:rPr>
                <w:rFonts w:ascii="Arial" w:cs="Arial" w:eastAsia="Arial" w:hAnsi="Arial"/>
                <w:sz w:val="18"/>
                <w:szCs w:val="18"/>
                <w:color w:val="auto"/>
                <w:w w:val="88"/>
              </w:rPr>
              <w:t>$2,625,000</w:t>
            </w:r>
          </w:p>
        </w:tc>
      </w:tr>
      <w:tr>
        <w:trPr>
          <w:trHeight w:val="270"/>
        </w:trPr>
        <w:tc>
          <w:tcPr>
            <w:tcW w:w="3060" w:type="dxa"/>
            <w:vAlign w:val="bottom"/>
          </w:tcPr>
          <w:p>
            <w:pPr>
              <w:jc w:val="center"/>
              <w:ind w:right="610"/>
              <w:spacing w:after="0"/>
              <w:rPr>
                <w:sz w:val="20"/>
                <w:szCs w:val="20"/>
                <w:color w:val="auto"/>
              </w:rPr>
            </w:pPr>
            <w:r>
              <w:rPr>
                <w:rFonts w:ascii="Arial" w:cs="Arial" w:eastAsia="Arial" w:hAnsi="Arial"/>
                <w:sz w:val="18"/>
                <w:szCs w:val="18"/>
                <w:color w:val="auto"/>
                <w:w w:val="94"/>
              </w:rPr>
              <w:t>April 2, 2021</w:t>
            </w:r>
          </w:p>
        </w:tc>
        <w:tc>
          <w:tcPr>
            <w:tcW w:w="4920" w:type="dxa"/>
            <w:vAlign w:val="bottom"/>
          </w:tcPr>
          <w:p>
            <w:pPr>
              <w:jc w:val="center"/>
              <w:ind w:left="590"/>
              <w:spacing w:after="0"/>
              <w:rPr>
                <w:sz w:val="20"/>
                <w:szCs w:val="20"/>
                <w:color w:val="auto"/>
              </w:rPr>
            </w:pPr>
            <w:r>
              <w:rPr>
                <w:rFonts w:ascii="Arial" w:cs="Arial" w:eastAsia="Arial" w:hAnsi="Arial"/>
                <w:sz w:val="18"/>
                <w:szCs w:val="18"/>
                <w:color w:val="auto"/>
                <w:w w:val="88"/>
              </w:rPr>
              <w:t>$2,625,000</w:t>
            </w:r>
          </w:p>
        </w:tc>
      </w:tr>
      <w:tr>
        <w:trPr>
          <w:trHeight w:val="270"/>
        </w:trPr>
        <w:tc>
          <w:tcPr>
            <w:tcW w:w="3060" w:type="dxa"/>
            <w:vAlign w:val="bottom"/>
          </w:tcPr>
          <w:p>
            <w:pPr>
              <w:jc w:val="center"/>
              <w:ind w:right="610"/>
              <w:spacing w:after="0"/>
              <w:rPr>
                <w:sz w:val="20"/>
                <w:szCs w:val="20"/>
                <w:color w:val="auto"/>
              </w:rPr>
            </w:pPr>
            <w:r>
              <w:rPr>
                <w:rFonts w:ascii="Arial" w:cs="Arial" w:eastAsia="Arial" w:hAnsi="Arial"/>
                <w:sz w:val="18"/>
                <w:szCs w:val="18"/>
                <w:color w:val="auto"/>
                <w:w w:val="90"/>
              </w:rPr>
              <w:t>July 2, 2021</w:t>
            </w:r>
          </w:p>
        </w:tc>
        <w:tc>
          <w:tcPr>
            <w:tcW w:w="4920" w:type="dxa"/>
            <w:vAlign w:val="bottom"/>
          </w:tcPr>
          <w:p>
            <w:pPr>
              <w:jc w:val="center"/>
              <w:ind w:left="590"/>
              <w:spacing w:after="0"/>
              <w:rPr>
                <w:sz w:val="20"/>
                <w:szCs w:val="20"/>
                <w:color w:val="auto"/>
              </w:rPr>
            </w:pPr>
            <w:r>
              <w:rPr>
                <w:rFonts w:ascii="Arial" w:cs="Arial" w:eastAsia="Arial" w:hAnsi="Arial"/>
                <w:sz w:val="18"/>
                <w:szCs w:val="18"/>
                <w:color w:val="auto"/>
                <w:w w:val="88"/>
              </w:rPr>
              <w:t>$2,625,000</w:t>
            </w:r>
          </w:p>
        </w:tc>
      </w:tr>
      <w:tr>
        <w:trPr>
          <w:trHeight w:val="270"/>
        </w:trPr>
        <w:tc>
          <w:tcPr>
            <w:tcW w:w="3060" w:type="dxa"/>
            <w:vAlign w:val="bottom"/>
          </w:tcPr>
          <w:p>
            <w:pPr>
              <w:jc w:val="center"/>
              <w:ind w:right="610"/>
              <w:spacing w:after="0"/>
              <w:rPr>
                <w:sz w:val="20"/>
                <w:szCs w:val="20"/>
                <w:color w:val="auto"/>
              </w:rPr>
            </w:pPr>
            <w:r>
              <w:rPr>
                <w:rFonts w:ascii="Arial" w:cs="Arial" w:eastAsia="Arial" w:hAnsi="Arial"/>
                <w:sz w:val="18"/>
                <w:szCs w:val="18"/>
                <w:color w:val="auto"/>
                <w:w w:val="89"/>
              </w:rPr>
              <w:t>October 1, 2021</w:t>
            </w:r>
          </w:p>
        </w:tc>
        <w:tc>
          <w:tcPr>
            <w:tcW w:w="4920" w:type="dxa"/>
            <w:vAlign w:val="bottom"/>
          </w:tcPr>
          <w:p>
            <w:pPr>
              <w:jc w:val="center"/>
              <w:ind w:left="590"/>
              <w:spacing w:after="0"/>
              <w:rPr>
                <w:sz w:val="20"/>
                <w:szCs w:val="20"/>
                <w:color w:val="auto"/>
              </w:rPr>
            </w:pPr>
            <w:r>
              <w:rPr>
                <w:rFonts w:ascii="Arial" w:cs="Arial" w:eastAsia="Arial" w:hAnsi="Arial"/>
                <w:sz w:val="18"/>
                <w:szCs w:val="18"/>
                <w:color w:val="auto"/>
                <w:w w:val="88"/>
              </w:rPr>
              <w:t>$2,625,000</w:t>
            </w:r>
          </w:p>
        </w:tc>
      </w:tr>
      <w:tr>
        <w:trPr>
          <w:trHeight w:val="270"/>
        </w:trPr>
        <w:tc>
          <w:tcPr>
            <w:tcW w:w="3060" w:type="dxa"/>
            <w:vAlign w:val="bottom"/>
          </w:tcPr>
          <w:p>
            <w:pPr>
              <w:jc w:val="center"/>
              <w:ind w:right="590"/>
              <w:spacing w:after="0"/>
              <w:rPr>
                <w:sz w:val="20"/>
                <w:szCs w:val="20"/>
                <w:color w:val="auto"/>
              </w:rPr>
            </w:pPr>
            <w:r>
              <w:rPr>
                <w:rFonts w:ascii="Arial" w:cs="Arial" w:eastAsia="Arial" w:hAnsi="Arial"/>
                <w:sz w:val="18"/>
                <w:szCs w:val="18"/>
                <w:color w:val="auto"/>
                <w:w w:val="89"/>
              </w:rPr>
              <w:t>December 31, 2021</w:t>
            </w:r>
          </w:p>
        </w:tc>
        <w:tc>
          <w:tcPr>
            <w:tcW w:w="4920" w:type="dxa"/>
            <w:vAlign w:val="bottom"/>
          </w:tcPr>
          <w:p>
            <w:pPr>
              <w:jc w:val="center"/>
              <w:ind w:left="590"/>
              <w:spacing w:after="0"/>
              <w:rPr>
                <w:sz w:val="20"/>
                <w:szCs w:val="20"/>
                <w:color w:val="auto"/>
              </w:rPr>
            </w:pPr>
            <w:r>
              <w:rPr>
                <w:rFonts w:ascii="Arial" w:cs="Arial" w:eastAsia="Arial" w:hAnsi="Arial"/>
                <w:sz w:val="18"/>
                <w:szCs w:val="18"/>
                <w:color w:val="auto"/>
                <w:w w:val="88"/>
              </w:rPr>
              <w:t>$2,625,000</w:t>
            </w:r>
          </w:p>
        </w:tc>
      </w:tr>
      <w:tr>
        <w:trPr>
          <w:trHeight w:val="270"/>
        </w:trPr>
        <w:tc>
          <w:tcPr>
            <w:tcW w:w="3060" w:type="dxa"/>
            <w:vAlign w:val="bottom"/>
          </w:tcPr>
          <w:p>
            <w:pPr>
              <w:jc w:val="center"/>
              <w:ind w:right="610"/>
              <w:spacing w:after="0"/>
              <w:rPr>
                <w:sz w:val="20"/>
                <w:szCs w:val="20"/>
                <w:color w:val="auto"/>
              </w:rPr>
            </w:pPr>
            <w:r>
              <w:rPr>
                <w:rFonts w:ascii="Arial" w:cs="Arial" w:eastAsia="Arial" w:hAnsi="Arial"/>
                <w:sz w:val="18"/>
                <w:szCs w:val="18"/>
                <w:color w:val="auto"/>
                <w:w w:val="94"/>
              </w:rPr>
              <w:t>April 1, 2022</w:t>
            </w:r>
          </w:p>
        </w:tc>
        <w:tc>
          <w:tcPr>
            <w:tcW w:w="4920" w:type="dxa"/>
            <w:vAlign w:val="bottom"/>
          </w:tcPr>
          <w:p>
            <w:pPr>
              <w:jc w:val="center"/>
              <w:ind w:left="590"/>
              <w:spacing w:after="0"/>
              <w:rPr>
                <w:sz w:val="20"/>
                <w:szCs w:val="20"/>
                <w:color w:val="auto"/>
              </w:rPr>
            </w:pPr>
            <w:r>
              <w:rPr>
                <w:rFonts w:ascii="Arial" w:cs="Arial" w:eastAsia="Arial" w:hAnsi="Arial"/>
                <w:sz w:val="18"/>
                <w:szCs w:val="18"/>
                <w:color w:val="auto"/>
                <w:w w:val="88"/>
              </w:rPr>
              <w:t>$2,625,000</w:t>
            </w:r>
          </w:p>
        </w:tc>
      </w:tr>
      <w:tr>
        <w:trPr>
          <w:trHeight w:val="270"/>
        </w:trPr>
        <w:tc>
          <w:tcPr>
            <w:tcW w:w="3060" w:type="dxa"/>
            <w:vAlign w:val="bottom"/>
          </w:tcPr>
          <w:p>
            <w:pPr>
              <w:jc w:val="center"/>
              <w:ind w:right="610"/>
              <w:spacing w:after="0"/>
              <w:rPr>
                <w:sz w:val="20"/>
                <w:szCs w:val="20"/>
                <w:color w:val="auto"/>
              </w:rPr>
            </w:pPr>
            <w:r>
              <w:rPr>
                <w:rFonts w:ascii="Arial" w:cs="Arial" w:eastAsia="Arial" w:hAnsi="Arial"/>
                <w:sz w:val="18"/>
                <w:szCs w:val="18"/>
                <w:color w:val="auto"/>
                <w:w w:val="90"/>
              </w:rPr>
              <w:t>July 1, 2022</w:t>
            </w:r>
          </w:p>
        </w:tc>
        <w:tc>
          <w:tcPr>
            <w:tcW w:w="4920" w:type="dxa"/>
            <w:vAlign w:val="bottom"/>
          </w:tcPr>
          <w:p>
            <w:pPr>
              <w:jc w:val="center"/>
              <w:ind w:left="590"/>
              <w:spacing w:after="0"/>
              <w:rPr>
                <w:sz w:val="20"/>
                <w:szCs w:val="20"/>
                <w:color w:val="auto"/>
              </w:rPr>
            </w:pPr>
            <w:r>
              <w:rPr>
                <w:rFonts w:ascii="Arial" w:cs="Arial" w:eastAsia="Arial" w:hAnsi="Arial"/>
                <w:sz w:val="18"/>
                <w:szCs w:val="18"/>
                <w:color w:val="auto"/>
                <w:w w:val="88"/>
              </w:rPr>
              <w:t>$2,625,000</w:t>
            </w:r>
          </w:p>
        </w:tc>
      </w:tr>
      <w:tr>
        <w:trPr>
          <w:trHeight w:val="270"/>
        </w:trPr>
        <w:tc>
          <w:tcPr>
            <w:tcW w:w="3060" w:type="dxa"/>
            <w:vAlign w:val="bottom"/>
          </w:tcPr>
          <w:p>
            <w:pPr>
              <w:jc w:val="center"/>
              <w:ind w:right="610"/>
              <w:spacing w:after="0"/>
              <w:rPr>
                <w:sz w:val="20"/>
                <w:szCs w:val="20"/>
                <w:color w:val="auto"/>
              </w:rPr>
            </w:pPr>
            <w:r>
              <w:rPr>
                <w:rFonts w:ascii="Arial" w:cs="Arial" w:eastAsia="Arial" w:hAnsi="Arial"/>
                <w:sz w:val="18"/>
                <w:szCs w:val="18"/>
                <w:color w:val="auto"/>
                <w:w w:val="88"/>
              </w:rPr>
              <w:t>September 30, 2022</w:t>
            </w:r>
          </w:p>
        </w:tc>
        <w:tc>
          <w:tcPr>
            <w:tcW w:w="4920" w:type="dxa"/>
            <w:vAlign w:val="bottom"/>
          </w:tcPr>
          <w:p>
            <w:pPr>
              <w:jc w:val="center"/>
              <w:ind w:left="590"/>
              <w:spacing w:after="0"/>
              <w:rPr>
                <w:sz w:val="20"/>
                <w:szCs w:val="20"/>
                <w:color w:val="auto"/>
              </w:rPr>
            </w:pPr>
            <w:r>
              <w:rPr>
                <w:rFonts w:ascii="Arial" w:cs="Arial" w:eastAsia="Arial" w:hAnsi="Arial"/>
                <w:sz w:val="18"/>
                <w:szCs w:val="18"/>
                <w:color w:val="auto"/>
                <w:w w:val="88"/>
              </w:rPr>
              <w:t>$2,625,000</w:t>
            </w:r>
          </w:p>
        </w:tc>
      </w:tr>
      <w:tr>
        <w:trPr>
          <w:trHeight w:val="270"/>
        </w:trPr>
        <w:tc>
          <w:tcPr>
            <w:tcW w:w="3060" w:type="dxa"/>
            <w:vAlign w:val="bottom"/>
          </w:tcPr>
          <w:p>
            <w:pPr>
              <w:jc w:val="center"/>
              <w:ind w:right="590"/>
              <w:spacing w:after="0"/>
              <w:rPr>
                <w:sz w:val="20"/>
                <w:szCs w:val="20"/>
                <w:color w:val="auto"/>
              </w:rPr>
            </w:pPr>
            <w:r>
              <w:rPr>
                <w:rFonts w:ascii="Arial" w:cs="Arial" w:eastAsia="Arial" w:hAnsi="Arial"/>
                <w:sz w:val="18"/>
                <w:szCs w:val="18"/>
                <w:color w:val="auto"/>
                <w:w w:val="89"/>
              </w:rPr>
              <w:t>December 30, 2022</w:t>
            </w:r>
          </w:p>
        </w:tc>
        <w:tc>
          <w:tcPr>
            <w:tcW w:w="4920" w:type="dxa"/>
            <w:vAlign w:val="bottom"/>
          </w:tcPr>
          <w:p>
            <w:pPr>
              <w:jc w:val="center"/>
              <w:ind w:left="590"/>
              <w:spacing w:after="0"/>
              <w:rPr>
                <w:sz w:val="20"/>
                <w:szCs w:val="20"/>
                <w:color w:val="auto"/>
              </w:rPr>
            </w:pPr>
            <w:r>
              <w:rPr>
                <w:rFonts w:ascii="Arial" w:cs="Arial" w:eastAsia="Arial" w:hAnsi="Arial"/>
                <w:sz w:val="18"/>
                <w:szCs w:val="18"/>
                <w:color w:val="auto"/>
                <w:w w:val="88"/>
              </w:rPr>
              <w:t>$5,250,000</w:t>
            </w:r>
          </w:p>
        </w:tc>
      </w:tr>
      <w:tr>
        <w:trPr>
          <w:trHeight w:val="270"/>
        </w:trPr>
        <w:tc>
          <w:tcPr>
            <w:tcW w:w="3060" w:type="dxa"/>
            <w:vAlign w:val="bottom"/>
          </w:tcPr>
          <w:p>
            <w:pPr>
              <w:jc w:val="center"/>
              <w:ind w:right="590"/>
              <w:spacing w:after="0"/>
              <w:rPr>
                <w:sz w:val="20"/>
                <w:szCs w:val="20"/>
                <w:color w:val="auto"/>
              </w:rPr>
            </w:pPr>
            <w:r>
              <w:rPr>
                <w:rFonts w:ascii="Arial" w:cs="Arial" w:eastAsia="Arial" w:hAnsi="Arial"/>
                <w:sz w:val="18"/>
                <w:szCs w:val="18"/>
                <w:color w:val="auto"/>
                <w:w w:val="91"/>
              </w:rPr>
              <w:t>March 31, 2023</w:t>
            </w:r>
          </w:p>
        </w:tc>
        <w:tc>
          <w:tcPr>
            <w:tcW w:w="4920" w:type="dxa"/>
            <w:vAlign w:val="bottom"/>
          </w:tcPr>
          <w:p>
            <w:pPr>
              <w:jc w:val="center"/>
              <w:ind w:left="590"/>
              <w:spacing w:after="0"/>
              <w:rPr>
                <w:sz w:val="20"/>
                <w:szCs w:val="20"/>
                <w:color w:val="auto"/>
              </w:rPr>
            </w:pPr>
            <w:r>
              <w:rPr>
                <w:rFonts w:ascii="Arial" w:cs="Arial" w:eastAsia="Arial" w:hAnsi="Arial"/>
                <w:sz w:val="18"/>
                <w:szCs w:val="18"/>
                <w:color w:val="auto"/>
                <w:w w:val="88"/>
              </w:rPr>
              <w:t>$5,250,000</w:t>
            </w:r>
          </w:p>
        </w:tc>
      </w:tr>
      <w:tr>
        <w:trPr>
          <w:trHeight w:val="270"/>
        </w:trPr>
        <w:tc>
          <w:tcPr>
            <w:tcW w:w="3060" w:type="dxa"/>
            <w:vAlign w:val="bottom"/>
          </w:tcPr>
          <w:p>
            <w:pPr>
              <w:jc w:val="center"/>
              <w:ind w:right="610"/>
              <w:spacing w:after="0"/>
              <w:rPr>
                <w:sz w:val="20"/>
                <w:szCs w:val="20"/>
                <w:color w:val="auto"/>
              </w:rPr>
            </w:pPr>
            <w:r>
              <w:rPr>
                <w:rFonts w:ascii="Arial" w:cs="Arial" w:eastAsia="Arial" w:hAnsi="Arial"/>
                <w:sz w:val="18"/>
                <w:szCs w:val="18"/>
                <w:color w:val="auto"/>
                <w:w w:val="87"/>
              </w:rPr>
              <w:t>June 30, 2023</w:t>
            </w:r>
          </w:p>
        </w:tc>
        <w:tc>
          <w:tcPr>
            <w:tcW w:w="4920" w:type="dxa"/>
            <w:vAlign w:val="bottom"/>
          </w:tcPr>
          <w:p>
            <w:pPr>
              <w:jc w:val="center"/>
              <w:ind w:left="590"/>
              <w:spacing w:after="0"/>
              <w:rPr>
                <w:sz w:val="20"/>
                <w:szCs w:val="20"/>
                <w:color w:val="auto"/>
              </w:rPr>
            </w:pPr>
            <w:r>
              <w:rPr>
                <w:rFonts w:ascii="Arial" w:cs="Arial" w:eastAsia="Arial" w:hAnsi="Arial"/>
                <w:sz w:val="18"/>
                <w:szCs w:val="18"/>
                <w:color w:val="auto"/>
                <w:w w:val="88"/>
              </w:rPr>
              <w:t>$5,250,000</w:t>
            </w:r>
          </w:p>
        </w:tc>
      </w:tr>
      <w:tr>
        <w:trPr>
          <w:trHeight w:val="270"/>
        </w:trPr>
        <w:tc>
          <w:tcPr>
            <w:tcW w:w="3060" w:type="dxa"/>
            <w:vAlign w:val="bottom"/>
          </w:tcPr>
          <w:p>
            <w:pPr>
              <w:jc w:val="center"/>
              <w:ind w:right="610"/>
              <w:spacing w:after="0"/>
              <w:rPr>
                <w:sz w:val="20"/>
                <w:szCs w:val="20"/>
                <w:color w:val="auto"/>
              </w:rPr>
            </w:pPr>
            <w:r>
              <w:rPr>
                <w:rFonts w:ascii="Arial" w:cs="Arial" w:eastAsia="Arial" w:hAnsi="Arial"/>
                <w:sz w:val="18"/>
                <w:szCs w:val="18"/>
                <w:color w:val="auto"/>
                <w:w w:val="88"/>
              </w:rPr>
              <w:t>September 29, 2023</w:t>
            </w:r>
          </w:p>
        </w:tc>
        <w:tc>
          <w:tcPr>
            <w:tcW w:w="4920" w:type="dxa"/>
            <w:vAlign w:val="bottom"/>
          </w:tcPr>
          <w:p>
            <w:pPr>
              <w:jc w:val="center"/>
              <w:ind w:left="590"/>
              <w:spacing w:after="0"/>
              <w:rPr>
                <w:sz w:val="20"/>
                <w:szCs w:val="20"/>
                <w:color w:val="auto"/>
              </w:rPr>
            </w:pPr>
            <w:r>
              <w:rPr>
                <w:rFonts w:ascii="Arial" w:cs="Arial" w:eastAsia="Arial" w:hAnsi="Arial"/>
                <w:sz w:val="18"/>
                <w:szCs w:val="18"/>
                <w:color w:val="auto"/>
                <w:w w:val="88"/>
              </w:rPr>
              <w:t>$5,250,000</w:t>
            </w:r>
          </w:p>
        </w:tc>
      </w:tr>
      <w:tr>
        <w:trPr>
          <w:trHeight w:val="270"/>
        </w:trPr>
        <w:tc>
          <w:tcPr>
            <w:tcW w:w="3060" w:type="dxa"/>
            <w:vAlign w:val="bottom"/>
          </w:tcPr>
          <w:p>
            <w:pPr>
              <w:jc w:val="center"/>
              <w:ind w:right="590"/>
              <w:spacing w:after="0"/>
              <w:rPr>
                <w:sz w:val="20"/>
                <w:szCs w:val="20"/>
                <w:color w:val="auto"/>
              </w:rPr>
            </w:pPr>
            <w:r>
              <w:rPr>
                <w:rFonts w:ascii="Arial" w:cs="Arial" w:eastAsia="Arial" w:hAnsi="Arial"/>
                <w:sz w:val="18"/>
                <w:szCs w:val="18"/>
                <w:color w:val="auto"/>
                <w:w w:val="89"/>
              </w:rPr>
              <w:t>December 29, 2023</w:t>
            </w:r>
          </w:p>
        </w:tc>
        <w:tc>
          <w:tcPr>
            <w:tcW w:w="4920" w:type="dxa"/>
            <w:vAlign w:val="bottom"/>
          </w:tcPr>
          <w:p>
            <w:pPr>
              <w:jc w:val="center"/>
              <w:ind w:left="590"/>
              <w:spacing w:after="0"/>
              <w:rPr>
                <w:sz w:val="20"/>
                <w:szCs w:val="20"/>
                <w:color w:val="auto"/>
              </w:rPr>
            </w:pPr>
            <w:r>
              <w:rPr>
                <w:rFonts w:ascii="Arial" w:cs="Arial" w:eastAsia="Arial" w:hAnsi="Arial"/>
                <w:sz w:val="18"/>
                <w:szCs w:val="18"/>
                <w:color w:val="auto"/>
                <w:w w:val="88"/>
              </w:rPr>
              <w:t>$5,250,000</w:t>
            </w:r>
          </w:p>
        </w:tc>
      </w:tr>
      <w:tr>
        <w:trPr>
          <w:trHeight w:val="270"/>
        </w:trPr>
        <w:tc>
          <w:tcPr>
            <w:tcW w:w="3060" w:type="dxa"/>
            <w:vAlign w:val="bottom"/>
          </w:tcPr>
          <w:p>
            <w:pPr>
              <w:jc w:val="center"/>
              <w:ind w:right="590"/>
              <w:spacing w:after="0"/>
              <w:rPr>
                <w:sz w:val="20"/>
                <w:szCs w:val="20"/>
                <w:color w:val="auto"/>
              </w:rPr>
            </w:pPr>
            <w:r>
              <w:rPr>
                <w:rFonts w:ascii="Arial" w:cs="Arial" w:eastAsia="Arial" w:hAnsi="Arial"/>
                <w:sz w:val="18"/>
                <w:szCs w:val="18"/>
                <w:color w:val="auto"/>
                <w:w w:val="91"/>
              </w:rPr>
              <w:t>March 29, 2024</w:t>
            </w:r>
          </w:p>
        </w:tc>
        <w:tc>
          <w:tcPr>
            <w:tcW w:w="4920" w:type="dxa"/>
            <w:vAlign w:val="bottom"/>
          </w:tcPr>
          <w:p>
            <w:pPr>
              <w:jc w:val="center"/>
              <w:ind w:left="590"/>
              <w:spacing w:after="0"/>
              <w:rPr>
                <w:sz w:val="20"/>
                <w:szCs w:val="20"/>
                <w:color w:val="auto"/>
              </w:rPr>
            </w:pPr>
            <w:r>
              <w:rPr>
                <w:rFonts w:ascii="Arial" w:cs="Arial" w:eastAsia="Arial" w:hAnsi="Arial"/>
                <w:sz w:val="18"/>
                <w:szCs w:val="18"/>
                <w:color w:val="auto"/>
                <w:w w:val="88"/>
              </w:rPr>
              <w:t>$5,250,000</w:t>
            </w:r>
          </w:p>
        </w:tc>
      </w:tr>
      <w:tr>
        <w:trPr>
          <w:trHeight w:val="270"/>
        </w:trPr>
        <w:tc>
          <w:tcPr>
            <w:tcW w:w="3060" w:type="dxa"/>
            <w:vAlign w:val="bottom"/>
          </w:tcPr>
          <w:p>
            <w:pPr>
              <w:jc w:val="center"/>
              <w:ind w:right="610"/>
              <w:spacing w:after="0"/>
              <w:rPr>
                <w:sz w:val="20"/>
                <w:szCs w:val="20"/>
                <w:color w:val="auto"/>
              </w:rPr>
            </w:pPr>
            <w:r>
              <w:rPr>
                <w:rFonts w:ascii="Arial" w:cs="Arial" w:eastAsia="Arial" w:hAnsi="Arial"/>
                <w:sz w:val="18"/>
                <w:szCs w:val="18"/>
                <w:color w:val="auto"/>
                <w:w w:val="87"/>
              </w:rPr>
              <w:t>June 28, 2024</w:t>
            </w:r>
          </w:p>
        </w:tc>
        <w:tc>
          <w:tcPr>
            <w:tcW w:w="4920" w:type="dxa"/>
            <w:vAlign w:val="bottom"/>
          </w:tcPr>
          <w:p>
            <w:pPr>
              <w:jc w:val="center"/>
              <w:ind w:left="590"/>
              <w:spacing w:after="0"/>
              <w:rPr>
                <w:sz w:val="20"/>
                <w:szCs w:val="20"/>
                <w:color w:val="auto"/>
              </w:rPr>
            </w:pPr>
            <w:r>
              <w:rPr>
                <w:rFonts w:ascii="Arial" w:cs="Arial" w:eastAsia="Arial" w:hAnsi="Arial"/>
                <w:sz w:val="18"/>
                <w:szCs w:val="18"/>
                <w:color w:val="auto"/>
                <w:w w:val="88"/>
              </w:rPr>
              <w:t>$5,250,000</w:t>
            </w:r>
          </w:p>
        </w:tc>
      </w:tr>
      <w:tr>
        <w:trPr>
          <w:trHeight w:val="270"/>
        </w:trPr>
        <w:tc>
          <w:tcPr>
            <w:tcW w:w="3060" w:type="dxa"/>
            <w:vAlign w:val="bottom"/>
          </w:tcPr>
          <w:p>
            <w:pPr>
              <w:jc w:val="center"/>
              <w:ind w:right="610"/>
              <w:spacing w:after="0"/>
              <w:rPr>
                <w:sz w:val="20"/>
                <w:szCs w:val="20"/>
                <w:color w:val="auto"/>
              </w:rPr>
            </w:pPr>
            <w:r>
              <w:rPr>
                <w:rFonts w:ascii="Arial" w:cs="Arial" w:eastAsia="Arial" w:hAnsi="Arial"/>
                <w:sz w:val="18"/>
                <w:szCs w:val="18"/>
                <w:color w:val="auto"/>
                <w:w w:val="94"/>
              </w:rPr>
              <w:t>Term A Loan Maturity Date</w:t>
            </w:r>
          </w:p>
        </w:tc>
        <w:tc>
          <w:tcPr>
            <w:tcW w:w="4920" w:type="dxa"/>
            <w:vAlign w:val="bottom"/>
          </w:tcPr>
          <w:p>
            <w:pPr>
              <w:jc w:val="center"/>
              <w:ind w:left="610"/>
              <w:spacing w:after="0"/>
              <w:rPr>
                <w:sz w:val="20"/>
                <w:szCs w:val="20"/>
                <w:color w:val="auto"/>
              </w:rPr>
            </w:pPr>
            <w:r>
              <w:rPr>
                <w:rFonts w:ascii="Arial" w:cs="Arial" w:eastAsia="Arial" w:hAnsi="Arial"/>
                <w:sz w:val="18"/>
                <w:szCs w:val="18"/>
                <w:color w:val="auto"/>
                <w:w w:val="91"/>
              </w:rPr>
              <w:t>Remaining outstanding principal amount of Term A Loans</w:t>
            </w:r>
          </w:p>
        </w:tc>
      </w:tr>
    </w:tbl>
    <w:p>
      <w:pPr>
        <w:spacing w:after="0" w:line="229" w:lineRule="exact"/>
        <w:rPr>
          <w:sz w:val="20"/>
          <w:szCs w:val="20"/>
          <w:color w:val="auto"/>
        </w:rPr>
      </w:pPr>
    </w:p>
    <w:p>
      <w:pPr>
        <w:ind w:left="-40" w:firstLine="656"/>
        <w:spacing w:after="0" w:line="273" w:lineRule="auto"/>
        <w:tabs>
          <w:tab w:leader="none" w:pos="988"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In the event that any New Term Loans are made, such New Term Loans shall, subject to </w:t>
      </w:r>
      <w:r>
        <w:rPr>
          <w:rFonts w:ascii="Arial" w:cs="Arial" w:eastAsia="Arial" w:hAnsi="Arial"/>
          <w:sz w:val="17"/>
          <w:szCs w:val="17"/>
          <w:u w:val="single" w:color="auto"/>
          <w:color w:val="auto"/>
        </w:rPr>
        <w:t>Section 2.14(d)</w:t>
      </w:r>
      <w:r>
        <w:rPr>
          <w:rFonts w:ascii="Arial" w:cs="Arial" w:eastAsia="Arial" w:hAnsi="Arial"/>
          <w:sz w:val="17"/>
          <w:szCs w:val="17"/>
          <w:color w:val="auto"/>
        </w:rPr>
        <w:t>, be repaid by the Borrower in the amounts (each, a “</w:t>
      </w:r>
      <w:r>
        <w:rPr>
          <w:rFonts w:ascii="Arial" w:cs="Arial" w:eastAsia="Arial" w:hAnsi="Arial"/>
          <w:sz w:val="17"/>
          <w:szCs w:val="17"/>
          <w:b w:val="1"/>
          <w:bCs w:val="1"/>
          <w:color w:val="auto"/>
        </w:rPr>
        <w:t>New Term Loan Repayment Amount</w:t>
      </w:r>
      <w:r>
        <w:rPr>
          <w:rFonts w:ascii="Arial" w:cs="Arial" w:eastAsia="Arial" w:hAnsi="Arial"/>
          <w:sz w:val="17"/>
          <w:szCs w:val="17"/>
          <w:color w:val="auto"/>
        </w:rPr>
        <w:t>”) and on the dates (each a “</w:t>
      </w:r>
      <w:r>
        <w:rPr>
          <w:rFonts w:ascii="Arial" w:cs="Arial" w:eastAsia="Arial" w:hAnsi="Arial"/>
          <w:sz w:val="17"/>
          <w:szCs w:val="17"/>
          <w:b w:val="1"/>
          <w:bCs w:val="1"/>
          <w:color w:val="auto"/>
        </w:rPr>
        <w:t>New Term Loan Repayment Date</w:t>
      </w:r>
      <w:r>
        <w:rPr>
          <w:rFonts w:ascii="Arial" w:cs="Arial" w:eastAsia="Arial" w:hAnsi="Arial"/>
          <w:sz w:val="17"/>
          <w:szCs w:val="17"/>
          <w:color w:val="auto"/>
        </w:rPr>
        <w:t xml:space="preserve">”) set forth in the applicable Joinder Agreement and subject to any adjustment to ensure fungibility with the other Term Loans as reasonably determined by the Administrative Agent and the Borrower. In the event that any Extended Term Loans are established, such Extended Term Loans shall, subject to </w:t>
      </w:r>
      <w:r>
        <w:rPr>
          <w:rFonts w:ascii="Arial" w:cs="Arial" w:eastAsia="Arial" w:hAnsi="Arial"/>
          <w:sz w:val="17"/>
          <w:szCs w:val="17"/>
          <w:u w:val="single" w:color="auto"/>
          <w:color w:val="auto"/>
        </w:rPr>
        <w:t>Section 2.14(g)</w:t>
      </w:r>
      <w:r>
        <w:rPr>
          <w:rFonts w:ascii="Arial" w:cs="Arial" w:eastAsia="Arial" w:hAnsi="Arial"/>
          <w:sz w:val="17"/>
          <w:szCs w:val="17"/>
          <w:color w:val="auto"/>
        </w:rPr>
        <w:t>, be repaid by the Borrower in the amounts (each such amount with respect to any Extended Repayment Date, an “</w:t>
      </w:r>
      <w:r>
        <w:rPr>
          <w:rFonts w:ascii="Arial" w:cs="Arial" w:eastAsia="Arial" w:hAnsi="Arial"/>
          <w:sz w:val="17"/>
          <w:szCs w:val="17"/>
          <w:b w:val="1"/>
          <w:bCs w:val="1"/>
          <w:color w:val="auto"/>
        </w:rPr>
        <w:t>Extended Term Loan Repayment Amount</w:t>
      </w:r>
      <w:r>
        <w:rPr>
          <w:rFonts w:ascii="Arial" w:cs="Arial" w:eastAsia="Arial" w:hAnsi="Arial"/>
          <w:sz w:val="17"/>
          <w:szCs w:val="17"/>
          <w:color w:val="auto"/>
        </w:rPr>
        <w:t>”) and on the dates (each, an “</w:t>
      </w:r>
      <w:r>
        <w:rPr>
          <w:rFonts w:ascii="Arial" w:cs="Arial" w:eastAsia="Arial" w:hAnsi="Arial"/>
          <w:sz w:val="17"/>
          <w:szCs w:val="17"/>
          <w:b w:val="1"/>
          <w:bCs w:val="1"/>
          <w:color w:val="auto"/>
        </w:rPr>
        <w:t>Extended Repayment Date</w:t>
      </w:r>
      <w:r>
        <w:rPr>
          <w:rFonts w:ascii="Arial" w:cs="Arial" w:eastAsia="Arial" w:hAnsi="Arial"/>
          <w:sz w:val="17"/>
          <w:szCs w:val="17"/>
          <w:color w:val="auto"/>
        </w:rPr>
        <w:t>”) set forth in the applicable Extension Amendment.</w:t>
      </w:r>
    </w:p>
    <w:p>
      <w:pPr>
        <w:spacing w:after="0" w:line="178" w:lineRule="exact"/>
        <w:rPr>
          <w:rFonts w:ascii="Arial" w:cs="Arial" w:eastAsia="Arial" w:hAnsi="Arial"/>
          <w:sz w:val="17"/>
          <w:szCs w:val="17"/>
          <w:color w:val="auto"/>
        </w:rPr>
      </w:pPr>
    </w:p>
    <w:p>
      <w:pPr>
        <w:ind w:left="-40" w:right="120" w:firstLine="656"/>
        <w:spacing w:after="0" w:line="286" w:lineRule="auto"/>
        <w:tabs>
          <w:tab w:leader="none" w:pos="998" w:val="left"/>
        </w:tabs>
        <w:numPr>
          <w:ilvl w:val="0"/>
          <w:numId w:val="87"/>
        </w:numPr>
        <w:rPr>
          <w:rFonts w:ascii="Arial" w:cs="Arial" w:eastAsia="Arial" w:hAnsi="Arial"/>
          <w:sz w:val="17"/>
          <w:szCs w:val="17"/>
          <w:color w:val="auto"/>
        </w:rPr>
      </w:pPr>
      <w:r>
        <w:rPr>
          <w:rFonts w:ascii="Arial" w:cs="Arial" w:eastAsia="Arial" w:hAnsi="Arial"/>
          <w:sz w:val="17"/>
          <w:szCs w:val="17"/>
          <w:color w:val="auto"/>
        </w:rPr>
        <w:t>Each Lender shall maintain in accordance with its usual practice an account or accounts evidencing the Indebtedness of the Borrower to the appropriate lending office of such Lender resulting from each Loan made by such lending office of such Lender from time to time, including the amounts of principal and interest payable and paid to such lending office of such Lender from time to time under this Agreement.</w:t>
      </w:r>
    </w:p>
    <w:p>
      <w:pPr>
        <w:spacing w:after="0" w:line="165" w:lineRule="exact"/>
        <w:rPr>
          <w:rFonts w:ascii="Arial" w:cs="Arial" w:eastAsia="Arial" w:hAnsi="Arial"/>
          <w:sz w:val="17"/>
          <w:szCs w:val="17"/>
          <w:color w:val="auto"/>
        </w:rPr>
      </w:pPr>
    </w:p>
    <w:p>
      <w:pPr>
        <w:ind w:left="-40" w:right="140" w:firstLine="656"/>
        <w:spacing w:after="0" w:line="276" w:lineRule="auto"/>
        <w:tabs>
          <w:tab w:leader="none" w:pos="985"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The Administrative Agent shall maintain the Register pursuant to </w:t>
      </w:r>
      <w:r>
        <w:rPr>
          <w:rFonts w:ascii="Arial" w:cs="Arial" w:eastAsia="Arial" w:hAnsi="Arial"/>
          <w:sz w:val="17"/>
          <w:szCs w:val="17"/>
          <w:u w:val="single" w:color="auto"/>
          <w:color w:val="auto"/>
        </w:rPr>
        <w:t>Section 13.6(b)</w:t>
      </w:r>
      <w:r>
        <w:rPr>
          <w:rFonts w:ascii="Arial" w:cs="Arial" w:eastAsia="Arial" w:hAnsi="Arial"/>
          <w:sz w:val="17"/>
          <w:szCs w:val="17"/>
          <w:color w:val="auto"/>
        </w:rPr>
        <w:t>, and a subaccount for each Lender, in which Register and subaccounts (taken together) shall be recorded (i) the amount of each Loan made hereunder, whether such Loan is a Term A Loan, New Term Loan, Revolving Credit Loan or Swingline Loan, as applicable, the Type of each Loan made, the name of the Borrower and the Interest Period, if any, applicable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1340"/>
          </w:cols>
          <w:pgMar w:left="280" w:top="972" w:right="279" w:bottom="1440" w:gutter="0" w:footer="0" w:header="0"/>
        </w:sectPr>
      </w:pPr>
    </w:p>
    <w:bookmarkStart w:id="150" w:name="page151"/>
    <w:bookmarkEnd w:id="150"/>
    <w:p>
      <w:pPr>
        <w:ind w:left="-8" w:right="80" w:firstLine="656"/>
        <w:spacing w:after="0" w:line="255" w:lineRule="auto"/>
        <w:tabs>
          <w:tab w:leader="none" w:pos="997"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The entries made in the Register and accounts and subaccounts maintained pursuant to </w:t>
      </w:r>
      <w:r>
        <w:rPr>
          <w:rFonts w:ascii="Arial" w:cs="Arial" w:eastAsia="Arial" w:hAnsi="Arial"/>
          <w:sz w:val="18"/>
          <w:szCs w:val="18"/>
          <w:u w:val="single" w:color="auto"/>
          <w:color w:val="auto"/>
        </w:rPr>
        <w:t>clauses (d)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shall, to the extent permitted by applicable law, be prima facie evidence of the existence and amounts of the obligations of the Borrower therein recorded;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of any inconsistency between the Registrar and any such account or subaccount, the Registrar shall govern,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failure of any Lender, the Administrative Agent or the Swingline Lender to maintain such account, such Register or subaccount, as applicable, or any error therein, shall not in any manner affect the obligation of the Borrower to repay (with applicable interest) the Loans made to the Borrower by such Lender in accordance with the terms of this Agreement.</w:t>
      </w:r>
    </w:p>
    <w:p>
      <w:pPr>
        <w:spacing w:after="0" w:line="193" w:lineRule="exact"/>
        <w:rPr>
          <w:rFonts w:ascii="Arial" w:cs="Arial" w:eastAsia="Arial" w:hAnsi="Arial"/>
          <w:sz w:val="18"/>
          <w:szCs w:val="18"/>
          <w:color w:val="auto"/>
        </w:rPr>
      </w:pPr>
    </w:p>
    <w:p>
      <w:pPr>
        <w:ind w:left="-8" w:right="120" w:firstLine="656"/>
        <w:spacing w:after="0" w:line="273" w:lineRule="auto"/>
        <w:tabs>
          <w:tab w:leader="none" w:pos="1027"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The Borrower hereby agrees that, upon request of any Lender at any time and from time to time after the Borrower has made an initial borrowing hereunder, the Borrower shall provide to such Lender, at the Borrower’s own expense, a promissory note, substantially in the form of </w:t>
      </w:r>
      <w:r>
        <w:rPr>
          <w:rFonts w:ascii="Arial" w:cs="Arial" w:eastAsia="Arial" w:hAnsi="Arial"/>
          <w:sz w:val="17"/>
          <w:szCs w:val="17"/>
          <w:u w:val="single" w:color="auto"/>
          <w:color w:val="auto"/>
        </w:rPr>
        <w:t>Exhibit G-1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G-2</w:t>
      </w:r>
      <w:r>
        <w:rPr>
          <w:rFonts w:ascii="Arial" w:cs="Arial" w:eastAsia="Arial" w:hAnsi="Arial"/>
          <w:sz w:val="17"/>
          <w:szCs w:val="17"/>
          <w:color w:val="auto"/>
        </w:rPr>
        <w:t xml:space="preserve">, as applicable, evidencing the (i) Revolving Loans or Swingline Loans and (ii) Term A Loans (including New Term Loans), respectively, owing to such Lender. Thereafter, unless otherwise agreed to by the applicable Lender, the Loans evidenced by such promissory note and interest thereon shall at all times (including after assignment pursuant to </w:t>
      </w:r>
      <w:r>
        <w:rPr>
          <w:rFonts w:ascii="Arial" w:cs="Arial" w:eastAsia="Arial" w:hAnsi="Arial"/>
          <w:sz w:val="17"/>
          <w:szCs w:val="17"/>
          <w:u w:val="single" w:color="auto"/>
          <w:color w:val="auto"/>
        </w:rPr>
        <w:t>Section 13.6</w:t>
      </w:r>
      <w:r>
        <w:rPr>
          <w:rFonts w:ascii="Arial" w:cs="Arial" w:eastAsia="Arial" w:hAnsi="Arial"/>
          <w:sz w:val="17"/>
          <w:szCs w:val="17"/>
          <w:color w:val="auto"/>
        </w:rPr>
        <w:t>) be represented by one or more promissory notes in such form payable to the order of the payee named therein (or, if requested by such payee, to such payee and its registered assigns).</w:t>
      </w:r>
    </w:p>
    <w:p>
      <w:pPr>
        <w:spacing w:after="0" w:line="178" w:lineRule="exact"/>
        <w:rPr>
          <w:sz w:val="20"/>
          <w:szCs w:val="20"/>
          <w:color w:val="auto"/>
        </w:rPr>
      </w:pPr>
    </w:p>
    <w:p>
      <w:pPr>
        <w:ind w:left="652"/>
        <w:spacing w:after="0"/>
        <w:tabs>
          <w:tab w:leader="none" w:pos="1032"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Conversions and Continuations</w:t>
      </w:r>
      <w:r>
        <w:rPr>
          <w:rFonts w:ascii="Arial" w:cs="Arial" w:eastAsia="Arial" w:hAnsi="Arial"/>
          <w:sz w:val="16"/>
          <w:szCs w:val="16"/>
          <w:color w:val="auto"/>
        </w:rPr>
        <w:t>.</w:t>
      </w:r>
    </w:p>
    <w:p>
      <w:pPr>
        <w:spacing w:after="0" w:line="225" w:lineRule="exact"/>
        <w:rPr>
          <w:sz w:val="20"/>
          <w:szCs w:val="20"/>
          <w:color w:val="auto"/>
        </w:rPr>
      </w:pPr>
    </w:p>
    <w:p>
      <w:pPr>
        <w:ind w:left="-8" w:right="40" w:firstLine="656"/>
        <w:spacing w:after="0" w:line="283" w:lineRule="auto"/>
        <w:tabs>
          <w:tab w:leader="none" w:pos="10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Subject to the penultimate sentence of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(x) the Borrower shall have the option on any Business Day to convert all or a portion equal to at least $5,000,000 of the outstanding principal amount of Term Loans of one Type or Revolving Credit Loans of one Type into a Borrowing or Borrowings of another Type and (y) the Borrower shall have the option on any Business Day to continue the outstanding principal amount of any LIBOR Loans as LIBOR Loans for an additional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partial conversion of LIBOR Loans shall reduce the outstanding principal amount of LIBOR Loans made pursuant to a single Borrowing to less than the Minimum Borrowing Amount, (ii) ABR Loans may not be converted into LIBOR Loans if an Event of Default is in existence on the date of the conversion and the Administrative Agent has or the Required Lenders have determined in its or their sole discretion not to permit such conversion, (iii) LIBOR Loans may not be continued as LIBOR Loans for an additional Interest Period if an Event of Default is in existence on the date of the proposed continuation and the Administrative Agent has or the Required Lenders have determined in its or their sole discretion not to permit such continuation, and (iv) Borrowings resulting from conversions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shall be limited in number as provided in </w:t>
      </w:r>
      <w:r>
        <w:rPr>
          <w:rFonts w:ascii="Arial" w:cs="Arial" w:eastAsia="Arial" w:hAnsi="Arial"/>
          <w:sz w:val="16"/>
          <w:szCs w:val="16"/>
          <w:u w:val="single" w:color="auto"/>
          <w:color w:val="auto"/>
        </w:rPr>
        <w:t>Section 2.2</w:t>
      </w:r>
      <w:r>
        <w:rPr>
          <w:rFonts w:ascii="Arial" w:cs="Arial" w:eastAsia="Arial" w:hAnsi="Arial"/>
          <w:sz w:val="16"/>
          <w:szCs w:val="16"/>
          <w:color w:val="auto"/>
        </w:rPr>
        <w:t>. Each such conversion or continuation shall be effected by the Borrower by giving the Administrative Agent at the Administrative Agent’s Office prior to 1:00 p.m. (New York City time) at least (i) three Business Days prior, in the case of a continuation of or conversion to LIBOR Loans (other than in the case of a notice delivered on the Restatement Effective Date, which shall be deemed to be effective on the Restatement Effective Date), or</w:t>
      </w:r>
    </w:p>
    <w:p>
      <w:pPr>
        <w:spacing w:after="0" w:line="3" w:lineRule="exact"/>
        <w:rPr>
          <w:rFonts w:ascii="Arial" w:cs="Arial" w:eastAsia="Arial" w:hAnsi="Arial"/>
          <w:sz w:val="16"/>
          <w:szCs w:val="16"/>
          <w:color w:val="auto"/>
        </w:rPr>
      </w:pPr>
    </w:p>
    <w:p>
      <w:pPr>
        <w:ind w:left="-8" w:firstLine="8"/>
        <w:spacing w:after="0" w:line="268" w:lineRule="auto"/>
        <w:tabs>
          <w:tab w:leader="none" w:pos="257" w:val="left"/>
        </w:tabs>
        <w:numPr>
          <w:ilvl w:val="0"/>
          <w:numId w:val="90"/>
        </w:numPr>
        <w:rPr>
          <w:rFonts w:ascii="Arial" w:cs="Arial" w:eastAsia="Arial" w:hAnsi="Arial"/>
          <w:sz w:val="17"/>
          <w:szCs w:val="17"/>
          <w:color w:val="auto"/>
        </w:rPr>
      </w:pPr>
      <w:r>
        <w:rPr>
          <w:rFonts w:ascii="Arial" w:cs="Arial" w:eastAsia="Arial" w:hAnsi="Arial"/>
          <w:sz w:val="17"/>
          <w:szCs w:val="17"/>
          <w:color w:val="auto"/>
        </w:rPr>
        <w:t>one Business Day prior in the case of a conversion into ABR Loans (each, a “</w:t>
      </w:r>
      <w:r>
        <w:rPr>
          <w:rFonts w:ascii="Arial" w:cs="Arial" w:eastAsia="Arial" w:hAnsi="Arial"/>
          <w:sz w:val="17"/>
          <w:szCs w:val="17"/>
          <w:b w:val="1"/>
          <w:bCs w:val="1"/>
          <w:color w:val="auto"/>
        </w:rPr>
        <w:t>Notice of Conversion or Continuation</w:t>
      </w:r>
      <w:r>
        <w:rPr>
          <w:rFonts w:ascii="Arial" w:cs="Arial" w:eastAsia="Arial" w:hAnsi="Arial"/>
          <w:sz w:val="17"/>
          <w:szCs w:val="17"/>
          <w:color w:val="auto"/>
        </w:rPr>
        <w:t xml:space="preserve">” substantially in the form of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K</w:t>
      </w:r>
      <w:r>
        <w:rPr>
          <w:rFonts w:ascii="Arial" w:cs="Arial" w:eastAsia="Arial" w:hAnsi="Arial"/>
          <w:sz w:val="17"/>
          <w:szCs w:val="17"/>
          <w:color w:val="auto"/>
        </w:rPr>
        <w:t xml:space="preserve">) specifying the Loans to be so converted or continued, the Type of Loans to be converted or continued into and, if such Loans are to be converted into or continued as LIBOR Loans, the Interest Period to be initially applicable thereto. Such notice may be given by (A) telephone, or (B) a Notice of Conversion;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telephonic notice must be confirmed immediately by delivery to the Administrative Agent of a Notice of Conversion. A Notice of Conversion or Continuation may be in such other form as may be approved by the Administrative Agent (including any form on an electronic platform or electronic transmission system as shall be approved by the Administrative Agent) and shall be appropriately completed and signed by an Authorized Officer of the Borrower. If no Interest Period is specified in any such notice with respect to any conversion to or continuation as a LIBOR Loan, the Borrower shall be deemed to have selected an Interest Period of one month’s duration. The Administrative Agent shall give each applicable Lender notice as promptly as practicable of any such proposed conversion or continuation affecting any of its Loans.</w:t>
      </w:r>
    </w:p>
    <w:p>
      <w:pPr>
        <w:spacing w:after="0" w:line="200" w:lineRule="exact"/>
        <w:rPr>
          <w:sz w:val="20"/>
          <w:szCs w:val="20"/>
          <w:color w:val="auto"/>
        </w:rPr>
      </w:pPr>
    </w:p>
    <w:p>
      <w:pPr>
        <w:spacing w:after="0" w:line="223"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1412"/>
          </w:cols>
          <w:pgMar w:left="248" w:top="814" w:right="239" w:bottom="1440" w:gutter="0" w:footer="0" w:header="0"/>
        </w:sectPr>
      </w:pPr>
    </w:p>
    <w:bookmarkStart w:id="151" w:name="page152"/>
    <w:bookmarkEnd w:id="151"/>
    <w:p>
      <w:pPr>
        <w:ind w:right="160" w:firstLine="656"/>
        <w:spacing w:after="0" w:line="276" w:lineRule="auto"/>
        <w:tabs>
          <w:tab w:leader="none" w:pos="1038"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If any Event of Default is in existence at the time of any proposed continuation of any LIBOR Loans and the Administrative Agent has or the Required Lenders have determined in its or their sole discretion not to permit such continuation, such LIBOR Loans shall be automatically converted on the last day of the current Interest Period into ABR Loans. If upon the expiration of any Interest Period in respect of LIBOR Loans, the Borrower has failed to elect a new Interest Period to be applicable thereto as provided in </w:t>
      </w:r>
      <w:r>
        <w:rPr>
          <w:rFonts w:ascii="Arial" w:cs="Arial" w:eastAsia="Arial" w:hAnsi="Arial"/>
          <w:sz w:val="17"/>
          <w:szCs w:val="17"/>
          <w:u w:val="single" w:color="auto"/>
          <w:color w:val="auto"/>
        </w:rPr>
        <w:t>clause (a)</w:t>
      </w:r>
      <w:r>
        <w:rPr>
          <w:rFonts w:ascii="Arial" w:cs="Arial" w:eastAsia="Arial" w:hAnsi="Arial"/>
          <w:sz w:val="17"/>
          <w:szCs w:val="17"/>
          <w:color w:val="auto"/>
        </w:rPr>
        <w:t>, the Borrower shall be deemed to have elected to convert such Borrowing of LIBOR Loans into a Borrowing of ABR Loans, effective as of the expiration date of such current Interest Period.</w:t>
      </w:r>
    </w:p>
    <w:p>
      <w:pPr>
        <w:spacing w:after="0" w:line="17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Pro Rata Borrowings</w:t>
      </w:r>
      <w:r>
        <w:rPr>
          <w:rFonts w:ascii="Arial" w:cs="Arial" w:eastAsia="Arial" w:hAnsi="Arial"/>
          <w:sz w:val="17"/>
          <w:szCs w:val="17"/>
          <w:color w:val="auto"/>
        </w:rPr>
        <w:t>. Each Borrowing of Term A Loans under this Agreement shall be made by the Lenders pro rata on the basis of their then-applicable Term A Loan Commitments. Each Borrowing of Revolving Credit Loans under this Agreement shall be made by the Revolving Credit Lenders pro rata on the basis of their then-applicable Revolving Credit Commitment Percentages. Each Borrowing of New Term Loans under this Agreement shall be made by the Lenders pro rata on the basis of their then-applicable New Term Loan Commitments. It is understood that (a) no Lender shall be responsible for any default by any other Lender in its obligation to make Loans hereunder and that each Lender severally but not jointly shall be obligated to make the Loans provided to be made by it hereunder, regardless of the failure of any other Lender to fulfill its commitments hereunder and (b) other than as expressly provided herein with respect to a Defaulting Lender, failure by a Lender to perform any of its obligations under any of the Credit Documents shall not release any Person from performance of its obligation, under any Credit Document.</w:t>
      </w:r>
    </w:p>
    <w:p>
      <w:pPr>
        <w:spacing w:after="0" w:line="179"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64" w:lineRule="auto"/>
        <w:tabs>
          <w:tab w:leader="none" w:pos="1025"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The unpaid principal amount of each ABR Loan shall bear interest from the date of the Borrowing thereof until maturity (whether by acceleration or otherwise) at a rate per annum that shall at all times be the Applicable Margin for ABR Loans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ABR, in each case, in effect from time to time.</w:t>
      </w:r>
    </w:p>
    <w:p>
      <w:pPr>
        <w:spacing w:after="0" w:line="181" w:lineRule="exact"/>
        <w:rPr>
          <w:rFonts w:ascii="Arial" w:cs="Arial" w:eastAsia="Arial" w:hAnsi="Arial"/>
          <w:sz w:val="18"/>
          <w:szCs w:val="18"/>
          <w:color w:val="auto"/>
        </w:rPr>
      </w:pPr>
    </w:p>
    <w:p>
      <w:pPr>
        <w:ind w:right="60" w:firstLine="656"/>
        <w:spacing w:after="0" w:line="342" w:lineRule="auto"/>
        <w:tabs>
          <w:tab w:leader="none" w:pos="1035"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The unpaid principal amount of each LIBOR Loan shall bear interest from the date of the Borrowing thereof until maturity thereof (whether by acceleration or otherwise) at a rate per annum that shall at all times be the Applicable Margin for LIBOR Loans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relevant LIBOR Rate.</w:t>
      </w:r>
    </w:p>
    <w:p>
      <w:pPr>
        <w:spacing w:after="0" w:line="123" w:lineRule="exact"/>
        <w:rPr>
          <w:rFonts w:ascii="Arial" w:cs="Arial" w:eastAsia="Arial" w:hAnsi="Arial"/>
          <w:sz w:val="16"/>
          <w:szCs w:val="16"/>
          <w:color w:val="auto"/>
        </w:rPr>
      </w:pPr>
    </w:p>
    <w:p>
      <w:pPr>
        <w:ind w:firstLine="656"/>
        <w:spacing w:after="0" w:line="276" w:lineRule="auto"/>
        <w:tabs>
          <w:tab w:leader="none" w:pos="1028" w:val="left"/>
        </w:tabs>
        <w:numPr>
          <w:ilvl w:val="0"/>
          <w:numId w:val="92"/>
        </w:numPr>
        <w:rPr>
          <w:rFonts w:ascii="Arial" w:cs="Arial" w:eastAsia="Arial" w:hAnsi="Arial"/>
          <w:sz w:val="17"/>
          <w:szCs w:val="17"/>
          <w:color w:val="auto"/>
        </w:rPr>
      </w:pPr>
      <w:r>
        <w:rPr>
          <w:rFonts w:ascii="Arial" w:cs="Arial" w:eastAsia="Arial" w:hAnsi="Arial"/>
          <w:sz w:val="17"/>
          <w:szCs w:val="17"/>
          <w:color w:val="auto"/>
        </w:rPr>
        <w:t>If all or a portion of (i) the principal amount of any Loan or (ii) any interest payable thereon or any other amount payable hereunder shall not be paid when due (whether at the stated maturity, by acceleration or otherwise), such overdue amount shall bear interest at a rate per annum (the “</w:t>
      </w:r>
      <w:r>
        <w:rPr>
          <w:rFonts w:ascii="Arial" w:cs="Arial" w:eastAsia="Arial" w:hAnsi="Arial"/>
          <w:sz w:val="17"/>
          <w:szCs w:val="17"/>
          <w:b w:val="1"/>
          <w:bCs w:val="1"/>
          <w:color w:val="auto"/>
        </w:rPr>
        <w:t>Default Rate</w:t>
      </w:r>
      <w:r>
        <w:rPr>
          <w:rFonts w:ascii="Arial" w:cs="Arial" w:eastAsia="Arial" w:hAnsi="Arial"/>
          <w:sz w:val="17"/>
          <w:szCs w:val="17"/>
          <w:color w:val="auto"/>
        </w:rPr>
        <w:t xml:space="preserve">”) that is (x) in the case of overdue principal, the rate that would otherwise be applicable thereto </w:t>
      </w:r>
      <w:r>
        <w:rPr>
          <w:rFonts w:ascii="Arial" w:cs="Arial" w:eastAsia="Arial" w:hAnsi="Arial"/>
          <w:sz w:val="17"/>
          <w:szCs w:val="17"/>
          <w:i w:val="1"/>
          <w:iCs w:val="1"/>
          <w:color w:val="auto"/>
        </w:rPr>
        <w:t>plus</w:t>
      </w:r>
      <w:r>
        <w:rPr>
          <w:rFonts w:ascii="Arial" w:cs="Arial" w:eastAsia="Arial" w:hAnsi="Arial"/>
          <w:sz w:val="17"/>
          <w:szCs w:val="17"/>
          <w:color w:val="auto"/>
        </w:rPr>
        <w:t xml:space="preserve"> 2.00% or (y) in the case of any other overdue amount, including overdue interest, to the extent permitted by applicable law, the rate described in </w:t>
      </w:r>
      <w:r>
        <w:rPr>
          <w:rFonts w:ascii="Arial" w:cs="Arial" w:eastAsia="Arial" w:hAnsi="Arial"/>
          <w:sz w:val="17"/>
          <w:szCs w:val="17"/>
          <w:u w:val="single" w:color="auto"/>
          <w:color w:val="auto"/>
        </w:rPr>
        <w:t>Section 2.8(a)</w:t>
      </w:r>
      <w:r>
        <w:rPr>
          <w:rFonts w:ascii="Arial" w:cs="Arial" w:eastAsia="Arial" w:hAnsi="Arial"/>
          <w:sz w:val="17"/>
          <w:szCs w:val="17"/>
          <w:color w:val="auto"/>
        </w:rPr>
        <w:t xml:space="preserve"> for the applicable Class </w:t>
      </w:r>
      <w:r>
        <w:rPr>
          <w:rFonts w:ascii="Arial" w:cs="Arial" w:eastAsia="Arial" w:hAnsi="Arial"/>
          <w:sz w:val="17"/>
          <w:szCs w:val="17"/>
          <w:i w:val="1"/>
          <w:iCs w:val="1"/>
          <w:color w:val="auto"/>
        </w:rPr>
        <w:t>plus</w:t>
      </w:r>
      <w:r>
        <w:rPr>
          <w:rFonts w:ascii="Arial" w:cs="Arial" w:eastAsia="Arial" w:hAnsi="Arial"/>
          <w:sz w:val="17"/>
          <w:szCs w:val="17"/>
          <w:color w:val="auto"/>
        </w:rPr>
        <w:t xml:space="preserve"> 2.00% from the date of such non-payment to the date on which such amount is paid in full (after as well as before judgment).</w:t>
      </w:r>
    </w:p>
    <w:p>
      <w:pPr>
        <w:spacing w:after="0" w:line="172" w:lineRule="exact"/>
        <w:rPr>
          <w:rFonts w:ascii="Arial" w:cs="Arial" w:eastAsia="Arial" w:hAnsi="Arial"/>
          <w:sz w:val="17"/>
          <w:szCs w:val="17"/>
          <w:color w:val="auto"/>
        </w:rPr>
      </w:pPr>
    </w:p>
    <w:p>
      <w:pPr>
        <w:ind w:right="60" w:firstLine="656"/>
        <w:spacing w:after="0" w:line="255" w:lineRule="auto"/>
        <w:tabs>
          <w:tab w:leader="none" w:pos="1038"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Interest on each Loan shall accrue from and including the date of any Borrowing to but excluding the date of any repayment thereof and shall be payable in the same currency in which the Loan is denominated;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date on which it is made shall bear interest for one day. Except as provided below, interest shall be payable (i) in respect of each ABR Loan, quarterly in arrears on the last Business Day of March, June, September and December, (ii) in respect of each LIBOR Loan, on the last day of each Interest Period applicable thereto and, in the case of an Interest Period in excess of three months, on each date occurring at three-month intervals after the first day of such Interest Period, and (iii) in respect of each Loan, (A) except in the case of ABR Revolving Credit Loans on any prepayment in respect thereof, (B) at maturity (whether by acceleration or otherwise), and (C) after such maturity, on demand.</w:t>
      </w:r>
    </w:p>
    <w:p>
      <w:pPr>
        <w:spacing w:after="0" w:line="189" w:lineRule="exact"/>
        <w:rPr>
          <w:rFonts w:ascii="Arial" w:cs="Arial" w:eastAsia="Arial" w:hAnsi="Arial"/>
          <w:sz w:val="18"/>
          <w:szCs w:val="18"/>
          <w:color w:val="auto"/>
        </w:rPr>
      </w:pPr>
    </w:p>
    <w:p>
      <w:pPr>
        <w:ind w:left="1020" w:hanging="364"/>
        <w:spacing w:after="0"/>
        <w:tabs>
          <w:tab w:leader="none" w:pos="10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All computations of interest hereunder shall be made in accordance with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656"/>
        <w:spacing w:after="0" w:line="342" w:lineRule="auto"/>
        <w:tabs>
          <w:tab w:leader="none" w:pos="1005"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Administrative Agent, upon determining the interest rate for any Borrowing of LIBOR Loans, shall promptly notify the Borrower and the relevant Lenders thereof. Each such determination shall, absent clearly demonstrable error, be final and conclusive and binding on all parties hereto.</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400"/>
          </w:cols>
          <w:pgMar w:left="240" w:top="814" w:right="259" w:bottom="1440" w:gutter="0" w:footer="0" w:header="0"/>
        </w:sectPr>
      </w:pPr>
    </w:p>
    <w:bookmarkStart w:id="152" w:name="page153"/>
    <w:bookmarkEnd w:id="152"/>
    <w:p>
      <w:pPr>
        <w:ind w:firstLine="648"/>
        <w:spacing w:after="0" w:line="257"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Interest Periods</w:t>
      </w:r>
      <w:r>
        <w:rPr>
          <w:rFonts w:ascii="Arial" w:cs="Arial" w:eastAsia="Arial" w:hAnsi="Arial"/>
          <w:sz w:val="18"/>
          <w:szCs w:val="18"/>
          <w:color w:val="auto"/>
        </w:rPr>
        <w:t xml:space="preserve">. At the time the Borrower gives a Notice of Borrowing or Notice of Conversion or Continuation in respect of the making of, or conversion into or continuation as, a Borrowing of LIBOR Loans in accordance with </w:t>
      </w:r>
      <w:r>
        <w:rPr>
          <w:rFonts w:ascii="Arial" w:cs="Arial" w:eastAsia="Arial" w:hAnsi="Arial"/>
          <w:sz w:val="18"/>
          <w:szCs w:val="18"/>
          <w:u w:val="single" w:color="auto"/>
          <w:color w:val="auto"/>
        </w:rPr>
        <w:t>Section 2.6(a)</w:t>
      </w:r>
      <w:r>
        <w:rPr>
          <w:rFonts w:ascii="Arial" w:cs="Arial" w:eastAsia="Arial" w:hAnsi="Arial"/>
          <w:sz w:val="18"/>
          <w:szCs w:val="18"/>
          <w:color w:val="auto"/>
        </w:rPr>
        <w:t>, the Borrower shall give the Administrative Agent written notice of the Interest Period applicable to such Borrowing, which Interest Period shall, at the option of the Borrower be a one, two, three or six month period (or if available to all the Lenders making such LIBOR Loans as determined by such Lenders in good faith based on prevailing market conditions, a twelve month or shorter period).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anything to the contrary contained above:</w:t>
      </w:r>
    </w:p>
    <w:p>
      <w:pPr>
        <w:spacing w:after="0" w:line="225" w:lineRule="exact"/>
        <w:rPr>
          <w:sz w:val="20"/>
          <w:szCs w:val="20"/>
          <w:color w:val="auto"/>
        </w:rPr>
      </w:pPr>
    </w:p>
    <w:p>
      <w:pPr>
        <w:ind w:left="660" w:right="60" w:firstLine="645"/>
        <w:spacing w:after="0" w:line="264" w:lineRule="auto"/>
        <w:tabs>
          <w:tab w:leader="none" w:pos="168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initial Interest Period for any Borrowing of LIBOR Loans shall commence on the date of such Borrowing (including the date of any conversion from a Borrowing of ABR Loans) and each Interest Period occurring thereafter in respect of such Borrowing shall commence on the day on which the next preceding Interest Period expires;</w:t>
      </w:r>
    </w:p>
    <w:p>
      <w:pPr>
        <w:spacing w:after="0" w:line="181" w:lineRule="exact"/>
        <w:rPr>
          <w:rFonts w:ascii="Arial" w:cs="Arial" w:eastAsia="Arial" w:hAnsi="Arial"/>
          <w:sz w:val="18"/>
          <w:szCs w:val="18"/>
          <w:color w:val="auto"/>
        </w:rPr>
      </w:pPr>
    </w:p>
    <w:p>
      <w:pPr>
        <w:ind w:left="660" w:right="20" w:firstLine="645"/>
        <w:spacing w:after="0" w:line="264" w:lineRule="auto"/>
        <w:tabs>
          <w:tab w:leader="none" w:pos="1698"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any Interest Period relating to a Borrowing of LIBOR Loans begins on the last Business Day of a calendar month or begins on a day for which there is no numerically corresponding day in the calendar month at the end of such Interest Period, such Interest Period shall end on the last Business Day of the calendar month at the end of such Interest Period;</w:t>
      </w:r>
    </w:p>
    <w:p>
      <w:pPr>
        <w:spacing w:after="0" w:line="181" w:lineRule="exact"/>
        <w:rPr>
          <w:rFonts w:ascii="Arial" w:cs="Arial" w:eastAsia="Arial" w:hAnsi="Arial"/>
          <w:sz w:val="18"/>
          <w:szCs w:val="18"/>
          <w:color w:val="auto"/>
        </w:rPr>
      </w:pPr>
    </w:p>
    <w:p>
      <w:pPr>
        <w:ind w:left="660" w:right="300" w:firstLine="645"/>
        <w:spacing w:after="0" w:line="259" w:lineRule="auto"/>
        <w:tabs>
          <w:tab w:leader="none" w:pos="1688"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if any Interest Period would otherwise expire on a day that is not a Business Day, such Interest Period shall expire on the next succeeding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Interest Period in respect of a LIBOR Loan would otherwise expire on a day that is not a Business Day but is a day of the month after which no further Business Day occurs in such month, such Interest Period shall expire on the immediately preceding Business Day; and</w:t>
      </w:r>
    </w:p>
    <w:p>
      <w:pPr>
        <w:spacing w:after="0" w:line="186" w:lineRule="exact"/>
        <w:rPr>
          <w:rFonts w:ascii="Arial" w:cs="Arial" w:eastAsia="Arial" w:hAnsi="Arial"/>
          <w:sz w:val="18"/>
          <w:szCs w:val="18"/>
          <w:color w:val="auto"/>
        </w:rPr>
      </w:pPr>
    </w:p>
    <w:p>
      <w:pPr>
        <w:ind w:left="660" w:right="420" w:firstLine="645"/>
        <w:spacing w:after="0" w:line="277" w:lineRule="auto"/>
        <w:tabs>
          <w:tab w:leader="none" w:pos="169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Borrower shall not be entitled to elect any Interest Period in respect of any LIBOR Loan if such Interest Period would extend beyond the Maturity Date of such Loan.</w:t>
      </w:r>
    </w:p>
    <w:p>
      <w:pPr>
        <w:spacing w:after="0" w:line="17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Increased Costs, Illegality, Etc</w:t>
      </w:r>
      <w:r>
        <w:rPr>
          <w:rFonts w:ascii="Arial" w:cs="Arial" w:eastAsia="Arial" w:hAnsi="Arial"/>
          <w:sz w:val="16"/>
          <w:szCs w:val="16"/>
          <w:color w:val="auto"/>
        </w:rPr>
        <w:t>.</w:t>
      </w:r>
    </w:p>
    <w:p>
      <w:pPr>
        <w:spacing w:after="0" w:line="225" w:lineRule="exact"/>
        <w:rPr>
          <w:sz w:val="20"/>
          <w:szCs w:val="20"/>
          <w:color w:val="auto"/>
        </w:rPr>
      </w:pPr>
    </w:p>
    <w:p>
      <w:pPr>
        <w:ind w:right="340" w:firstLine="656"/>
        <w:spacing w:after="0" w:line="312" w:lineRule="auto"/>
        <w:tabs>
          <w:tab w:leader="none" w:pos="1028"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In the event that (x)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below, the Administrative Agent and (y) in the case of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below, the Required Term Loan Lenders (with respect to Term Loans) or the Required Revolving Credit Lenders (with respect to Revolving Credit Commitments) shall have reasonably determined (which determination shall, absent clearly demonstrable error, be final and conclusive and binding upon all parties hereto):</w:t>
      </w:r>
    </w:p>
    <w:p>
      <w:pPr>
        <w:spacing w:after="0" w:line="146" w:lineRule="exact"/>
        <w:rPr>
          <w:rFonts w:ascii="Arial" w:cs="Arial" w:eastAsia="Arial" w:hAnsi="Arial"/>
          <w:sz w:val="16"/>
          <w:szCs w:val="16"/>
          <w:color w:val="auto"/>
        </w:rPr>
      </w:pPr>
    </w:p>
    <w:p>
      <w:pPr>
        <w:ind w:left="660" w:right="80" w:firstLine="888"/>
        <w:spacing w:after="0" w:line="259" w:lineRule="auto"/>
        <w:tabs>
          <w:tab w:leader="none" w:pos="1901" w:val="left"/>
        </w:tabs>
        <w:numPr>
          <w:ilvl w:val="1"/>
          <w:numId w:val="94"/>
        </w:numPr>
        <w:rPr>
          <w:rFonts w:ascii="Arial" w:cs="Arial" w:eastAsia="Arial" w:hAnsi="Arial"/>
          <w:sz w:val="18"/>
          <w:szCs w:val="18"/>
          <w:color w:val="auto"/>
        </w:rPr>
      </w:pPr>
      <w:r>
        <w:rPr>
          <w:rFonts w:ascii="Arial" w:cs="Arial" w:eastAsia="Arial" w:hAnsi="Arial"/>
          <w:sz w:val="18"/>
          <w:szCs w:val="18"/>
          <w:color w:val="auto"/>
        </w:rPr>
        <w:t>on any date for determining the LIBOR Rate for any Interest Period that (x) deposits in the principal amounts and currencies of the Loans comprising such LIBOR Borrowing are not generally available in the relevant market or (y) by reason of any changes arising on or after the Restatement Effective Date affecting the interbank LIBOR market, adequate and fair means do not exist for ascertaining the applicable interest rate on the basis provided for in the definition of “LIBOR Rate”; or</w:t>
      </w:r>
    </w:p>
    <w:p>
      <w:pPr>
        <w:spacing w:after="0" w:line="186" w:lineRule="exact"/>
        <w:rPr>
          <w:rFonts w:ascii="Arial" w:cs="Arial" w:eastAsia="Arial" w:hAnsi="Arial"/>
          <w:sz w:val="18"/>
          <w:szCs w:val="18"/>
          <w:color w:val="auto"/>
        </w:rPr>
      </w:pPr>
    </w:p>
    <w:p>
      <w:pPr>
        <w:ind w:left="660" w:right="220" w:firstLine="888"/>
        <w:spacing w:after="0" w:line="264" w:lineRule="auto"/>
        <w:tabs>
          <w:tab w:leader="none" w:pos="1951" w:val="left"/>
        </w:tabs>
        <w:numPr>
          <w:ilvl w:val="1"/>
          <w:numId w:val="94"/>
        </w:numPr>
        <w:rPr>
          <w:rFonts w:ascii="Arial" w:cs="Arial" w:eastAsia="Arial" w:hAnsi="Arial"/>
          <w:sz w:val="18"/>
          <w:szCs w:val="18"/>
          <w:color w:val="auto"/>
        </w:rPr>
      </w:pPr>
      <w:r>
        <w:rPr>
          <w:rFonts w:ascii="Arial" w:cs="Arial" w:eastAsia="Arial" w:hAnsi="Arial"/>
          <w:sz w:val="18"/>
          <w:szCs w:val="18"/>
          <w:color w:val="auto"/>
        </w:rPr>
        <w:t>at any time, that such Lenders shall incur increased costs or reductions in the amounts received or receivable hereunder with respect to any LIBOR Loans (including any increased costs or reductions attributable to Taxes, other than any increase or reduction attributable to Indemnified Taxes, Excluded Taxes or Other Taxes) because of any Change in Law; or</w:t>
      </w:r>
    </w:p>
    <w:p>
      <w:pPr>
        <w:spacing w:after="0" w:line="181" w:lineRule="exact"/>
        <w:rPr>
          <w:rFonts w:ascii="Arial" w:cs="Arial" w:eastAsia="Arial" w:hAnsi="Arial"/>
          <w:sz w:val="18"/>
          <w:szCs w:val="18"/>
          <w:color w:val="auto"/>
        </w:rPr>
      </w:pPr>
    </w:p>
    <w:p>
      <w:pPr>
        <w:jc w:val="both"/>
        <w:ind w:left="660" w:right="200" w:firstLine="888"/>
        <w:spacing w:after="0" w:line="302" w:lineRule="auto"/>
        <w:tabs>
          <w:tab w:leader="none" w:pos="2001" w:val="left"/>
        </w:tabs>
        <w:numPr>
          <w:ilvl w:val="1"/>
          <w:numId w:val="94"/>
        </w:numPr>
        <w:rPr>
          <w:rFonts w:ascii="Arial" w:cs="Arial" w:eastAsia="Arial" w:hAnsi="Arial"/>
          <w:sz w:val="16"/>
          <w:szCs w:val="16"/>
          <w:color w:val="auto"/>
        </w:rPr>
      </w:pPr>
      <w:r>
        <w:rPr>
          <w:rFonts w:ascii="Arial" w:cs="Arial" w:eastAsia="Arial" w:hAnsi="Arial"/>
          <w:sz w:val="16"/>
          <w:szCs w:val="16"/>
          <w:color w:val="auto"/>
        </w:rPr>
        <w:t>at any time, that the making or continuance of any LIBOR Loan has become unlawful by compliance by such Lenders in good faith with any law, governmental rule, regulation, guideline or order (or would conflict with any such governmental rule, regulation, guideline or order not having the force of law even though the failure to comply therewith would not be unlawful), or has become impracticable as a result of a contingency occurring after the Restatement Effective Date that materially and adversely affects the interbank LIBOR market;</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1400"/>
          </w:cols>
          <w:pgMar w:left="240" w:top="814" w:right="259" w:bottom="1440" w:gutter="0" w:footer="0" w:header="0"/>
        </w:sectPr>
      </w:pPr>
    </w:p>
    <w:bookmarkStart w:id="153" w:name="page154"/>
    <w:bookmarkEnd w:id="153"/>
    <w:p>
      <w:pPr>
        <w:spacing w:after="0" w:line="283" w:lineRule="auto"/>
        <w:rPr>
          <w:sz w:val="20"/>
          <w:szCs w:val="20"/>
          <w:color w:val="auto"/>
        </w:rPr>
      </w:pPr>
      <w:r>
        <w:rPr>
          <w:rFonts w:ascii="Arial" w:cs="Arial" w:eastAsia="Arial" w:hAnsi="Arial"/>
          <w:sz w:val="16"/>
          <w:szCs w:val="16"/>
          <w:color w:val="auto"/>
        </w:rPr>
        <w:t>(such Loans, “</w:t>
      </w:r>
      <w:r>
        <w:rPr>
          <w:rFonts w:ascii="Arial" w:cs="Arial" w:eastAsia="Arial" w:hAnsi="Arial"/>
          <w:sz w:val="16"/>
          <w:szCs w:val="16"/>
          <w:b w:val="1"/>
          <w:bCs w:val="1"/>
          <w:color w:val="auto"/>
        </w:rPr>
        <w:t>Impacted Loans</w:t>
      </w:r>
      <w:r>
        <w:rPr>
          <w:rFonts w:ascii="Arial" w:cs="Arial" w:eastAsia="Arial" w:hAnsi="Arial"/>
          <w:sz w:val="16"/>
          <w:szCs w:val="16"/>
          <w:color w:val="auto"/>
        </w:rPr>
        <w:t xml:space="preserve">”), then, and in any such event, such Required Term Loan Lenders or Required Revolving Credit Lenders, as applicable (or the Administrative Agent,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shall within a reasonable time thereafter give notice (if by telephone, confirmed in writing) to Holdings, the Borrower, and to the Administrative Agent of such determination (which notice the Administrative Agent shall promptly transmit to each of the other Lenders). Thereafter (x)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LIBOR Loans shall no longer be available until such time as the Administrative Agent notifies Holdings, the Borrower and the Lenders that the circumstances giving rise to such notice by the Administrative Agent no longer exist (which notice the Administrative Agent agrees to give at such time when such circumstances no longer exist), and any Notice of Borrowing or Notice of Conversion given by the Borrower with respect to LIBOR Loans that have not yet been incurred shall be deemed rescinded by the Borrower, (y)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the Borrower shall pay to such Lenders, promptly after receipt of written demand therefor such additional amounts (in the form of an increased rate of, or a different method of calculating, interest or otherwise as such Required Term Loan Lenders or Required Revolving Credit Lenders, as applicable, in their reasonable discretion shall determine) as shall be required to compensate such Lenders for such actual increased costs or reductions in amounts receivable hereunder (it being agreed that a written notice as to the additional amounts owed to such Lenders, showing in reasonable detail the basis for the calculation thereof, submitted to the Borrower by such Lenders shall, absent clearly demonstrable error, be final and conclusive and binding upon all parties hereto), and</w:t>
      </w:r>
    </w:p>
    <w:p>
      <w:pPr>
        <w:spacing w:after="0" w:line="8" w:lineRule="exact"/>
        <w:rPr>
          <w:sz w:val="20"/>
          <w:szCs w:val="20"/>
          <w:color w:val="auto"/>
        </w:rPr>
      </w:pPr>
    </w:p>
    <w:p>
      <w:pPr>
        <w:ind w:right="120" w:firstLine="8"/>
        <w:spacing w:after="0" w:line="261" w:lineRule="auto"/>
        <w:tabs>
          <w:tab w:leader="none" w:pos="245"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in the case of </w:t>
      </w:r>
      <w:r>
        <w:rPr>
          <w:rFonts w:ascii="Arial" w:cs="Arial" w:eastAsia="Arial" w:hAnsi="Arial"/>
          <w:sz w:val="18"/>
          <w:szCs w:val="18"/>
          <w:u w:val="single" w:color="auto"/>
          <w:color w:val="auto"/>
        </w:rPr>
        <w:t>subclause (iii)</w:t>
      </w:r>
      <w:r>
        <w:rPr>
          <w:rFonts w:ascii="Arial" w:cs="Arial" w:eastAsia="Arial" w:hAnsi="Arial"/>
          <w:sz w:val="18"/>
          <w:szCs w:val="18"/>
          <w:color w:val="auto"/>
        </w:rPr>
        <w:t xml:space="preserve"> above, the Borrower shall take one of the actions specified in </w:t>
      </w:r>
      <w:r>
        <w:rPr>
          <w:rFonts w:ascii="Arial" w:cs="Arial" w:eastAsia="Arial" w:hAnsi="Arial"/>
          <w:sz w:val="18"/>
          <w:szCs w:val="18"/>
          <w:u w:val="single" w:color="auto"/>
          <w:color w:val="auto"/>
        </w:rPr>
        <w:t>subclause (x)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(y)</w:t>
      </w:r>
      <w:r>
        <w:rPr>
          <w:rFonts w:ascii="Arial" w:cs="Arial" w:eastAsia="Arial" w:hAnsi="Arial"/>
          <w:sz w:val="18"/>
          <w:szCs w:val="18"/>
          <w:color w:val="auto"/>
        </w:rPr>
        <w:t xml:space="preserve">, as applicable, of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promptly and, in any event, within the time period required by law.</w:t>
      </w:r>
    </w:p>
    <w:p>
      <w:pPr>
        <w:spacing w:after="0" w:line="183" w:lineRule="exact"/>
        <w:rPr>
          <w:rFonts w:ascii="Arial" w:cs="Arial" w:eastAsia="Arial" w:hAnsi="Arial"/>
          <w:sz w:val="18"/>
          <w:szCs w:val="18"/>
          <w:color w:val="auto"/>
        </w:rPr>
      </w:pPr>
    </w:p>
    <w:p>
      <w:pPr>
        <w:ind w:firstLine="656"/>
        <w:spacing w:after="0" w:line="286" w:lineRule="auto"/>
        <w:tabs>
          <w:tab w:leader="none" w:pos="1028" w:val="left"/>
        </w:tabs>
        <w:numPr>
          <w:ilvl w:val="1"/>
          <w:numId w:val="95"/>
        </w:numPr>
        <w:rPr>
          <w:rFonts w:ascii="Arial" w:cs="Arial" w:eastAsia="Arial" w:hAnsi="Arial"/>
          <w:sz w:val="16"/>
          <w:szCs w:val="16"/>
          <w:color w:val="auto"/>
        </w:rPr>
      </w:pPr>
      <w:r>
        <w:rPr>
          <w:rFonts w:ascii="Arial" w:cs="Arial" w:eastAsia="Arial" w:hAnsi="Arial"/>
          <w:sz w:val="16"/>
          <w:szCs w:val="16"/>
          <w:color w:val="auto"/>
        </w:rPr>
        <w:t xml:space="preserve">At any time that any LIBOR Loan is affected by the circumstances described in </w:t>
      </w:r>
      <w:r>
        <w:rPr>
          <w:rFonts w:ascii="Arial" w:cs="Arial" w:eastAsia="Arial" w:hAnsi="Arial"/>
          <w:sz w:val="16"/>
          <w:szCs w:val="16"/>
          <w:u w:val="single" w:color="auto"/>
          <w:color w:val="auto"/>
        </w:rPr>
        <w:t>Section 2.10(a)(ii)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the Borrower may (and in the case of a LIBOR Loan affected pursuant to </w:t>
      </w:r>
      <w:r>
        <w:rPr>
          <w:rFonts w:ascii="Arial" w:cs="Arial" w:eastAsia="Arial" w:hAnsi="Arial"/>
          <w:sz w:val="16"/>
          <w:szCs w:val="16"/>
          <w:u w:val="single" w:color="auto"/>
          <w:color w:val="auto"/>
        </w:rPr>
        <w:t>Section 2.10(a)(iii)</w:t>
      </w:r>
      <w:r>
        <w:rPr>
          <w:rFonts w:ascii="Arial" w:cs="Arial" w:eastAsia="Arial" w:hAnsi="Arial"/>
          <w:sz w:val="16"/>
          <w:szCs w:val="16"/>
          <w:color w:val="auto"/>
        </w:rPr>
        <w:t xml:space="preserve"> shall) either (x) if a Notice of Borrowing or Notice of Conversion or Continuation with respect to the affected LIBOR Loan has been submitted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but the affected LIBOR Loan has not been funded or continued, cancel such requested Borrowing by giving the Administrative Agent written notice thereof on the same date that the Borrower was notified by Lenders pursuant to </w:t>
      </w:r>
      <w:r>
        <w:rPr>
          <w:rFonts w:ascii="Arial" w:cs="Arial" w:eastAsia="Arial" w:hAnsi="Arial"/>
          <w:sz w:val="16"/>
          <w:szCs w:val="16"/>
          <w:u w:val="single" w:color="auto"/>
          <w:color w:val="auto"/>
        </w:rPr>
        <w:t>Section 2.10(a)</w:t>
      </w:r>
    </w:p>
    <w:p>
      <w:pPr>
        <w:spacing w:after="0" w:line="1" w:lineRule="exact"/>
        <w:rPr>
          <w:rFonts w:ascii="Arial" w:cs="Arial" w:eastAsia="Arial" w:hAnsi="Arial"/>
          <w:sz w:val="16"/>
          <w:szCs w:val="16"/>
          <w:color w:val="auto"/>
        </w:rPr>
      </w:pPr>
    </w:p>
    <w:p>
      <w:pPr>
        <w:ind w:right="40" w:firstLine="8"/>
        <w:spacing w:after="0" w:line="255" w:lineRule="auto"/>
        <w:tabs>
          <w:tab w:leader="none" w:pos="265" w:val="left"/>
        </w:tabs>
        <w:numPr>
          <w:ilvl w:val="0"/>
          <w:numId w:val="96"/>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or (y) if the affected LIBOR Loan is then outstanding, upon at least three Business Days’ notice to the Administrative Agent, require the affected Lender to convert each such LIBOR Loan into an ABR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more than one Lender is affected at any time, then all affected Lenders must be treated in the same manner pursuant to this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190" w:lineRule="exact"/>
        <w:rPr>
          <w:rFonts w:ascii="Arial" w:cs="Arial" w:eastAsia="Arial" w:hAnsi="Arial"/>
          <w:sz w:val="18"/>
          <w:szCs w:val="18"/>
          <w:u w:val="single" w:color="auto"/>
          <w:color w:val="auto"/>
        </w:rPr>
      </w:pPr>
    </w:p>
    <w:p>
      <w:pPr>
        <w:ind w:right="100" w:firstLine="656"/>
        <w:spacing w:after="0" w:line="287" w:lineRule="auto"/>
        <w:tabs>
          <w:tab w:leader="none" w:pos="1028" w:val="left"/>
        </w:tabs>
        <w:numPr>
          <w:ilvl w:val="1"/>
          <w:numId w:val="96"/>
        </w:numPr>
        <w:rPr>
          <w:rFonts w:ascii="Arial" w:cs="Arial" w:eastAsia="Arial" w:hAnsi="Arial"/>
          <w:sz w:val="16"/>
          <w:szCs w:val="16"/>
          <w:color w:val="auto"/>
        </w:rPr>
      </w:pPr>
      <w:r>
        <w:rPr>
          <w:rFonts w:ascii="Arial" w:cs="Arial" w:eastAsia="Arial" w:hAnsi="Arial"/>
          <w:sz w:val="16"/>
          <w:szCs w:val="16"/>
          <w:color w:val="auto"/>
        </w:rPr>
        <w:t xml:space="preserve">If, after the Restatement Effective Date, any Change in Law relating to capital adequacy or liquidity of any Lender or compliance by any Lender or its parent with any Change in Law relating to capital adequacy or liquidity occurring after the Restatement Effective Date, has or would have the effect of reducing the actual rate of return on such Lender’s or its parent’s or its Affiliate’s capital or assets as a consequence of such Lender’s commitments or obligations hereunder to a level below that which such Lender or its parent or its Affiliate could have achieved but for such Change in Law (taking into consideration such Lender’s or its parent’s policies with respect to capital adequacy or liquidity), then from time to time, promptly after demand by such Lender (with a copy to the Administrative Agent), the Borrower shall pay to such Lender such actual additional amount or amounts as will compensate such Lender or its parent for such actual reduction, it being understood and agreed, however, that a Lender shall not be entitled to such compensation to the extent such Lender is not imposing such charges on, or requesting such compensation from, borrowers (similarly situated to the Borrower hereunder) under comparable syndicated credit facilities similar to the Credit Facilities. Each Lender, upon determining in good faith that any additional amounts will be payable pursuant to this </w:t>
      </w:r>
      <w:r>
        <w:rPr>
          <w:rFonts w:ascii="Arial" w:cs="Arial" w:eastAsia="Arial" w:hAnsi="Arial"/>
          <w:sz w:val="16"/>
          <w:szCs w:val="16"/>
          <w:u w:val="single" w:color="auto"/>
          <w:color w:val="auto"/>
        </w:rPr>
        <w:t>Section 2.10(c)</w:t>
      </w:r>
      <w:r>
        <w:rPr>
          <w:rFonts w:ascii="Arial" w:cs="Arial" w:eastAsia="Arial" w:hAnsi="Arial"/>
          <w:sz w:val="16"/>
          <w:szCs w:val="16"/>
          <w:color w:val="auto"/>
        </w:rPr>
        <w:t xml:space="preserve">, will give prompt written notice thereof to the Borrower, which notice shall set forth in reasonable detail the basis of the calculation of such additional amounts, although the failure to give any such notice shall not,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release or diminish the Borrower’s obligations to pay additional amounts pursuant to this </w:t>
      </w:r>
      <w:r>
        <w:rPr>
          <w:rFonts w:ascii="Arial" w:cs="Arial" w:eastAsia="Arial" w:hAnsi="Arial"/>
          <w:sz w:val="16"/>
          <w:szCs w:val="16"/>
          <w:u w:val="single" w:color="auto"/>
          <w:color w:val="auto"/>
        </w:rPr>
        <w:t>Section 2.10(c)</w:t>
      </w:r>
      <w:r>
        <w:rPr>
          <w:rFonts w:ascii="Arial" w:cs="Arial" w:eastAsia="Arial" w:hAnsi="Arial"/>
          <w:sz w:val="16"/>
          <w:szCs w:val="16"/>
          <w:color w:val="auto"/>
        </w:rPr>
        <w:t xml:space="preserve"> promptly following receipt of such notice.</w:t>
      </w:r>
    </w:p>
    <w:p>
      <w:pPr>
        <w:spacing w:after="0" w:line="168" w:lineRule="exact"/>
        <w:rPr>
          <w:rFonts w:ascii="Arial" w:cs="Arial" w:eastAsia="Arial" w:hAnsi="Arial"/>
          <w:sz w:val="16"/>
          <w:szCs w:val="16"/>
          <w:color w:val="auto"/>
        </w:rPr>
      </w:pPr>
    </w:p>
    <w:p>
      <w:pPr>
        <w:ind w:firstLine="656"/>
        <w:spacing w:after="0" w:line="259" w:lineRule="auto"/>
        <w:tabs>
          <w:tab w:leader="none" w:pos="1038" w:val="left"/>
        </w:tabs>
        <w:numPr>
          <w:ilvl w:val="1"/>
          <w:numId w:val="96"/>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or any other Credit Documents, if the Administrative Agent (after consultation with the Borrower) determines (which determination shall be conclusive absent manifest error), or the Borrower or Required Lenders notify the Administrative Agent (with, in the case of the Required Lenders, a copy to Borrower) that the Borrower or Required Lenders (as applicable) have determined, that: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400"/>
          </w:cols>
          <w:pgMar w:left="240" w:top="810" w:right="259" w:bottom="1440" w:gutter="0" w:footer="0" w:header="0"/>
        </w:sectPr>
      </w:pPr>
    </w:p>
    <w:bookmarkStart w:id="154" w:name="page155"/>
    <w:bookmarkEnd w:id="154"/>
    <w:p>
      <w:pPr>
        <w:ind w:left="660" w:right="20" w:firstLine="888"/>
        <w:spacing w:after="0" w:line="342" w:lineRule="auto"/>
        <w:tabs>
          <w:tab w:leader="none" w:pos="1901" w:val="left"/>
        </w:tabs>
        <w:numPr>
          <w:ilvl w:val="0"/>
          <w:numId w:val="97"/>
        </w:numPr>
        <w:rPr>
          <w:rFonts w:ascii="Arial" w:cs="Arial" w:eastAsia="Arial" w:hAnsi="Arial"/>
          <w:sz w:val="16"/>
          <w:szCs w:val="16"/>
          <w:color w:val="auto"/>
        </w:rPr>
      </w:pPr>
      <w:r>
        <w:rPr>
          <w:rFonts w:ascii="Arial" w:cs="Arial" w:eastAsia="Arial" w:hAnsi="Arial"/>
          <w:sz w:val="16"/>
          <w:szCs w:val="16"/>
          <w:color w:val="auto"/>
        </w:rPr>
        <w:t>adequate and reasonable means do not exist for ascertaining LIBOR for any requested Interest Period, including, without limitation, because the LIBOR Screen Rate is not available or published on a current basis and such circumstances are unlikely to be temporary; or</w:t>
      </w:r>
    </w:p>
    <w:p>
      <w:pPr>
        <w:spacing w:after="0" w:line="123" w:lineRule="exact"/>
        <w:rPr>
          <w:rFonts w:ascii="Arial" w:cs="Arial" w:eastAsia="Arial" w:hAnsi="Arial"/>
          <w:sz w:val="16"/>
          <w:szCs w:val="16"/>
          <w:color w:val="auto"/>
        </w:rPr>
      </w:pPr>
    </w:p>
    <w:p>
      <w:pPr>
        <w:ind w:left="660" w:right="220" w:firstLine="888"/>
        <w:spacing w:after="0" w:line="264" w:lineRule="auto"/>
        <w:tabs>
          <w:tab w:leader="none" w:pos="1951"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(such specific date, the “</w:t>
      </w:r>
      <w:r>
        <w:rPr>
          <w:rFonts w:ascii="Arial" w:cs="Arial" w:eastAsia="Arial" w:hAnsi="Arial"/>
          <w:sz w:val="18"/>
          <w:szCs w:val="18"/>
          <w:b w:val="1"/>
          <w:bCs w:val="1"/>
          <w:color w:val="auto"/>
        </w:rPr>
        <w:t>Scheduled Unavailability Date</w:t>
      </w:r>
      <w:r>
        <w:rPr>
          <w:rFonts w:ascii="Arial" w:cs="Arial" w:eastAsia="Arial" w:hAnsi="Arial"/>
          <w:sz w:val="18"/>
          <w:szCs w:val="18"/>
          <w:color w:val="auto"/>
        </w:rPr>
        <w:t>”), or</w:t>
      </w:r>
    </w:p>
    <w:p>
      <w:pPr>
        <w:spacing w:after="0" w:line="181" w:lineRule="exact"/>
        <w:rPr>
          <w:rFonts w:ascii="Arial" w:cs="Arial" w:eastAsia="Arial" w:hAnsi="Arial"/>
          <w:sz w:val="18"/>
          <w:szCs w:val="18"/>
          <w:color w:val="auto"/>
        </w:rPr>
      </w:pPr>
    </w:p>
    <w:p>
      <w:pPr>
        <w:ind w:left="660" w:right="80" w:firstLine="888"/>
        <w:spacing w:after="0" w:line="277" w:lineRule="auto"/>
        <w:tabs>
          <w:tab w:leader="none" w:pos="2001" w:val="left"/>
        </w:tabs>
        <w:numPr>
          <w:ilvl w:val="0"/>
          <w:numId w:val="97"/>
        </w:numPr>
        <w:rPr>
          <w:rFonts w:ascii="Arial" w:cs="Arial" w:eastAsia="Arial" w:hAnsi="Arial"/>
          <w:sz w:val="18"/>
          <w:szCs w:val="18"/>
          <w:color w:val="auto"/>
        </w:rPr>
      </w:pPr>
      <w:r>
        <w:rPr>
          <w:rFonts w:ascii="Arial" w:cs="Arial" w:eastAsia="Arial" w:hAnsi="Arial"/>
          <w:sz w:val="18"/>
          <w:szCs w:val="18"/>
          <w:color w:val="auto"/>
        </w:rPr>
        <w:t>syndicated loans currently being executed, or that include language similar to that contained in this Section, are being executed or amended (as applicable) to incorporate or adopt a new benchmark interest rate to replace LIBOR,</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then, reasonably promptly after such determination by the Administrative Agent or receipt by the Administrative Agent of such notice , as applicable, the Administrative Agent and the Borrower may amend this Agreement to replace LIBOR with an alternate benchmark rate (including any mathematical or other adjustments to the benchmark (if any) incorporated therein), giving due consideration to any evolving or then existing convention for similar Dollar denominated syndicated credit facilities for such alternative benchmarks (any such proposed rate, a “</w:t>
      </w:r>
      <w:r>
        <w:rPr>
          <w:rFonts w:ascii="Arial" w:cs="Arial" w:eastAsia="Arial" w:hAnsi="Arial"/>
          <w:sz w:val="16"/>
          <w:szCs w:val="16"/>
          <w:b w:val="1"/>
          <w:bCs w:val="1"/>
          <w:color w:val="auto"/>
        </w:rPr>
        <w:t>LIBOR Successor Rate</w:t>
      </w:r>
      <w:r>
        <w:rPr>
          <w:rFonts w:ascii="Arial" w:cs="Arial" w:eastAsia="Arial" w:hAnsi="Arial"/>
          <w:sz w:val="16"/>
          <w:szCs w:val="16"/>
          <w:color w:val="auto"/>
        </w:rPr>
        <w:t>”), together with any proposed LIBOR Successor Rate Conforming Changes (as defined below) and any such amendment shall become effective at 5:00 p.m. (New York time)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do not accept such amendment.</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no LIBOR Successor Rate has been determined and the circumstances under clause (i) above exist or the Scheduled Unavailability Date has occurred (as applicable), the Administrative Agent will promptly so notify the Borrower and each Lender. Thereafter, (x) the obligation of the Lenders to make or maintain LIBOR Loans shall be suspended, (to the extent of the affected LIBOR Loans or Interest Periods), and (y) the LIBOR Rate component shall no longer be utilized in determining the ABR. Upon receipt of such notice, the Borrower may revoke any pending request for a Borrowing of, conversion to or continuation of LIBOR Loans (to the extent of the affected LIBOR Loans or Interest Periods) or, failing that, will be deemed to have converted such request into a request for a Borrowing of ABR Loans (subject to the foregoing clause (y)) in the amount specified therein.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anything else herein, any definition of “LIBOR Successor Rate” shall provide that in no event shall such LIBOR Successor Rate be less than zero for purposes of this Agreement</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Compensation</w:t>
      </w:r>
      <w:r>
        <w:rPr>
          <w:rFonts w:ascii="Arial" w:cs="Arial" w:eastAsia="Arial" w:hAnsi="Arial"/>
          <w:sz w:val="17"/>
          <w:szCs w:val="17"/>
          <w:color w:val="auto"/>
        </w:rPr>
        <w:t xml:space="preserve">. If (a) any payment of principal of any LIBOR Loan is made by the Borrower to or for the account of a Lender other than on the last day of the Interest Period for such LIBOR Loan as a result of a payment or conversion pursuant to </w:t>
      </w:r>
      <w:r>
        <w:rPr>
          <w:rFonts w:ascii="Arial" w:cs="Arial" w:eastAsia="Arial" w:hAnsi="Arial"/>
          <w:sz w:val="17"/>
          <w:szCs w:val="17"/>
          <w:u w:val="single" w:color="auto"/>
          <w:color w:val="auto"/>
        </w:rPr>
        <w:t>Sections 2.5</w:t>
      </w:r>
      <w:r>
        <w:rPr>
          <w:rFonts w:ascii="Arial" w:cs="Arial" w:eastAsia="Arial" w:hAnsi="Arial"/>
          <w:sz w:val="17"/>
          <w:szCs w:val="17"/>
          <w:color w:val="auto"/>
        </w:rPr>
        <w:t xml:space="preserve">, </w:t>
      </w:r>
      <w:r>
        <w:rPr>
          <w:rFonts w:ascii="Arial" w:cs="Arial" w:eastAsia="Arial" w:hAnsi="Arial"/>
          <w:sz w:val="17"/>
          <w:szCs w:val="17"/>
          <w:u w:val="single" w:color="auto"/>
          <w:color w:val="auto"/>
        </w:rPr>
        <w:t>2.6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5.1</w:t>
      </w:r>
      <w:r>
        <w:rPr>
          <w:rFonts w:ascii="Arial" w:cs="Arial" w:eastAsia="Arial" w:hAnsi="Arial"/>
          <w:sz w:val="17"/>
          <w:szCs w:val="17"/>
          <w:color w:val="auto"/>
        </w:rPr>
        <w:t xml:space="preserve">, </w:t>
      </w:r>
      <w:r>
        <w:rPr>
          <w:rFonts w:ascii="Arial" w:cs="Arial" w:eastAsia="Arial" w:hAnsi="Arial"/>
          <w:sz w:val="17"/>
          <w:szCs w:val="17"/>
          <w:u w:val="single" w:color="auto"/>
          <w:color w:val="auto"/>
        </w:rPr>
        <w:t>5.2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13.7</w:t>
      </w:r>
      <w:r>
        <w:rPr>
          <w:rFonts w:ascii="Arial" w:cs="Arial" w:eastAsia="Arial" w:hAnsi="Arial"/>
          <w:sz w:val="17"/>
          <w:szCs w:val="17"/>
          <w:color w:val="auto"/>
        </w:rPr>
        <w:t xml:space="preserve">, as a result of acceleration of the maturity of the Loans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or for any other reason, (b) any Borrowing of LIBOR Loans is not made as a result of a withdrawn Notice of Borrowing or a failure to satisfy borrowing conditions, (c) any ABR Loan is not converted into a LIBOR Loan as a result of a withdrawn Notice of Conversion or Continuation, (d) any LIBOR Loan is not continued as a LIBOR Loan, as the case may be, as a result of a withdrawn Notice of Conversion or Continuation or (e) any prepayment of principal of any LIBOR Loan is not made as a result of a withdrawn notice of prepayment pursuant to </w:t>
      </w:r>
      <w:r>
        <w:rPr>
          <w:rFonts w:ascii="Arial" w:cs="Arial" w:eastAsia="Arial" w:hAnsi="Arial"/>
          <w:sz w:val="17"/>
          <w:szCs w:val="17"/>
          <w:u w:val="single" w:color="auto"/>
          <w:color w:val="auto"/>
        </w:rPr>
        <w:t>Sections 5.1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5.2</w:t>
      </w:r>
      <w:r>
        <w:rPr>
          <w:rFonts w:ascii="Arial" w:cs="Arial" w:eastAsia="Arial" w:hAnsi="Arial"/>
          <w:sz w:val="17"/>
          <w:szCs w:val="17"/>
          <w:color w:val="auto"/>
        </w:rPr>
        <w:t xml:space="preserve">, the Borrower shall, after receipt of a written request by such Lender (which request shall set forth in reasonable detail the basis for requesting such amount), promptly pay to the Administrative Agent for the account of such Lender any amounts required to compensate such Lender for any additional losses, costs or expenses that such Lender may reasonably incur as a result of such payment, failure to convert, failure to continue or failure to prepay, including any loss, cost or expense (excluding loss of anticipated profits) actually incurred by reason of the liquidation or reemployment of deposits or other funds acquired by any Lender to fund or maintain such LIBOR Loan. A certificate of a Lender setting forth the amount or amounts necessary to compensate such Lender as specified in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and setting forth in reasonable detail the manner in which such amount or amounts were determined shall be delivered to the Borrower and shall be conclusive, absent manifest error.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1420"/>
          </w:cols>
          <w:pgMar w:left="240" w:top="814" w:right="239" w:bottom="1440" w:gutter="0" w:footer="0" w:header="0"/>
        </w:sectPr>
      </w:pPr>
    </w:p>
    <w:bookmarkStart w:id="155" w:name="page156"/>
    <w:bookmarkEnd w:id="155"/>
    <w:p>
      <w:pPr>
        <w:ind w:firstLine="648"/>
        <w:spacing w:after="0" w:line="255"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Change of Lending Office</w:t>
      </w:r>
      <w:r>
        <w:rPr>
          <w:rFonts w:ascii="Arial" w:cs="Arial" w:eastAsia="Arial" w:hAnsi="Arial"/>
          <w:sz w:val="18"/>
          <w:szCs w:val="18"/>
          <w:color w:val="auto"/>
        </w:rPr>
        <w:t xml:space="preserve">. Each Lender agrees that, upon the occurrence of any event giving rise to the operation of </w:t>
      </w:r>
      <w:r>
        <w:rPr>
          <w:rFonts w:ascii="Arial" w:cs="Arial" w:eastAsia="Arial" w:hAnsi="Arial"/>
          <w:sz w:val="18"/>
          <w:szCs w:val="18"/>
          <w:u w:val="single" w:color="auto"/>
          <w:color w:val="auto"/>
        </w:rPr>
        <w:t>Sections 2.10(a)(ii)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2.10(a)(iii)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2.10(b)</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with respect to such Lender, it will, if requested by the Borrower use reasonable efforts (subject to overall policy considerations of such Lender) to designate another lending office for any Loans affected by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designation is made on such terms that such Lender and its lending office suffer no unreimbursed cost or other material economic, legal or regulatory disadvantage, with the object of avoiding the consequence of the event giving rise to the operation of any such Section. Nothing in this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shall affect or postpone any of the obligations of the Borrower or the right of any Lender provided in </w:t>
      </w:r>
      <w:r>
        <w:rPr>
          <w:rFonts w:ascii="Arial" w:cs="Arial" w:eastAsia="Arial" w:hAnsi="Arial"/>
          <w:sz w:val="18"/>
          <w:szCs w:val="18"/>
          <w:u w:val="single" w:color="auto"/>
          <w:color w:val="auto"/>
        </w:rPr>
        <w:t>Sections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w:t>
      </w:r>
    </w:p>
    <w:p>
      <w:pPr>
        <w:spacing w:after="0" w:line="19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Notice of Certain Costs</w:t>
      </w:r>
      <w:r>
        <w:rPr>
          <w:rFonts w:ascii="Arial" w:cs="Arial" w:eastAsia="Arial" w:hAnsi="Arial"/>
          <w:sz w:val="18"/>
          <w:szCs w:val="18"/>
          <w:color w:val="auto"/>
        </w:rPr>
        <w:t xml:space="preserve">. Notwithstanding anything in this Agreement to the contrary, to the extent any notice required by </w:t>
      </w:r>
      <w:r>
        <w:rPr>
          <w:rFonts w:ascii="Arial" w:cs="Arial" w:eastAsia="Arial" w:hAnsi="Arial"/>
          <w:sz w:val="18"/>
          <w:szCs w:val="18"/>
          <w:u w:val="single" w:color="auto"/>
          <w:color w:val="auto"/>
        </w:rPr>
        <w:t>Sections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is given by any Lender more than 120 days after such Lender has knowledge (or should have had knowledge) of the occurrence of the event giving rise to the additional cost, reduction in amounts, loss, or other additional amounts described in such Sections, such Lender shall not be entitled to compensation under </w:t>
      </w:r>
      <w:r>
        <w:rPr>
          <w:rFonts w:ascii="Arial" w:cs="Arial" w:eastAsia="Arial" w:hAnsi="Arial"/>
          <w:sz w:val="18"/>
          <w:szCs w:val="18"/>
          <w:u w:val="single" w:color="auto"/>
          <w:color w:val="auto"/>
        </w:rPr>
        <w:t>Sections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as the case may be, for any such amounts incurred or accruing prior to the 121st day prior to the giving of such notice to the Borrower.</w:t>
      </w:r>
    </w:p>
    <w:p>
      <w:pPr>
        <w:spacing w:after="0" w:line="18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Incremental Facilities</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67" w:lineRule="auto"/>
        <w:tabs>
          <w:tab w:leader="none" w:pos="1025"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Borrower may by written notice to Administrative Agent elect to request the establishment of one or more (x) additional tranches of term loans (the commitments thereto, the “</w:t>
      </w:r>
      <w:r>
        <w:rPr>
          <w:rFonts w:ascii="Arial" w:cs="Arial" w:eastAsia="Arial" w:hAnsi="Arial"/>
          <w:sz w:val="17"/>
          <w:szCs w:val="17"/>
          <w:b w:val="1"/>
          <w:bCs w:val="1"/>
          <w:color w:val="auto"/>
        </w:rPr>
        <w:t>New Term Loan Commitments</w:t>
      </w:r>
      <w:r>
        <w:rPr>
          <w:rFonts w:ascii="Arial" w:cs="Arial" w:eastAsia="Arial" w:hAnsi="Arial"/>
          <w:sz w:val="17"/>
          <w:szCs w:val="17"/>
          <w:color w:val="auto"/>
        </w:rPr>
        <w:t>”), (y) increases in Revolving Credit Commitments (the “</w:t>
      </w:r>
      <w:r>
        <w:rPr>
          <w:rFonts w:ascii="Arial" w:cs="Arial" w:eastAsia="Arial" w:hAnsi="Arial"/>
          <w:sz w:val="17"/>
          <w:szCs w:val="17"/>
          <w:b w:val="1"/>
          <w:bCs w:val="1"/>
          <w:color w:val="auto"/>
        </w:rPr>
        <w:t>New Revolving Credit</w:t>
      </w:r>
      <w:r>
        <w:rPr>
          <w:rFonts w:ascii="Arial" w:cs="Arial" w:eastAsia="Arial" w:hAnsi="Arial"/>
          <w:sz w:val="17"/>
          <w:szCs w:val="17"/>
          <w:color w:val="auto"/>
        </w:rPr>
        <w:t xml:space="preserve"> </w:t>
      </w:r>
      <w:r>
        <w:rPr>
          <w:rFonts w:ascii="Arial" w:cs="Arial" w:eastAsia="Arial" w:hAnsi="Arial"/>
          <w:sz w:val="17"/>
          <w:szCs w:val="17"/>
          <w:b w:val="1"/>
          <w:bCs w:val="1"/>
          <w:color w:val="auto"/>
        </w:rPr>
        <w:t>Commitments</w:t>
      </w:r>
      <w:r>
        <w:rPr>
          <w:rFonts w:ascii="Arial" w:cs="Arial" w:eastAsia="Arial" w:hAnsi="Arial"/>
          <w:sz w:val="17"/>
          <w:szCs w:val="17"/>
          <w:color w:val="auto"/>
        </w:rPr>
        <w:t>” and together with the New Term Loan Commitments, the “</w:t>
      </w:r>
      <w:r>
        <w:rPr>
          <w:rFonts w:ascii="Arial" w:cs="Arial" w:eastAsia="Arial" w:hAnsi="Arial"/>
          <w:sz w:val="17"/>
          <w:szCs w:val="17"/>
          <w:b w:val="1"/>
          <w:bCs w:val="1"/>
          <w:color w:val="auto"/>
        </w:rPr>
        <w:t>New Loan Commitments</w:t>
      </w:r>
      <w:r>
        <w:rPr>
          <w:rFonts w:ascii="Arial" w:cs="Arial" w:eastAsia="Arial" w:hAnsi="Arial"/>
          <w:sz w:val="17"/>
          <w:szCs w:val="17"/>
          <w:color w:val="auto"/>
        </w:rPr>
        <w:t>”), by an aggregate amount not in excess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Maximum Incremental Facilities Amount in the aggregate and not less than $10,000,000 individually (or such lesser amount as (x) may be approved by the Administrative Agent or (y) shall constitute the difference between the Maximum Incremental Facilities Amount and all such New Loan Commitments obtained on or prior to such date). Each such notice shall specify the date (each, an “</w:t>
      </w:r>
      <w:r>
        <w:rPr>
          <w:rFonts w:ascii="Arial" w:cs="Arial" w:eastAsia="Arial" w:hAnsi="Arial"/>
          <w:sz w:val="17"/>
          <w:szCs w:val="17"/>
          <w:b w:val="1"/>
          <w:bCs w:val="1"/>
          <w:color w:val="auto"/>
        </w:rPr>
        <w:t>Increased Amount Date</w:t>
      </w:r>
      <w:r>
        <w:rPr>
          <w:rFonts w:ascii="Arial" w:cs="Arial" w:eastAsia="Arial" w:hAnsi="Arial"/>
          <w:sz w:val="17"/>
          <w:szCs w:val="17"/>
          <w:color w:val="auto"/>
        </w:rPr>
        <w:t xml:space="preserve">”) on which the Borrower proposes that the New Loan Commitments shall be effective. In connection with the incurrence of any Indebtedness under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at the request of the Administrative Agent, the Borrower shall provide to the Administrative Agent a certificate certifying that the New Loan Commitments do not exceed the Maximum Incremental Facilities Amount, which certificate shall be in reasonable detail and shall provide the calculations and basis therefor. The Borrower may approach any Lender or any Person (other than a natural Person) to provide all or a portion of the New Loan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Lender offered or approached to provide all or a portion of the New Loan Commitments may elect or decline, in its sole discretion, to provide a New Loan Commitment. In each case, such New Loan Commitments shall become effective as of the applicable Increased Amount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Event of Default (except in connection with an acquisition or investment, no Event of Default under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shall exist on such Increased Amount Date before or after giving effect to such New Loan Commitments, as applicable, (ii) the New Loan Commitments shall be effected pursuant to one or more Joinder Agreements executed and delivered by the Borrower and Administrative Agent, and each of which shall be recorded in the Register and shall be subject to the requirements set forth in </w:t>
      </w:r>
      <w:r>
        <w:rPr>
          <w:rFonts w:ascii="Arial" w:cs="Arial" w:eastAsia="Arial" w:hAnsi="Arial"/>
          <w:sz w:val="17"/>
          <w:szCs w:val="17"/>
          <w:u w:val="single" w:color="auto"/>
          <w:color w:val="auto"/>
        </w:rPr>
        <w:t>Section 5.4(e)</w:t>
      </w:r>
      <w:r>
        <w:rPr>
          <w:rFonts w:ascii="Arial" w:cs="Arial" w:eastAsia="Arial" w:hAnsi="Arial"/>
          <w:sz w:val="17"/>
          <w:szCs w:val="17"/>
          <w:color w:val="auto"/>
        </w:rPr>
        <w:t xml:space="preserve">, and (iii) the Borrower shall make any payments required pursuant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in connection with the New Loan Commitments, as applicable. No Lender shall have any obligation to provide any Commitments pursuant to this </w:t>
      </w:r>
      <w:r>
        <w:rPr>
          <w:rFonts w:ascii="Arial" w:cs="Arial" w:eastAsia="Arial" w:hAnsi="Arial"/>
          <w:sz w:val="17"/>
          <w:szCs w:val="17"/>
          <w:u w:val="single" w:color="auto"/>
          <w:color w:val="auto"/>
        </w:rPr>
        <w:t>Section 2.14(a)</w:t>
      </w:r>
      <w:r>
        <w:rPr>
          <w:rFonts w:ascii="Arial" w:cs="Arial" w:eastAsia="Arial" w:hAnsi="Arial"/>
          <w:sz w:val="17"/>
          <w:szCs w:val="17"/>
          <w:color w:val="auto"/>
        </w:rPr>
        <w:t>. Any New Term Loans made on an Increased Amount Date shall, at the election of the Borrower and agreed to by Lenders providing such New Term Loan Commitments, be designated as (a) a separate series (a “</w:t>
      </w:r>
      <w:r>
        <w:rPr>
          <w:rFonts w:ascii="Arial" w:cs="Arial" w:eastAsia="Arial" w:hAnsi="Arial"/>
          <w:sz w:val="17"/>
          <w:szCs w:val="17"/>
          <w:b w:val="1"/>
          <w:bCs w:val="1"/>
          <w:color w:val="auto"/>
        </w:rPr>
        <w:t>Series</w:t>
      </w:r>
      <w:r>
        <w:rPr>
          <w:rFonts w:ascii="Arial" w:cs="Arial" w:eastAsia="Arial" w:hAnsi="Arial"/>
          <w:sz w:val="17"/>
          <w:szCs w:val="17"/>
          <w:color w:val="auto"/>
        </w:rPr>
        <w:t>”) of New Term Loans for all purposes of this Agreement or (b) as part of a Series of existing Term Loans for all purposes of this Agreement.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-76-</w:t>
      </w:r>
    </w:p>
    <w:p>
      <w:pPr>
        <w:sectPr>
          <w:pgSz w:w="11900" w:h="16838" w:orient="portrait"/>
          <w:cols w:equalWidth="0" w:num="1">
            <w:col w:w="11420"/>
          </w:cols>
          <w:pgMar w:left="240" w:top="814" w:right="239" w:bottom="1440" w:gutter="0" w:footer="0" w:header="0"/>
        </w:sectPr>
      </w:pPr>
    </w:p>
    <w:bookmarkStart w:id="156" w:name="page157"/>
    <w:bookmarkEnd w:id="156"/>
    <w:p>
      <w:pPr>
        <w:ind w:left="-20" w:right="120" w:firstLine="656"/>
        <w:spacing w:after="0" w:line="269" w:lineRule="auto"/>
        <w:tabs>
          <w:tab w:leader="none" w:pos="1018" w:val="left"/>
        </w:tabs>
        <w:numPr>
          <w:ilvl w:val="0"/>
          <w:numId w:val="99"/>
        </w:numPr>
        <w:rPr>
          <w:rFonts w:ascii="Arial" w:cs="Arial" w:eastAsia="Arial" w:hAnsi="Arial"/>
          <w:sz w:val="17"/>
          <w:szCs w:val="17"/>
          <w:color w:val="auto"/>
        </w:rPr>
      </w:pPr>
      <w:r>
        <w:rPr>
          <w:rFonts w:ascii="Arial" w:cs="Arial" w:eastAsia="Arial" w:hAnsi="Arial"/>
          <w:sz w:val="17"/>
          <w:szCs w:val="17"/>
          <w:color w:val="auto"/>
        </w:rPr>
        <w:t>On any Increased Amount Date on which New Revolving Credit Commitments (and each Loan made under a New Revolving Credit Commitment (a “</w:t>
      </w:r>
      <w:r>
        <w:rPr>
          <w:rFonts w:ascii="Arial" w:cs="Arial" w:eastAsia="Arial" w:hAnsi="Arial"/>
          <w:sz w:val="17"/>
          <w:szCs w:val="17"/>
          <w:b w:val="1"/>
          <w:bCs w:val="1"/>
          <w:color w:val="auto"/>
        </w:rPr>
        <w:t>New Revolving Credit Loan</w:t>
      </w:r>
      <w:r>
        <w:rPr>
          <w:rFonts w:ascii="Arial" w:cs="Arial" w:eastAsia="Arial" w:hAnsi="Arial"/>
          <w:sz w:val="17"/>
          <w:szCs w:val="17"/>
          <w:color w:val="auto"/>
        </w:rPr>
        <w:t>”) are effected, subject to the satisfaction of the foregoing terms and conditions, each of the Lenders with Revolving Credit Commitments of such Class shall assign to each Lender with a New Revolving Credit Commitment (each, a “</w:t>
      </w:r>
      <w:r>
        <w:rPr>
          <w:rFonts w:ascii="Arial" w:cs="Arial" w:eastAsia="Arial" w:hAnsi="Arial"/>
          <w:sz w:val="17"/>
          <w:szCs w:val="17"/>
          <w:b w:val="1"/>
          <w:bCs w:val="1"/>
          <w:color w:val="auto"/>
        </w:rPr>
        <w:t>New Revolving Loan</w:t>
      </w:r>
      <w:r>
        <w:rPr>
          <w:rFonts w:ascii="Arial" w:cs="Arial" w:eastAsia="Arial" w:hAnsi="Arial"/>
          <w:sz w:val="17"/>
          <w:szCs w:val="17"/>
          <w:color w:val="auto"/>
        </w:rPr>
        <w:t xml:space="preserve"> </w:t>
      </w:r>
      <w:r>
        <w:rPr>
          <w:rFonts w:ascii="Arial" w:cs="Arial" w:eastAsia="Arial" w:hAnsi="Arial"/>
          <w:sz w:val="17"/>
          <w:szCs w:val="17"/>
          <w:b w:val="1"/>
          <w:bCs w:val="1"/>
          <w:color w:val="auto"/>
        </w:rPr>
        <w:t>Lender</w:t>
      </w:r>
      <w:r>
        <w:rPr>
          <w:rFonts w:ascii="Arial" w:cs="Arial" w:eastAsia="Arial" w:hAnsi="Arial"/>
          <w:sz w:val="17"/>
          <w:szCs w:val="17"/>
          <w:color w:val="auto"/>
        </w:rPr>
        <w:t>”) and each of the New Revolving Loan Lenders shall purchase from each of the Lenders with Revolving Credit Commitments of such Class, at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principal amount thereof, such interests in the Revolving Credit Loans outstanding on such Increased Amount Date as shall be necessary in order that, after giving effect to all such assignments and purchases, the Revolving Credit Loans of such Class will be held by existing Revolving Credit Lenders and New Revolving Loan Lenders ratably in accordance with their Revolving Credit Commitments of such Class after giving effect to the addition of such New Revolving Credit Commitments to the Revolving Credit Commitments and each New Revolving Loan Lender and shall become a Lender with respect to the New Revolving Credit Commitment and all matters relating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Administrative Agent, the Swingline Lender and the Letter of Credit Issuer shall have consented (not to be unreasonably withheld or delayed) to such Lender’s or New Revolving Loan Lender’s providing such New Revolving Credit Commitment to the extent such consent, if any, would be required under </w:t>
      </w:r>
      <w:r>
        <w:rPr>
          <w:rFonts w:ascii="Arial" w:cs="Arial" w:eastAsia="Arial" w:hAnsi="Arial"/>
          <w:sz w:val="17"/>
          <w:szCs w:val="17"/>
          <w:u w:val="single" w:color="auto"/>
          <w:color w:val="auto"/>
        </w:rPr>
        <w:t>Section 13.6(b)</w:t>
      </w:r>
      <w:r>
        <w:rPr>
          <w:rFonts w:ascii="Arial" w:cs="Arial" w:eastAsia="Arial" w:hAnsi="Arial"/>
          <w:sz w:val="17"/>
          <w:szCs w:val="17"/>
          <w:color w:val="auto"/>
        </w:rPr>
        <w:t xml:space="preserve"> for an assignment of Revolving Loans or Revolving Credit Commitments, as applicable, to such Lender or New Revolving Loan Lender.</w:t>
      </w:r>
    </w:p>
    <w:p>
      <w:pPr>
        <w:spacing w:after="0" w:line="179" w:lineRule="exact"/>
        <w:rPr>
          <w:rFonts w:ascii="Arial" w:cs="Arial" w:eastAsia="Arial" w:hAnsi="Arial"/>
          <w:sz w:val="17"/>
          <w:szCs w:val="17"/>
          <w:color w:val="auto"/>
        </w:rPr>
      </w:pPr>
    </w:p>
    <w:p>
      <w:pPr>
        <w:ind w:left="-20" w:right="20" w:firstLine="656"/>
        <w:spacing w:after="0" w:line="257" w:lineRule="auto"/>
        <w:tabs>
          <w:tab w:leader="none" w:pos="1008"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 any Increased Amount Date on which any New Term Loan Commitments of any Series are effective, subject to the satisfaction of the foregoing terms and conditions, (i) each Lender with a New Term Loan Commitment (each, a “</w:t>
      </w:r>
      <w:r>
        <w:rPr>
          <w:rFonts w:ascii="Arial" w:cs="Arial" w:eastAsia="Arial" w:hAnsi="Arial"/>
          <w:sz w:val="18"/>
          <w:szCs w:val="18"/>
          <w:b w:val="1"/>
          <w:bCs w:val="1"/>
          <w:color w:val="auto"/>
        </w:rPr>
        <w:t>New Term Loan Lender</w:t>
      </w:r>
      <w:r>
        <w:rPr>
          <w:rFonts w:ascii="Arial" w:cs="Arial" w:eastAsia="Arial" w:hAnsi="Arial"/>
          <w:sz w:val="18"/>
          <w:szCs w:val="18"/>
          <w:color w:val="auto"/>
        </w:rPr>
        <w:t>”) of any Series shall make a Loan to the Borrower (a “</w:t>
      </w:r>
      <w:r>
        <w:rPr>
          <w:rFonts w:ascii="Arial" w:cs="Arial" w:eastAsia="Arial" w:hAnsi="Arial"/>
          <w:sz w:val="18"/>
          <w:szCs w:val="18"/>
          <w:b w:val="1"/>
          <w:bCs w:val="1"/>
          <w:color w:val="auto"/>
        </w:rPr>
        <w:t>New Term Loan</w:t>
      </w:r>
      <w:r>
        <w:rPr>
          <w:rFonts w:ascii="Arial" w:cs="Arial" w:eastAsia="Arial" w:hAnsi="Arial"/>
          <w:sz w:val="18"/>
          <w:szCs w:val="18"/>
          <w:color w:val="auto"/>
        </w:rPr>
        <w:t>” and, together with the New Revolving Credit Loans, the “</w:t>
      </w:r>
      <w:r>
        <w:rPr>
          <w:rFonts w:ascii="Arial" w:cs="Arial" w:eastAsia="Arial" w:hAnsi="Arial"/>
          <w:sz w:val="18"/>
          <w:szCs w:val="18"/>
          <w:b w:val="1"/>
          <w:bCs w:val="1"/>
          <w:color w:val="auto"/>
        </w:rPr>
        <w:t>Incremental Loans</w:t>
      </w:r>
      <w:r>
        <w:rPr>
          <w:rFonts w:ascii="Arial" w:cs="Arial" w:eastAsia="Arial" w:hAnsi="Arial"/>
          <w:sz w:val="18"/>
          <w:szCs w:val="18"/>
          <w:color w:val="auto"/>
        </w:rPr>
        <w:t>”) in an amount equal to its New Term Loan Commitment of such Series, and (ii) each New Term Loan Lender of any Series shall become a Lender hereunder with respect to the New Term Loan Commitment of such Series and the New Term Loans of such Series made pursuant thereto.</w:t>
      </w:r>
    </w:p>
    <w:p>
      <w:pPr>
        <w:spacing w:after="0" w:line="188" w:lineRule="exact"/>
        <w:rPr>
          <w:rFonts w:ascii="Arial" w:cs="Arial" w:eastAsia="Arial" w:hAnsi="Arial"/>
          <w:sz w:val="18"/>
          <w:szCs w:val="18"/>
          <w:color w:val="auto"/>
        </w:rPr>
      </w:pPr>
    </w:p>
    <w:p>
      <w:pPr>
        <w:ind w:left="-20" w:right="60" w:firstLine="656"/>
        <w:spacing w:after="0" w:line="269" w:lineRule="auto"/>
        <w:tabs>
          <w:tab w:leader="none" w:pos="1015"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The terms and provisions of the New Term Loans and New Term Loan Commitments of any Series shall be on terms and documentation set forth in the Joinder Agreement as determined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applicable New Term Loan Maturity Date of each Series shall be no earlier than the Term A Loan Maturity Date; (ii) the weighted average life to maturity of all New Term Loans shall be no shorter than the weighted average life to maturity of the then existing Term A Loans as calculated without giving effect to any prepayments made in connection with the Term Loans; (iii) the pricing, interest rate margins, discounts, premiums, rate floors, fees, and amortization schedule applicable to any New Term Loans shall be determined by the Borrower and the Lenders thereunder;; and (iv) to the extent such terms and documentation are not consistent with the then existing Term Loans (except to the extent permitted by clause (i), (ii) or (iii) above), they shall be reasonably satisfactory to the Administrative Agent (it being understood that, (1) to the extent that any financial maintenance covenant is added for the benefit of any such Indebtedness, no consent shall be required by the Administrative Agent or any of the Lenders if such financial maintenance covenant is also added for the benefit of any corresponding Loans remaining outstanding after the issuance or incurrence of such Indebtedness or (2) no consent shall be required by the Administrative Agent or any of the Lenders if any covenants or other provisions are only applicable after the Latest Term Loan Maturity Date).</w:t>
      </w:r>
    </w:p>
    <w:p>
      <w:pPr>
        <w:spacing w:after="0" w:line="182" w:lineRule="exact"/>
        <w:rPr>
          <w:rFonts w:ascii="Arial" w:cs="Arial" w:eastAsia="Arial" w:hAnsi="Arial"/>
          <w:sz w:val="17"/>
          <w:szCs w:val="17"/>
          <w:color w:val="auto"/>
        </w:rPr>
      </w:pPr>
    </w:p>
    <w:p>
      <w:pPr>
        <w:ind w:left="-20" w:firstLine="656"/>
        <w:spacing w:after="0" w:line="277" w:lineRule="auto"/>
        <w:tabs>
          <w:tab w:leader="none" w:pos="1008"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New Revolving Credit Commitments shall be identical to the Revolving Credit Commitments of the applicable Class (other than with respect to upfront fees) and other than the Maturity Date and as set forth in this </w:t>
      </w:r>
      <w:r>
        <w:rPr>
          <w:rFonts w:ascii="Arial" w:cs="Arial" w:eastAsia="Arial" w:hAnsi="Arial"/>
          <w:sz w:val="18"/>
          <w:szCs w:val="18"/>
          <w:u w:val="single" w:color="auto"/>
          <w:color w:val="auto"/>
        </w:rPr>
        <w:t>Section 2.14(e)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0" w:right="80" w:firstLine="656"/>
        <w:spacing w:after="0" w:line="342" w:lineRule="auto"/>
        <w:tabs>
          <w:tab w:leader="none" w:pos="988"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Each Joinder Agreement may, without the consent of any other Lenders, effect technical and corresponding amendments to this Agreement and the other Credit Documents as may be necessary or appropriate, in the opinion of the Administrative Agent, to effect the provision of this </w:t>
      </w:r>
      <w:r>
        <w:rPr>
          <w:rFonts w:ascii="Arial" w:cs="Arial" w:eastAsia="Arial" w:hAnsi="Arial"/>
          <w:sz w:val="16"/>
          <w:szCs w:val="16"/>
          <w:u w:val="single" w:color="auto"/>
          <w:color w:val="auto"/>
        </w:rPr>
        <w:t>Section 2.14</w:t>
      </w:r>
      <w:r>
        <w:rPr>
          <w:rFonts w:ascii="Arial" w:cs="Arial" w:eastAsia="Arial" w:hAnsi="Arial"/>
          <w:sz w:val="16"/>
          <w:szCs w:val="16"/>
          <w:color w:val="auto"/>
        </w:rPr>
        <w: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1900" w:h="16838" w:orient="portrait"/>
          <w:cols w:equalWidth="0" w:num="1">
            <w:col w:w="11400"/>
          </w:cols>
          <w:pgMar w:left="260" w:top="814" w:right="239" w:bottom="1440" w:gutter="0" w:footer="0" w:header="0"/>
        </w:sectPr>
      </w:pPr>
    </w:p>
    <w:bookmarkStart w:id="157" w:name="page158"/>
    <w:bookmarkEnd w:id="157"/>
    <w:p>
      <w:pPr>
        <w:ind w:right="60" w:firstLine="656"/>
        <w:spacing w:after="0" w:line="289" w:lineRule="auto"/>
        <w:tabs>
          <w:tab w:leader="none" w:pos="103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 The Borrower may at any time and from time to time request that all or a portion of the Term Loans of any Class (an “</w:t>
      </w:r>
      <w:r>
        <w:rPr>
          <w:rFonts w:ascii="Arial" w:cs="Arial" w:eastAsia="Arial" w:hAnsi="Arial"/>
          <w:sz w:val="16"/>
          <w:szCs w:val="16"/>
          <w:b w:val="1"/>
          <w:bCs w:val="1"/>
          <w:color w:val="auto"/>
        </w:rPr>
        <w:t>Existing Term Loan</w:t>
      </w:r>
      <w:r>
        <w:rPr>
          <w:rFonts w:ascii="Arial" w:cs="Arial" w:eastAsia="Arial" w:hAnsi="Arial"/>
          <w:sz w:val="16"/>
          <w:szCs w:val="16"/>
          <w:color w:val="auto"/>
        </w:rPr>
        <w:t xml:space="preserve"> </w:t>
      </w:r>
      <w:r>
        <w:rPr>
          <w:rFonts w:ascii="Arial" w:cs="Arial" w:eastAsia="Arial" w:hAnsi="Arial"/>
          <w:sz w:val="16"/>
          <w:szCs w:val="16"/>
          <w:b w:val="1"/>
          <w:bCs w:val="1"/>
          <w:color w:val="auto"/>
        </w:rPr>
        <w:t>Class</w:t>
      </w:r>
      <w:r>
        <w:rPr>
          <w:rFonts w:ascii="Arial" w:cs="Arial" w:eastAsia="Arial" w:hAnsi="Arial"/>
          <w:sz w:val="16"/>
          <w:szCs w:val="16"/>
          <w:color w:val="auto"/>
        </w:rPr>
        <w:t>”) be converted to extend the scheduled maturity date(s) of any payment of principal with respect to all or a portion of any principal amount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Term Loans (any such Term Loans which have been so converted, “</w:t>
      </w:r>
      <w:r>
        <w:rPr>
          <w:rFonts w:ascii="Arial" w:cs="Arial" w:eastAsia="Arial" w:hAnsi="Arial"/>
          <w:sz w:val="16"/>
          <w:szCs w:val="16"/>
          <w:b w:val="1"/>
          <w:bCs w:val="1"/>
          <w:color w:val="auto"/>
        </w:rPr>
        <w:t>Extended Term Loans</w:t>
      </w:r>
      <w:r>
        <w:rPr>
          <w:rFonts w:ascii="Arial" w:cs="Arial" w:eastAsia="Arial" w:hAnsi="Arial"/>
          <w:sz w:val="16"/>
          <w:szCs w:val="16"/>
          <w:color w:val="auto"/>
        </w:rPr>
        <w:t xml:space="preserve">”) and to provide for other terms consistent with this </w:t>
      </w:r>
      <w:r>
        <w:rPr>
          <w:rFonts w:ascii="Arial" w:cs="Arial" w:eastAsia="Arial" w:hAnsi="Arial"/>
          <w:sz w:val="16"/>
          <w:szCs w:val="16"/>
          <w:u w:val="single" w:color="auto"/>
          <w:color w:val="auto"/>
        </w:rPr>
        <w:t>Section</w:t>
      </w:r>
    </w:p>
    <w:p>
      <w:pPr>
        <w:spacing w:after="0" w:line="1" w:lineRule="exact"/>
        <w:rPr>
          <w:rFonts w:ascii="Arial" w:cs="Arial" w:eastAsia="Arial" w:hAnsi="Arial"/>
          <w:sz w:val="16"/>
          <w:szCs w:val="16"/>
          <w:color w:val="auto"/>
        </w:rPr>
      </w:pPr>
    </w:p>
    <w:p>
      <w:pPr>
        <w:spacing w:after="0" w:line="266" w:lineRule="auto"/>
        <w:rPr>
          <w:rFonts w:ascii="Arial" w:cs="Arial" w:eastAsia="Arial" w:hAnsi="Arial"/>
          <w:sz w:val="16"/>
          <w:szCs w:val="16"/>
          <w:color w:val="auto"/>
        </w:rPr>
      </w:pPr>
      <w:r>
        <w:rPr>
          <w:rFonts w:ascii="Arial" w:cs="Arial" w:eastAsia="Arial" w:hAnsi="Arial"/>
          <w:sz w:val="17"/>
          <w:szCs w:val="17"/>
          <w:u w:val="single" w:color="auto"/>
          <w:color w:val="auto"/>
        </w:rPr>
        <w:t>2.14(g)</w:t>
      </w:r>
      <w:r>
        <w:rPr>
          <w:rFonts w:ascii="Arial" w:cs="Arial" w:eastAsia="Arial" w:hAnsi="Arial"/>
          <w:sz w:val="17"/>
          <w:szCs w:val="17"/>
          <w:color w:val="auto"/>
        </w:rPr>
        <w:t>. In order to establish any Extended Term Loans, the Borrower shall provide a notice to the Administrative Agent (who shall provide a copy of such notice to each of the Lenders of the applicable Existing Term Loan Class which such request shall be offered equally to all such Lenders) (a “</w:t>
      </w:r>
      <w:r>
        <w:rPr>
          <w:rFonts w:ascii="Arial" w:cs="Arial" w:eastAsia="Arial" w:hAnsi="Arial"/>
          <w:sz w:val="17"/>
          <w:szCs w:val="17"/>
          <w:b w:val="1"/>
          <w:bCs w:val="1"/>
          <w:color w:val="auto"/>
        </w:rPr>
        <w:t>Term Loan</w:t>
      </w:r>
      <w:r>
        <w:rPr>
          <w:rFonts w:ascii="Arial" w:cs="Arial" w:eastAsia="Arial" w:hAnsi="Arial"/>
          <w:sz w:val="17"/>
          <w:szCs w:val="17"/>
          <w:color w:val="auto"/>
        </w:rPr>
        <w:t xml:space="preserve"> </w:t>
      </w:r>
      <w:r>
        <w:rPr>
          <w:rFonts w:ascii="Arial" w:cs="Arial" w:eastAsia="Arial" w:hAnsi="Arial"/>
          <w:sz w:val="17"/>
          <w:szCs w:val="17"/>
          <w:b w:val="1"/>
          <w:bCs w:val="1"/>
          <w:color w:val="auto"/>
        </w:rPr>
        <w:t>Extension Request</w:t>
      </w:r>
      <w:r>
        <w:rPr>
          <w:rFonts w:ascii="Arial" w:cs="Arial" w:eastAsia="Arial" w:hAnsi="Arial"/>
          <w:sz w:val="17"/>
          <w:szCs w:val="17"/>
          <w:color w:val="auto"/>
        </w:rPr>
        <w:t>”) setting forth the proposed terms of the Extended Term Loans to be established, which shall not be materially more restrictive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Credit Parties (as determined in good faith by the Borrower), when taken as a whole, than the terms of the Term Loans of the Existing Term Loan Class unless the Lenders of the Term Loans of such applicable Existing Term Loan Class receive the benefit of such more restrictive terms (a “</w:t>
      </w:r>
      <w:r>
        <w:rPr>
          <w:rFonts w:ascii="Arial" w:cs="Arial" w:eastAsia="Arial" w:hAnsi="Arial"/>
          <w:sz w:val="17"/>
          <w:szCs w:val="17"/>
          <w:b w:val="1"/>
          <w:bCs w:val="1"/>
          <w:color w:val="auto"/>
        </w:rPr>
        <w:t>Permitted Other</w:t>
      </w:r>
      <w:r>
        <w:rPr>
          <w:rFonts w:ascii="Arial" w:cs="Arial" w:eastAsia="Arial" w:hAnsi="Arial"/>
          <w:sz w:val="17"/>
          <w:szCs w:val="17"/>
          <w:color w:val="auto"/>
        </w:rPr>
        <w:t xml:space="preserve"> </w:t>
      </w:r>
      <w:r>
        <w:rPr>
          <w:rFonts w:ascii="Arial" w:cs="Arial" w:eastAsia="Arial" w:hAnsi="Arial"/>
          <w:sz w:val="17"/>
          <w:szCs w:val="17"/>
          <w:b w:val="1"/>
          <w:bCs w:val="1"/>
          <w:color w:val="auto"/>
        </w:rPr>
        <w:t>Provision</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(x) the scheduled final maturity date shall be extended and all or any of the scheduled amortization payments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principal of the Extended Term Loans may be delayed to later dates than the scheduled amortization of principal of the Term Loans of such Existing Term Loan Class (with any such delay resulting in a corresponding adjustment to the scheduled amortization payments reflected in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or in the Joinder Agreement, as the case may be, with respect to the Existing Term Loan Class from which such Extended Term Loans were converted, in each case as more particularly set forth in paragraph (iv) of this </w:t>
      </w:r>
      <w:r>
        <w:rPr>
          <w:rFonts w:ascii="Arial" w:cs="Arial" w:eastAsia="Arial" w:hAnsi="Arial"/>
          <w:sz w:val="17"/>
          <w:szCs w:val="17"/>
          <w:u w:val="single" w:color="auto"/>
          <w:color w:val="auto"/>
        </w:rPr>
        <w:t>Section 2.14(g)</w:t>
      </w:r>
      <w:r>
        <w:rPr>
          <w:rFonts w:ascii="Arial" w:cs="Arial" w:eastAsia="Arial" w:hAnsi="Arial"/>
          <w:sz w:val="17"/>
          <w:szCs w:val="17"/>
          <w:color w:val="auto"/>
        </w:rPr>
        <w:t xml:space="preserve"> below), (y) (A) the interest margins with respect to the Extended Term Loans may be higher or lower than the interest margins for the Term Loans of such Existing Term Loan Class and/or (B) additional fees, premiums or AHYDO payments may be payable to the Lenders providing such Extended Term Loans in addition to or in lieu of any increased margins contemplated by the preceding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in each case, to the extent provided in the applicable Extension Amendment and to the extent that any Permitted Other Provision (including a financial maintenance covenant) is added for the benefit of any such Indebtedness, no consent shall be required by the Administrative Agent or any of the Lenders if such Permitted Other Provision is also added for the benefit of any corresponding Loans remaining outstanding after the issuance or incurrence of such Indebtedness. Notwithstanding anything to the contrary in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otherwise, no Extended Term Loans may be optionally prepaid prior to the date on which the Existing Term Loan Class from which they were converted is repaid in full, except in accordance with the last sentence of </w:t>
      </w:r>
      <w:r>
        <w:rPr>
          <w:rFonts w:ascii="Arial" w:cs="Arial" w:eastAsia="Arial" w:hAnsi="Arial"/>
          <w:sz w:val="17"/>
          <w:szCs w:val="17"/>
          <w:u w:val="single" w:color="auto"/>
          <w:color w:val="auto"/>
        </w:rPr>
        <w:t>Section 5.1(a)</w:t>
      </w:r>
      <w:r>
        <w:rPr>
          <w:rFonts w:ascii="Arial" w:cs="Arial" w:eastAsia="Arial" w:hAnsi="Arial"/>
          <w:sz w:val="17"/>
          <w:szCs w:val="17"/>
          <w:color w:val="auto"/>
        </w:rPr>
        <w:t>. No Lender shall have any obligation to agree to have any of its Term Loans of any Existing Term Loan Class converted into Extended Term Loans pursuant to any Extension Request. Any Extended Term Loans of any Extension Series shall constitute a separate Class of Term Loans from the Existing Term Loan Class from which they were converted.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11420"/>
          </w:cols>
          <w:pgMar w:left="240" w:top="810" w:right="239" w:bottom="1440" w:gutter="0" w:footer="0" w:header="0"/>
        </w:sectPr>
      </w:pPr>
    </w:p>
    <w:bookmarkStart w:id="158" w:name="page159"/>
    <w:bookmarkEnd w:id="158"/>
    <w:p>
      <w:pPr>
        <w:ind w:left="-40" w:firstLine="899"/>
        <w:spacing w:after="0" w:line="284" w:lineRule="auto"/>
        <w:tabs>
          <w:tab w:leader="none" w:pos="124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Borrower may at any time and from time to time request that all or a portion of the Revolving Credit Commitments of any Class, any Extended Revolving Credit Commitments and/or any New Revolving Credit Commitments, each existing at the time of such request (each, an “</w:t>
      </w:r>
      <w:r>
        <w:rPr>
          <w:rFonts w:ascii="Arial" w:cs="Arial" w:eastAsia="Arial" w:hAnsi="Arial"/>
          <w:sz w:val="16"/>
          <w:szCs w:val="16"/>
          <w:b w:val="1"/>
          <w:bCs w:val="1"/>
          <w:color w:val="auto"/>
        </w:rPr>
        <w:t>Existing</w:t>
      </w:r>
      <w:r>
        <w:rPr>
          <w:rFonts w:ascii="Arial" w:cs="Arial" w:eastAsia="Arial" w:hAnsi="Arial"/>
          <w:sz w:val="16"/>
          <w:szCs w:val="16"/>
          <w:color w:val="auto"/>
        </w:rPr>
        <w:t xml:space="preserve"> </w:t>
      </w:r>
      <w:r>
        <w:rPr>
          <w:rFonts w:ascii="Arial" w:cs="Arial" w:eastAsia="Arial" w:hAnsi="Arial"/>
          <w:sz w:val="16"/>
          <w:szCs w:val="16"/>
          <w:b w:val="1"/>
          <w:bCs w:val="1"/>
          <w:color w:val="auto"/>
        </w:rPr>
        <w:t>Revolving Credit Commitment</w:t>
      </w:r>
      <w:r>
        <w:rPr>
          <w:rFonts w:ascii="Arial" w:cs="Arial" w:eastAsia="Arial" w:hAnsi="Arial"/>
          <w:sz w:val="16"/>
          <w:szCs w:val="16"/>
          <w:color w:val="auto"/>
        </w:rPr>
        <w:t>” and any related revolving credit loans thereunder, “</w:t>
      </w:r>
      <w:r>
        <w:rPr>
          <w:rFonts w:ascii="Arial" w:cs="Arial" w:eastAsia="Arial" w:hAnsi="Arial"/>
          <w:sz w:val="16"/>
          <w:szCs w:val="16"/>
          <w:b w:val="1"/>
          <w:bCs w:val="1"/>
          <w:color w:val="auto"/>
        </w:rPr>
        <w:t>Existing Revolving Credit Loans</w:t>
      </w:r>
      <w:r>
        <w:rPr>
          <w:rFonts w:ascii="Arial" w:cs="Arial" w:eastAsia="Arial" w:hAnsi="Arial"/>
          <w:sz w:val="16"/>
          <w:szCs w:val="16"/>
          <w:color w:val="auto"/>
        </w:rPr>
        <w:t>”; each Existing Revolving Credit</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 and related Existing Revolving Credit Loans together being referred to as an “</w:t>
      </w:r>
      <w:r>
        <w:rPr>
          <w:rFonts w:ascii="Arial" w:cs="Arial" w:eastAsia="Arial" w:hAnsi="Arial"/>
          <w:sz w:val="16"/>
          <w:szCs w:val="16"/>
          <w:b w:val="1"/>
          <w:bCs w:val="1"/>
          <w:color w:val="auto"/>
        </w:rPr>
        <w:t>Existing Revolving Credit Class</w:t>
      </w:r>
      <w:r>
        <w:rPr>
          <w:rFonts w:ascii="Arial" w:cs="Arial" w:eastAsia="Arial" w:hAnsi="Arial"/>
          <w:sz w:val="16"/>
          <w:szCs w:val="16"/>
          <w:color w:val="auto"/>
        </w:rPr>
        <w:t>”) be converted to extend the termination date thereof and the scheduled maturity date(s) of any payment of principal with respect to all or a portion of any principal amount of Loans related to such Existing Revolving Credit Commitments (any such Existing Revolving Credit Commitments which have been so extended, “</w:t>
      </w:r>
      <w:r>
        <w:rPr>
          <w:rFonts w:ascii="Arial" w:cs="Arial" w:eastAsia="Arial" w:hAnsi="Arial"/>
          <w:sz w:val="16"/>
          <w:szCs w:val="16"/>
          <w:b w:val="1"/>
          <w:bCs w:val="1"/>
          <w:color w:val="auto"/>
        </w:rPr>
        <w:t>Extended</w:t>
      </w:r>
      <w:r>
        <w:rPr>
          <w:rFonts w:ascii="Arial" w:cs="Arial" w:eastAsia="Arial" w:hAnsi="Arial"/>
          <w:sz w:val="16"/>
          <w:szCs w:val="16"/>
          <w:color w:val="auto"/>
        </w:rPr>
        <w:t xml:space="preserve"> </w:t>
      </w:r>
      <w:r>
        <w:rPr>
          <w:rFonts w:ascii="Arial" w:cs="Arial" w:eastAsia="Arial" w:hAnsi="Arial"/>
          <w:sz w:val="16"/>
          <w:szCs w:val="16"/>
          <w:b w:val="1"/>
          <w:bCs w:val="1"/>
          <w:color w:val="auto"/>
        </w:rPr>
        <w:t>Revolving Credit Commitments</w:t>
      </w:r>
      <w:r>
        <w:rPr>
          <w:rFonts w:ascii="Arial" w:cs="Arial" w:eastAsia="Arial" w:hAnsi="Arial"/>
          <w:sz w:val="16"/>
          <w:szCs w:val="16"/>
          <w:color w:val="auto"/>
        </w:rPr>
        <w:t>” and any related Loans, “</w:t>
      </w:r>
      <w:r>
        <w:rPr>
          <w:rFonts w:ascii="Arial" w:cs="Arial" w:eastAsia="Arial" w:hAnsi="Arial"/>
          <w:sz w:val="16"/>
          <w:szCs w:val="16"/>
          <w:b w:val="1"/>
          <w:bCs w:val="1"/>
          <w:color w:val="auto"/>
        </w:rPr>
        <w:t>Extended Revolving Credit Loans</w:t>
      </w:r>
      <w:r>
        <w:rPr>
          <w:rFonts w:ascii="Arial" w:cs="Arial" w:eastAsia="Arial" w:hAnsi="Arial"/>
          <w:sz w:val="16"/>
          <w:szCs w:val="16"/>
          <w:color w:val="auto"/>
        </w:rPr>
        <w:t>”) and to provide for other terms consistent with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2.14(g)</w:t>
      </w:r>
      <w:r>
        <w:rPr>
          <w:rFonts w:ascii="Arial" w:cs="Arial" w:eastAsia="Arial" w:hAnsi="Arial"/>
          <w:sz w:val="16"/>
          <w:szCs w:val="16"/>
          <w:color w:val="auto"/>
        </w:rPr>
        <w:t>. In order to establish any Extended Revolving Credit Commitments, the Borrower shall provide a notice to the Administrative Agent (who shall provide a copy of such notice to each of the Lenders of the applicable Class of Existing Revolving Credit Commitments which such request shall be offered equally to all such Lenders) setting forth the proposed terms of the Extended Revolving Credit Commitments to be established, which shall not be materially more restrictive to the Credit Parties (as determined in good faith by the Borrower), when taken as a whole, than the terms of the applicable Existing Revolving Credit Commitments (the “</w:t>
      </w:r>
      <w:r>
        <w:rPr>
          <w:rFonts w:ascii="Arial" w:cs="Arial" w:eastAsia="Arial" w:hAnsi="Arial"/>
          <w:sz w:val="16"/>
          <w:szCs w:val="16"/>
          <w:b w:val="1"/>
          <w:bCs w:val="1"/>
          <w:color w:val="auto"/>
        </w:rPr>
        <w:t>Specified Existing Revolving Credit Commitment</w:t>
      </w:r>
      <w:r>
        <w:rPr>
          <w:rFonts w:ascii="Arial" w:cs="Arial" w:eastAsia="Arial" w:hAnsi="Arial"/>
          <w:sz w:val="16"/>
          <w:szCs w:val="16"/>
          <w:color w:val="auto"/>
        </w:rPr>
        <w:t xml:space="preserve">”) unless (x) the Lenders providing existing Revolving Credit Loans receive the benefit of such more restrictive terms or (y) any such provisions apply after the Revolving Credit Termination Date, in each case, to the extent provided in the applicable Extension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 all or any of the final maturity dates of such Extended Revolving Credit Commitments may be delayed to later dates than the final maturity dates of the Specified Existing Revolving Credit Commitments, (x) (A) the interest margins with respect to the Extended Revolving Credit Commitments may be higher or lower than the interest margins for the Specified Existing Revolving Credit Commitments and/or (B) additional fees and premiums may be payable to the Lenders providing such Extended Revolving Credit Commitments in addition to or in lieu of any increased margins contemplated by the preceding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and (y) the revolving credit commitment fee rate with respect to the Extended Revolving Credit Commitments may be higher or lower than the revolving credit commitment fee rate for the Specified Existing Revolving Credit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this </w:t>
      </w:r>
      <w:r>
        <w:rPr>
          <w:rFonts w:ascii="Arial" w:cs="Arial" w:eastAsia="Arial" w:hAnsi="Arial"/>
          <w:sz w:val="16"/>
          <w:szCs w:val="16"/>
          <w:u w:val="single" w:color="auto"/>
          <w:color w:val="auto"/>
        </w:rPr>
        <w:t>Section 2.14(g)</w:t>
      </w:r>
      <w:r>
        <w:rPr>
          <w:rFonts w:ascii="Arial" w:cs="Arial" w:eastAsia="Arial" w:hAnsi="Arial"/>
          <w:sz w:val="16"/>
          <w:szCs w:val="16"/>
          <w:color w:val="auto"/>
        </w:rPr>
        <w:t xml:space="preserve"> or otherwise, (1) the borrowing and repayment (other than in connection with a permanent repayment and termination of commitments) of Loans with respect to any Original Revolving Credit Commitments shall be made on a pro rata basis with all other Original Revolving Credit Commitments and (2) assignments and participations of Extended Revolving Credit Commitments and Extended Revolving Credit Loans shall be governed by the same assignment and participation provisions applicable to Revolving Credit Commitments and the Revolving Credit Loans related to such Commitments set forth in </w:t>
      </w:r>
      <w:r>
        <w:rPr>
          <w:rFonts w:ascii="Arial" w:cs="Arial" w:eastAsia="Arial" w:hAnsi="Arial"/>
          <w:sz w:val="16"/>
          <w:szCs w:val="16"/>
          <w:u w:val="single" w:color="auto"/>
          <w:color w:val="auto"/>
        </w:rPr>
        <w:t>Section 13.6</w:t>
      </w:r>
      <w:r>
        <w:rPr>
          <w:rFonts w:ascii="Arial" w:cs="Arial" w:eastAsia="Arial" w:hAnsi="Arial"/>
          <w:sz w:val="16"/>
          <w:szCs w:val="16"/>
          <w:color w:val="auto"/>
        </w:rPr>
        <w:t>. No Lender shall have any obligation to agree to have any of its Revolving Credit Loans or Revolving Credit Commitments of any Existing Revolving Credit Class converted into Extended Revolving Credit Loans or Extended Revolving Credit Commitments pursuant to any Extension Request. Any Extended Revolving Credit Commitments of any Extension Series shall constitute a separate Class of revolving credit commitments from the Specified Existing Revolving Credit Commitments and from any other Existing Revolving Credit Commitments (together with any other Extended Revolving Credit Commitments so established on such date).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1900" w:h="16838" w:orient="portrait"/>
          <w:cols w:equalWidth="0" w:num="1">
            <w:col w:w="11340"/>
          </w:cols>
          <w:pgMar w:left="280" w:top="814" w:right="279" w:bottom="1440" w:gutter="0" w:footer="0" w:header="0"/>
        </w:sectPr>
      </w:pPr>
    </w:p>
    <w:bookmarkStart w:id="159" w:name="page160"/>
    <w:bookmarkEnd w:id="159"/>
    <w:p>
      <w:pPr>
        <w:ind w:firstLine="899"/>
        <w:spacing w:after="0" w:line="285" w:lineRule="auto"/>
        <w:tabs>
          <w:tab w:leader="none" w:pos="1331"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Any Lender (an “</w:t>
      </w:r>
      <w:r>
        <w:rPr>
          <w:rFonts w:ascii="Arial" w:cs="Arial" w:eastAsia="Arial" w:hAnsi="Arial"/>
          <w:sz w:val="16"/>
          <w:szCs w:val="16"/>
          <w:b w:val="1"/>
          <w:bCs w:val="1"/>
          <w:color w:val="auto"/>
        </w:rPr>
        <w:t>Extending Lender</w:t>
      </w:r>
      <w:r>
        <w:rPr>
          <w:rFonts w:ascii="Arial" w:cs="Arial" w:eastAsia="Arial" w:hAnsi="Arial"/>
          <w:sz w:val="16"/>
          <w:szCs w:val="16"/>
          <w:color w:val="auto"/>
        </w:rPr>
        <w:t>”) wishing to have all or a portion of its Term Loans, Revolving Credit Commitments, New Revolving Credit Commitment or Extended Revolving Credit Commitment of the Existing Class or Existing Classes subject to such Extension Request converted into Extended Term Loans or Extended Revolving Credit Commitments, as applicable, shall notify the Administrative Agent (an “</w:t>
      </w:r>
      <w:r>
        <w:rPr>
          <w:rFonts w:ascii="Arial" w:cs="Arial" w:eastAsia="Arial" w:hAnsi="Arial"/>
          <w:sz w:val="16"/>
          <w:szCs w:val="16"/>
          <w:b w:val="1"/>
          <w:bCs w:val="1"/>
          <w:color w:val="auto"/>
        </w:rPr>
        <w:t>Extension Election</w:t>
      </w:r>
      <w:r>
        <w:rPr>
          <w:rFonts w:ascii="Arial" w:cs="Arial" w:eastAsia="Arial" w:hAnsi="Arial"/>
          <w:sz w:val="16"/>
          <w:szCs w:val="16"/>
          <w:color w:val="auto"/>
        </w:rPr>
        <w:t xml:space="preserve">”) on or prior to the date specified in such Extension Request of the amount of its Term Loans, Revolving Credit Commitments, New Revolving Credit Commitment or Extended Revolving Credit Commitment of the Existing Class or Existing Classes subject to such Extension Request that it has elected to convert into Extended Term Loans or Extended Revolving Credit Commitments, as applicable. In the event that the aggregate amount of Term Loans, Revolving Credit Commitments, New Revolving Credit Commitment or Extended Revolving Credit Commitment of the Existing Class or Existing Classes subject to Extension Elections exceeds the amount of Extended Term Loans or Extended Revolving Credit Commitments, as applicable, requested pursuant to the Extension Request, Term Loans or Revolving Credit Commitments, New Revolving Credit Commitments or Extended Revolving Credit Commitments of the Existing Class or Existing Classes subject to Extension Elections shall be converted to Extended Term Loans or Extended Revolving Credit Commitments, as applicable, on a pro rata basis based on the amount of Term Loans, Revolving Credit Commitments, New Revolving Credit Commitment or Extended Revolving Credit Commitment included in each such Extension Election. Notwithstanding the conversion of any Existing Revolving Credit Commitment into an Extended Revolving Credit Commitment, such Extended Revolving Credit Commitment shall be treated identically to all other Original Revolving Credit Commitments for purposes of the obligations of a Revolving Credit Lender in respect of Swingline Loans under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and Letters of Credit under </w:t>
      </w:r>
      <w:r>
        <w:rPr>
          <w:rFonts w:ascii="Arial" w:cs="Arial" w:eastAsia="Arial" w:hAnsi="Arial"/>
          <w:sz w:val="16"/>
          <w:szCs w:val="16"/>
          <w:u w:val="single" w:color="auto"/>
          <w:color w:val="auto"/>
        </w:rPr>
        <w:t>Section 3</w:t>
      </w:r>
      <w:r>
        <w:rPr>
          <w:rFonts w:ascii="Arial" w:cs="Arial" w:eastAsia="Arial" w:hAnsi="Arial"/>
          <w:sz w:val="16"/>
          <w:szCs w:val="16"/>
          <w:color w:val="auto"/>
        </w:rPr>
        <w:t>, except that the applicable Extension Amendment may provide that the Swingline Maturity Date and/or the L/C Facility Maturity Date may be extended and the related obligations to make Swingline Loans and issue Letters of Credit may be continued so long as the Swingline Lender and/or the Letter of Credit Issuer, as applicable, have consented to such extensions in their sole discretion (it being understood that no consent of any other Lender shall be required in connection with any such extension).</w:t>
      </w:r>
    </w:p>
    <w:p>
      <w:pPr>
        <w:spacing w:after="0" w:line="395" w:lineRule="exact"/>
        <w:rPr>
          <w:rFonts w:ascii="Arial" w:cs="Arial" w:eastAsia="Arial" w:hAnsi="Arial"/>
          <w:sz w:val="16"/>
          <w:szCs w:val="16"/>
          <w:color w:val="auto"/>
        </w:rPr>
      </w:pPr>
    </w:p>
    <w:p>
      <w:pPr>
        <w:ind w:left="1340" w:hanging="441"/>
        <w:spacing w:after="0"/>
        <w:tabs>
          <w:tab w:leader="none" w:pos="13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Extended Term Loans or Extended Revolving Credit Commitments, as applicable, shall be established pursuant to an amendment (an</w:t>
      </w:r>
    </w:p>
    <w:p>
      <w:pPr>
        <w:spacing w:after="0" w:line="3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Extension Amendment</w:t>
      </w:r>
      <w:r>
        <w:rPr>
          <w:rFonts w:ascii="Arial" w:cs="Arial" w:eastAsia="Arial" w:hAnsi="Arial"/>
          <w:sz w:val="16"/>
          <w:szCs w:val="16"/>
          <w:color w:val="auto"/>
        </w:rPr>
        <w:t xml:space="preserve">”) to this Agreement (which, except to the extent expressly contemplated by the penultimate sentence of this </w:t>
      </w:r>
      <w:r>
        <w:rPr>
          <w:rFonts w:ascii="Arial" w:cs="Arial" w:eastAsia="Arial" w:hAnsi="Arial"/>
          <w:sz w:val="16"/>
          <w:szCs w:val="16"/>
          <w:u w:val="single" w:color="auto"/>
          <w:color w:val="auto"/>
        </w:rPr>
        <w:t>Section 2.14(g)(iv)</w:t>
      </w:r>
      <w:r>
        <w:rPr>
          <w:rFonts w:ascii="Arial" w:cs="Arial" w:eastAsia="Arial" w:hAnsi="Arial"/>
          <w:sz w:val="16"/>
          <w:szCs w:val="16"/>
          <w:color w:val="auto"/>
        </w:rPr>
        <w:t xml:space="preserve"> and notwithstanding anything to the contrary set forth in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shall not require the consent of any Lender other than the Extending Lenders with respect to the Extended Term Loans or Extended Revolving Credit Commitments, as applicable, established thereby) executed by the Credit Parties, the Administrative Agent and the Extending Lenders. No Extension Amendment shall provide for any tranche of Extended Term Loans or Extended Revolving Credit Commitments in an aggregate principal amount that is less than $10,000,000. In addition to any terms and changes required or permitted by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2.14(g)(i)</w:t>
      </w:r>
      <w:r>
        <w:rPr>
          <w:rFonts w:ascii="Arial" w:cs="Arial" w:eastAsia="Arial" w:hAnsi="Arial"/>
          <w:sz w:val="16"/>
          <w:szCs w:val="16"/>
          <w:color w:val="auto"/>
        </w:rPr>
        <w:t xml:space="preserve">, each Extension Amendment (x) shall amend the scheduled amortization payments pursuant to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or the applicable Joinder Agreement with respect to the Existing Term Loan Class from which the Extended Term Loans were converted to reduce each scheduled Repayment Amount for the Existing Term Loan Class in the same proportion as the amount of Term Loans of the Existing Term Loan Class is to be converted pursuant to such Extension Amendment (it being understood that the amount of any Repayment Amount payable with respect to any individual Term Loan of such Existing Term Loan Class that is not an Extended Term Loan shall not be reduced as a result thereof) and (y) may, but shall not be required to, impose additional requirements (not inconsistent with the provisions of this Agreement in effect at such time) with respect to the final maturity and weighted average life to maturity of New Term Loans incurred following the date of such Extension Amendment. Notwithstanding anything to the contrary in this </w:t>
      </w:r>
      <w:r>
        <w:rPr>
          <w:rFonts w:ascii="Arial" w:cs="Arial" w:eastAsia="Arial" w:hAnsi="Arial"/>
          <w:sz w:val="16"/>
          <w:szCs w:val="16"/>
          <w:u w:val="single" w:color="auto"/>
          <w:color w:val="auto"/>
        </w:rPr>
        <w:t>Section 2.14(g)</w:t>
      </w:r>
      <w:r>
        <w:rPr>
          <w:rFonts w:ascii="Arial" w:cs="Arial" w:eastAsia="Arial" w:hAnsi="Arial"/>
          <w:sz w:val="16"/>
          <w:szCs w:val="16"/>
          <w:color w:val="auto"/>
        </w:rPr>
        <w:t xml:space="preserve"> and without limiting the generality or applicability of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to any Section 2.14 Additional Amendments, any Extension Amendment may provide for additional terms and/or additional amendments other than those referred to or contemplated above (any such additional amendment, a “</w:t>
      </w:r>
      <w:r>
        <w:rPr>
          <w:rFonts w:ascii="Arial" w:cs="Arial" w:eastAsia="Arial" w:hAnsi="Arial"/>
          <w:sz w:val="16"/>
          <w:szCs w:val="16"/>
          <w:b w:val="1"/>
          <w:bCs w:val="1"/>
          <w:color w:val="auto"/>
        </w:rPr>
        <w:t>Section 2.14 Additional</w:t>
      </w:r>
      <w:r>
        <w:rPr>
          <w:rFonts w:ascii="Arial" w:cs="Arial" w:eastAsia="Arial" w:hAnsi="Arial"/>
          <w:sz w:val="16"/>
          <w:szCs w:val="16"/>
          <w:color w:val="auto"/>
        </w:rPr>
        <w:t xml:space="preserve"> </w:t>
      </w:r>
      <w:r>
        <w:rPr>
          <w:rFonts w:ascii="Arial" w:cs="Arial" w:eastAsia="Arial" w:hAnsi="Arial"/>
          <w:sz w:val="16"/>
          <w:szCs w:val="16"/>
          <w:b w:val="1"/>
          <w:bCs w:val="1"/>
          <w:color w:val="auto"/>
        </w:rPr>
        <w:t>Amendment</w:t>
      </w:r>
      <w:r>
        <w:rPr>
          <w:rFonts w:ascii="Arial" w:cs="Arial" w:eastAsia="Arial" w:hAnsi="Arial"/>
          <w:sz w:val="16"/>
          <w:szCs w:val="16"/>
          <w:color w:val="auto"/>
        </w:rPr>
        <w:t>”) to this Agreement and the other Credit Documents;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such Section 2.14 Additional Amendments are within the requirements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2.14(g)(i)</w:t>
      </w:r>
      <w:r>
        <w:rPr>
          <w:rFonts w:ascii="Arial" w:cs="Arial" w:eastAsia="Arial" w:hAnsi="Arial"/>
          <w:sz w:val="16"/>
          <w:szCs w:val="16"/>
          <w:color w:val="auto"/>
        </w:rPr>
        <w:t xml:space="preserve"> and do not become effective prior to the time that such Section 2.14 Additional Amendments have been consented to (including, without limitation, pursuant to (1) consents applicable to holders of New Term Loans and New Revolving Credit Commitments provided for in any Joinder Agreement and (2) consents applicable to holders of any Extended Term Loans or Extended Revolving Credit Commitments provided for in any Extension Amendment) by such of the Lenders, Credit Parties and other parties (if any) as may be required in order for such Section 2.14 Additional Amendments to become effective in accordance with </w:t>
      </w:r>
      <w:r>
        <w:rPr>
          <w:rFonts w:ascii="Arial" w:cs="Arial" w:eastAsia="Arial" w:hAnsi="Arial"/>
          <w:sz w:val="16"/>
          <w:szCs w:val="16"/>
          <w:u w:val="single" w:color="auto"/>
          <w:color w:val="auto"/>
        </w:rPr>
        <w:t>Section 13.1</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-80-</w:t>
      </w:r>
    </w:p>
    <w:p>
      <w:pPr>
        <w:sectPr>
          <w:pgSz w:w="11900" w:h="16838" w:orient="portrait"/>
          <w:cols w:equalWidth="0" w:num="1">
            <w:col w:w="11420"/>
          </w:cols>
          <w:pgMar w:left="240" w:top="810" w:right="239" w:bottom="1440" w:gutter="0" w:footer="0" w:header="0"/>
        </w:sectPr>
      </w:pPr>
    </w:p>
    <w:bookmarkStart w:id="160" w:name="page161"/>
    <w:bookmarkEnd w:id="160"/>
    <w:p>
      <w:pPr>
        <w:ind w:left="-20" w:firstLine="899"/>
        <w:spacing w:after="0" w:line="268" w:lineRule="auto"/>
        <w:tabs>
          <w:tab w:leader="none" w:pos="126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this Agreement, (A) on any date on which any Existing Class is converted to extend the related scheduled maturity date(s) in accordance with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(an “</w:t>
      </w:r>
      <w:r>
        <w:rPr>
          <w:rFonts w:ascii="Arial" w:cs="Arial" w:eastAsia="Arial" w:hAnsi="Arial"/>
          <w:sz w:val="17"/>
          <w:szCs w:val="17"/>
          <w:b w:val="1"/>
          <w:bCs w:val="1"/>
          <w:color w:val="auto"/>
        </w:rPr>
        <w:t>Extension Date</w:t>
      </w:r>
      <w:r>
        <w:rPr>
          <w:rFonts w:ascii="Arial" w:cs="Arial" w:eastAsia="Arial" w:hAnsi="Arial"/>
          <w:sz w:val="17"/>
          <w:szCs w:val="17"/>
          <w:color w:val="auto"/>
        </w:rPr>
        <w:t>”), (I) in the case of the existing Term Loans of each Extending Lender, the aggregate principal amount of such existing Term Loans shall be deemed reduced by an amount equal to the aggregate principal amount of Extended Term Loans so converted by such Lender on such date, and the Extended Term Loans shall be established as a separate Class of Term Loans (together with any other Extended Term Loans so established on such date), and (II) in the case of the Specified Existing Revolving Credit Commitments of each Extending Lender, the aggregate principal amount of such Specified Existing Revolving Credit Commitments shall be deemed reduced by an amount equal to the aggregate principal amount of Extended Revolving Credit Commitments so converted by such Lender on such date, and such Extended Revolving Credit Commitments shall be established as a separate Class of revolving credit commitments from the Specified Existing Revolving Credit Commitments and from any other Existing Revolving Credit Commitments (together with any other Extended Revolving Credit Commitments so established on such date) and (B) if, on any Extension Date, any Loans of any Extending Lender are outstanding under the applicable Specified Existing Revolving Credit Commitments, such Loans (and any related participations) shall be deemed to be allocated as Extended Revolving Credit Loans (and related participations) and Existing Revolving Credit Loans (and related participations) in the same proportion as such Extending Lender’s Specified Existing Revolving Credit Commitments to Extended Revolving Credit Commitments.</w:t>
      </w:r>
    </w:p>
    <w:p>
      <w:pPr>
        <w:spacing w:after="0" w:line="187" w:lineRule="exact"/>
        <w:rPr>
          <w:rFonts w:ascii="Arial" w:cs="Arial" w:eastAsia="Arial" w:hAnsi="Arial"/>
          <w:sz w:val="17"/>
          <w:szCs w:val="17"/>
          <w:color w:val="auto"/>
        </w:rPr>
      </w:pPr>
    </w:p>
    <w:p>
      <w:pPr>
        <w:ind w:left="-20" w:firstLine="899"/>
        <w:spacing w:after="0" w:line="255" w:lineRule="auto"/>
        <w:tabs>
          <w:tab w:leader="none" w:pos="130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Administrative Agent and the Lenders (other than the Swingline Lender to the extent such consent is expressly required by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hereby consent to the consummation of the transactions contemplated by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(including, for the avoidance of doubt, payment of any interest, fees, or premium in respect of any Extended Term Loans and/or Extended Revolving Credit Commitments on such terms as may be set forth in the relevant Extension Amendment) and hereby waive the requirements of any provision of this Agreement (including, without limitation, any pro rata payment or amendment section) or any other Credit Document that may otherwise prohibit or restrict any such extension or any other transaction contemplated by this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93"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u w:val="single" w:color="auto"/>
          <w:color w:val="auto"/>
        </w:rPr>
        <w:t>Defaulting Lenders</w:t>
      </w:r>
      <w:r>
        <w:rPr>
          <w:rFonts w:ascii="Arial" w:cs="Arial" w:eastAsia="Arial" w:hAnsi="Arial"/>
          <w:sz w:val="16"/>
          <w:szCs w:val="16"/>
          <w:color w:val="auto"/>
        </w:rPr>
        <w:t>.</w:t>
      </w:r>
    </w:p>
    <w:p>
      <w:pPr>
        <w:spacing w:after="0" w:line="225" w:lineRule="exact"/>
        <w:rPr>
          <w:sz w:val="20"/>
          <w:szCs w:val="20"/>
          <w:color w:val="auto"/>
        </w:rPr>
      </w:pPr>
    </w:p>
    <w:p>
      <w:pPr>
        <w:ind w:left="-20" w:right="280" w:firstLine="656"/>
        <w:spacing w:after="0" w:line="277" w:lineRule="auto"/>
        <w:tabs>
          <w:tab w:leader="none" w:pos="1008"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70" w:lineRule="exact"/>
        <w:rPr>
          <w:rFonts w:ascii="Arial" w:cs="Arial" w:eastAsia="Arial" w:hAnsi="Arial"/>
          <w:sz w:val="18"/>
          <w:szCs w:val="18"/>
          <w:color w:val="auto"/>
        </w:rPr>
      </w:pPr>
    </w:p>
    <w:p>
      <w:pPr>
        <w:ind w:left="640" w:right="520" w:firstLine="888"/>
        <w:spacing w:after="0" w:line="277" w:lineRule="auto"/>
        <w:tabs>
          <w:tab w:leader="none" w:pos="1881"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1900" w:h="16838" w:orient="portrait"/>
          <w:cols w:equalWidth="0" w:num="1">
            <w:col w:w="11380"/>
          </w:cols>
          <w:pgMar w:left="260" w:top="814" w:right="259" w:bottom="1440" w:gutter="0" w:footer="0" w:header="0"/>
        </w:sectPr>
      </w:pPr>
    </w:p>
    <w:bookmarkStart w:id="161" w:name="page162"/>
    <w:bookmarkEnd w:id="161"/>
    <w:p>
      <w:pPr>
        <w:ind w:left="-540" w:firstLine="888"/>
        <w:spacing w:after="0" w:line="267" w:lineRule="auto"/>
        <w:tabs>
          <w:tab w:leader="none" w:pos="751" w:val="left"/>
        </w:tabs>
        <w:numPr>
          <w:ilvl w:val="1"/>
          <w:numId w:val="105"/>
        </w:numPr>
        <w:rPr>
          <w:rFonts w:ascii="Arial" w:cs="Arial" w:eastAsia="Arial" w:hAnsi="Arial"/>
          <w:sz w:val="17"/>
          <w:szCs w:val="17"/>
          <w:color w:val="auto"/>
        </w:rPr>
      </w:pPr>
      <w:r>
        <w:rPr>
          <w:rFonts w:ascii="Arial" w:cs="Arial" w:eastAsia="Arial" w:hAnsi="Arial"/>
          <w:sz w:val="17"/>
          <w:szCs w:val="17"/>
          <w:u w:val="single" w:color="auto"/>
          <w:color w:val="auto"/>
        </w:rPr>
        <w:t>Defaulting Lender Waterfall</w:t>
      </w:r>
      <w:r>
        <w:rPr>
          <w:rFonts w:ascii="Arial" w:cs="Arial" w:eastAsia="Arial" w:hAnsi="Arial"/>
          <w:sz w:val="17"/>
          <w:szCs w:val="17"/>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or otherwise) or received by the Administrative Agent from a Defaulting Lender pursuant to </w:t>
      </w:r>
      <w:r>
        <w:rPr>
          <w:rFonts w:ascii="Arial" w:cs="Arial" w:eastAsia="Arial" w:hAnsi="Arial"/>
          <w:sz w:val="17"/>
          <w:szCs w:val="17"/>
          <w:u w:val="single" w:color="auto"/>
          <w:color w:val="auto"/>
        </w:rPr>
        <w:t>Section 13.8</w:t>
      </w:r>
      <w:r>
        <w:rPr>
          <w:rFonts w:ascii="Arial" w:cs="Arial" w:eastAsia="Arial" w:hAnsi="Arial"/>
          <w:sz w:val="17"/>
          <w:szCs w:val="17"/>
          <w:color w:val="auto"/>
        </w:rPr>
        <w:t xml:space="preserve"> shall be applied at such time or times as may be determined by the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i w:val="1"/>
          <w:iCs w:val="1"/>
          <w:color w:val="auto"/>
        </w:rPr>
        <w:t>second</w:t>
      </w:r>
      <w:r>
        <w:rPr>
          <w:rFonts w:ascii="Arial" w:cs="Arial" w:eastAsia="Arial" w:hAnsi="Arial"/>
          <w:sz w:val="17"/>
          <w:szCs w:val="17"/>
          <w:color w:val="auto"/>
        </w:rPr>
        <w:t>, to the payment on a pro rata basis of any amounts owing by such Defaulting Lender to the Letter of Credit Issuer or Swingline Lender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hereunder; </w:t>
      </w:r>
      <w:r>
        <w:rPr>
          <w:rFonts w:ascii="Arial" w:cs="Arial" w:eastAsia="Arial" w:hAnsi="Arial"/>
          <w:sz w:val="17"/>
          <w:szCs w:val="17"/>
          <w:i w:val="1"/>
          <w:iCs w:val="1"/>
          <w:color w:val="auto"/>
        </w:rPr>
        <w:t>third</w:t>
      </w:r>
      <w:r>
        <w:rPr>
          <w:rFonts w:ascii="Arial" w:cs="Arial" w:eastAsia="Arial" w:hAnsi="Arial"/>
          <w:sz w:val="17"/>
          <w:szCs w:val="17"/>
          <w:color w:val="auto"/>
        </w:rPr>
        <w:t xml:space="preserve">, to Cash Collateralize the Letter of Credit Issuer’s Fronting Exposure with respect to such Defaulting Lender in accordance with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w:t>
      </w:r>
      <w:r>
        <w:rPr>
          <w:rFonts w:ascii="Arial" w:cs="Arial" w:eastAsia="Arial" w:hAnsi="Arial"/>
          <w:sz w:val="17"/>
          <w:szCs w:val="17"/>
          <w:i w:val="1"/>
          <w:iCs w:val="1"/>
          <w:color w:val="auto"/>
        </w:rPr>
        <w:t>fourth</w:t>
      </w:r>
      <w:r>
        <w:rPr>
          <w:rFonts w:ascii="Arial" w:cs="Arial" w:eastAsia="Arial" w:hAnsi="Arial"/>
          <w:sz w:val="17"/>
          <w:szCs w:val="17"/>
          <w:color w:val="auto"/>
        </w:rPr>
        <w:t xml:space="preserve">, as the Borrower may request (so long as no Default exists), to the funding of any Loan in respect of which such Defaulting Lender has failed to fund its portion thereof as required by this Agreement, as determined by the Administrative Agent; </w:t>
      </w:r>
      <w:r>
        <w:rPr>
          <w:rFonts w:ascii="Arial" w:cs="Arial" w:eastAsia="Arial" w:hAnsi="Arial"/>
          <w:sz w:val="17"/>
          <w:szCs w:val="17"/>
          <w:i w:val="1"/>
          <w:iCs w:val="1"/>
          <w:color w:val="auto"/>
        </w:rPr>
        <w:t>fifth</w:t>
      </w:r>
      <w:r>
        <w:rPr>
          <w:rFonts w:ascii="Arial" w:cs="Arial" w:eastAsia="Arial" w:hAnsi="Arial"/>
          <w:sz w:val="17"/>
          <w:szCs w:val="17"/>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Letter of Credit Issuer’s future Fronting Exposure with respect to such Defaulting Lender with respect to future Letters of Credit issued under this Agreement, in accordance with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w:t>
      </w:r>
      <w:r>
        <w:rPr>
          <w:rFonts w:ascii="Arial" w:cs="Arial" w:eastAsia="Arial" w:hAnsi="Arial"/>
          <w:sz w:val="17"/>
          <w:szCs w:val="17"/>
          <w:i w:val="1"/>
          <w:iCs w:val="1"/>
          <w:color w:val="auto"/>
        </w:rPr>
        <w:t>sixth</w:t>
      </w:r>
      <w:r>
        <w:rPr>
          <w:rFonts w:ascii="Arial" w:cs="Arial" w:eastAsia="Arial" w:hAnsi="Arial"/>
          <w:sz w:val="17"/>
          <w:szCs w:val="17"/>
          <w:color w:val="auto"/>
        </w:rPr>
        <w:t xml:space="preserve">, to the payment of any amounts owing to the Borrower, the Lenders, the Letter of Credit Issuer or Swingline Lender as a result of any judgment of a court of competent jurisdiction obtained by the Borrower, any Lender, the Letter of Credit Issuer or the Swingline Lender against such Defaulting Lender as a result of such Defaulting Lender’s breach of its obligations under this Agreement; and </w:t>
      </w:r>
      <w:r>
        <w:rPr>
          <w:rFonts w:ascii="Arial" w:cs="Arial" w:eastAsia="Arial" w:hAnsi="Arial"/>
          <w:sz w:val="17"/>
          <w:szCs w:val="17"/>
          <w:i w:val="1"/>
          <w:iCs w:val="1"/>
          <w:color w:val="auto"/>
        </w:rPr>
        <w:t>seventh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 Commitments hereunder without giving effect to </w:t>
      </w:r>
      <w:r>
        <w:rPr>
          <w:rFonts w:ascii="Arial" w:cs="Arial" w:eastAsia="Arial" w:hAnsi="Arial"/>
          <w:sz w:val="17"/>
          <w:szCs w:val="17"/>
          <w:u w:val="single" w:color="auto"/>
          <w:color w:val="auto"/>
        </w:rPr>
        <w:t>Section 2.16(a)(iv)</w:t>
      </w:r>
      <w:r>
        <w:rPr>
          <w:rFonts w:ascii="Arial" w:cs="Arial" w:eastAsia="Arial" w:hAnsi="Arial"/>
          <w:sz w:val="17"/>
          <w:szCs w:val="17"/>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7"/>
          <w:szCs w:val="17"/>
          <w:u w:val="single" w:color="auto"/>
          <w:color w:val="auto"/>
        </w:rPr>
        <w:t>Section 2.16(a)(ii)</w:t>
      </w:r>
      <w:r>
        <w:rPr>
          <w:rFonts w:ascii="Arial" w:cs="Arial" w:eastAsia="Arial" w:hAnsi="Arial"/>
          <w:sz w:val="17"/>
          <w:szCs w:val="17"/>
          <w:color w:val="auto"/>
        </w:rPr>
        <w:t xml:space="preserve"> shall be deemed paid to and redirected by such Defaulting Lender, and each Lender irrevocably consents hereto.</w:t>
      </w:r>
    </w:p>
    <w:p>
      <w:pPr>
        <w:spacing w:after="0" w:line="184" w:lineRule="exact"/>
        <w:rPr>
          <w:rFonts w:ascii="Arial" w:cs="Arial" w:eastAsia="Arial" w:hAnsi="Arial"/>
          <w:sz w:val="17"/>
          <w:szCs w:val="17"/>
          <w:color w:val="auto"/>
        </w:rPr>
      </w:pPr>
    </w:p>
    <w:p>
      <w:pPr>
        <w:ind w:left="800" w:hanging="452"/>
        <w:spacing w:after="0"/>
        <w:tabs>
          <w:tab w:leader="none" w:pos="800"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40" w:right="320" w:firstLine="645"/>
        <w:spacing w:after="0" w:line="264" w:lineRule="auto"/>
        <w:tabs>
          <w:tab w:leader="none" w:pos="53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No Defaulting Lender shall be entitled to receive any fee payable under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181" w:lineRule="exact"/>
        <w:rPr>
          <w:rFonts w:ascii="Arial" w:cs="Arial" w:eastAsia="Arial" w:hAnsi="Arial"/>
          <w:sz w:val="18"/>
          <w:szCs w:val="18"/>
          <w:color w:val="auto"/>
        </w:rPr>
      </w:pPr>
    </w:p>
    <w:p>
      <w:pPr>
        <w:ind w:left="-540" w:right="280" w:firstLine="645"/>
        <w:spacing w:after="0" w:line="264" w:lineRule="auto"/>
        <w:tabs>
          <w:tab w:leader="none" w:pos="52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540" w:right="40" w:firstLine="645"/>
        <w:spacing w:after="0" w:line="297" w:lineRule="auto"/>
        <w:tabs>
          <w:tab w:leader="none" w:pos="52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With respect to any Letter of Credit Fee not required to be paid to any Defaulting Lender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the Borrower shall (x) pay to each Non-Defaulting Lender that portion of any such fee otherwise payable to such Defaulting Lender with respect to such Defaulting Lender’s participation in L/C Obligations that has been reallocated to such Non-Defaulting Lender pursuant to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below, (y) pay to the Letter of Credit Issuer the amount of any such fee otherwise payable to such Defaulting Lender to the extent allocable to such Letter of Credit’s Fronting Exposure to such Defaulting Lender, and (z) not be required to pay the remaining amount of any such fee.</w:t>
      </w:r>
    </w:p>
    <w:p>
      <w:pPr>
        <w:spacing w:after="0" w:line="399"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-82-</w:t>
      </w:r>
    </w:p>
    <w:p>
      <w:pPr>
        <w:sectPr>
          <w:pgSz w:w="11900" w:h="16838" w:orient="portrait"/>
          <w:cols w:equalWidth="0" w:num="1">
            <w:col w:w="10200"/>
          </w:cols>
          <w:pgMar w:left="1440" w:top="814" w:right="259" w:bottom="1440" w:gutter="0" w:footer="0" w:header="0"/>
        </w:sectPr>
      </w:pPr>
    </w:p>
    <w:bookmarkStart w:id="162" w:name="page163"/>
    <w:bookmarkEnd w:id="162"/>
    <w:p>
      <w:pPr>
        <w:ind w:left="660" w:right="40" w:firstLine="645"/>
        <w:spacing w:after="0" w:line="255" w:lineRule="auto"/>
        <w:tabs>
          <w:tab w:leader="none" w:pos="1748"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Reallocation of Applicable Percentages to Reduce Fronting Exposure</w:t>
      </w:r>
      <w:r>
        <w:rPr>
          <w:rFonts w:ascii="Arial" w:cs="Arial" w:eastAsia="Arial" w:hAnsi="Arial"/>
          <w:sz w:val="18"/>
          <w:szCs w:val="18"/>
          <w:color w:val="auto"/>
        </w:rPr>
        <w:t>. All or any part of such Defaulting Lender’s participation in L/C Obligations and Swingline Loans shall be reallocated among the Non-Defaulting Lenders in accordance with their respective Revolving Credit Commitment Percentages (calculated without regard to such Defaulting Lender’s Commitment) but only to the extent that such reallocation does not cause the aggregate Revolving Credit Exposure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9" w:lineRule="exact"/>
        <w:rPr>
          <w:rFonts w:ascii="Arial" w:cs="Arial" w:eastAsia="Arial" w:hAnsi="Arial"/>
          <w:sz w:val="18"/>
          <w:szCs w:val="18"/>
          <w:color w:val="auto"/>
        </w:rPr>
      </w:pPr>
    </w:p>
    <w:p>
      <w:pPr>
        <w:ind w:left="660" w:right="20" w:firstLine="888"/>
        <w:spacing w:after="0" w:line="259" w:lineRule="auto"/>
        <w:tabs>
          <w:tab w:leader="none" w:pos="1941" w:val="left"/>
        </w:tabs>
        <w:numPr>
          <w:ilvl w:val="2"/>
          <w:numId w:val="107"/>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(a)(iv)</w:t>
      </w:r>
      <w:r>
        <w:rPr>
          <w:rFonts w:ascii="Arial" w:cs="Arial" w:eastAsia="Arial" w:hAnsi="Arial"/>
          <w:sz w:val="18"/>
          <w:szCs w:val="18"/>
          <w:color w:val="auto"/>
        </w:rPr>
        <w:t xml:space="preserve"> above cannot, or can only partially, be effected, the Borrower shall, without prejudice to any right or remedy available to them hereunder or under applicable law, (x) </w:t>
      </w:r>
      <w:r>
        <w:rPr>
          <w:rFonts w:ascii="Arial" w:cs="Arial" w:eastAsia="Arial" w:hAnsi="Arial"/>
          <w:sz w:val="18"/>
          <w:szCs w:val="18"/>
          <w:i w:val="1"/>
          <w:iCs w:val="1"/>
          <w:color w:val="auto"/>
        </w:rPr>
        <w:t>first</w:t>
      </w:r>
      <w:r>
        <w:rPr>
          <w:rFonts w:ascii="Arial" w:cs="Arial" w:eastAsia="Arial" w:hAnsi="Arial"/>
          <w:sz w:val="18"/>
          <w:szCs w:val="18"/>
          <w:color w:val="auto"/>
        </w:rPr>
        <w:t xml:space="preserve">, prepay Swingline Loans in an amount equal to the Swingline Lenders’ Fronting Exposure and (y) </w:t>
      </w:r>
      <w:r>
        <w:rPr>
          <w:rFonts w:ascii="Arial" w:cs="Arial" w:eastAsia="Arial" w:hAnsi="Arial"/>
          <w:sz w:val="18"/>
          <w:szCs w:val="18"/>
          <w:i w:val="1"/>
          <w:iCs w:val="1"/>
          <w:color w:val="auto"/>
        </w:rPr>
        <w:t>second</w:t>
      </w:r>
      <w:r>
        <w:rPr>
          <w:rFonts w:ascii="Arial" w:cs="Arial" w:eastAsia="Arial" w:hAnsi="Arial"/>
          <w:sz w:val="18"/>
          <w:szCs w:val="18"/>
          <w:color w:val="auto"/>
        </w:rPr>
        <w:t xml:space="preserve">, Cash Collateralize the Letter of Credit Issuers’ Fronting Exposure in accordance with the procedures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656"/>
        <w:spacing w:after="0" w:line="270" w:lineRule="auto"/>
        <w:tabs>
          <w:tab w:leader="none" w:pos="1038"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the Administrative Agent, the Swingline Lender, and the Letter of Credit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Credit Loans and funded and unfunded participations in Letters of Credit and Swingline Loans to be held on a pro rata basis by the Lenders in accordance with their Revolving Credit Commitment Percentages (without giving effect to </w:t>
      </w:r>
      <w:r>
        <w:rPr>
          <w:rFonts w:ascii="Arial" w:cs="Arial" w:eastAsia="Arial" w:hAnsi="Arial"/>
          <w:sz w:val="17"/>
          <w:szCs w:val="17"/>
          <w:u w:val="single" w:color="auto"/>
          <w:color w:val="auto"/>
        </w:rPr>
        <w:t>Section 2.16(a)(iv)</w:t>
      </w:r>
      <w:r>
        <w:rPr>
          <w:rFonts w:ascii="Arial" w:cs="Arial" w:eastAsia="Arial" w:hAnsi="Arial"/>
          <w:sz w:val="17"/>
          <w:szCs w:val="17"/>
          <w:color w:val="auto"/>
        </w:rPr>
        <w:t xml:space="preserve">),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05"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color w:val="auto"/>
        </w:rPr>
        <w:t>Letters of Credit</w:t>
      </w:r>
    </w:p>
    <w:p>
      <w:pPr>
        <w:spacing w:after="0" w:line="239"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Letters of Credit</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93" w:lineRule="auto"/>
        <w:tabs>
          <w:tab w:leader="none" w:pos="102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Subject to and upon the terms and conditions herein set forth, at any time and from time to time after the Restatement Effective Date and prior to the L/C Facility Maturity Date, the Letter of Credit Issuer agrees, in reliance upon the agreements of the Revolving Credit Lenders set forth in this Section 3, to issue from time to time from the Restatement Effective Date through the L/C Facility Maturity Date for the account of the Borrower (or, so long as the Borrower is the primary obligor, for the account of Holdings or any Restricted Subsidiary (other than the Borrower)) letters of credit (the “</w:t>
      </w:r>
      <w:r>
        <w:rPr>
          <w:rFonts w:ascii="Arial" w:cs="Arial" w:eastAsia="Arial" w:hAnsi="Arial"/>
          <w:sz w:val="16"/>
          <w:szCs w:val="16"/>
          <w:b w:val="1"/>
          <w:bCs w:val="1"/>
          <w:color w:val="auto"/>
        </w:rPr>
        <w:t>Letters of Credit</w:t>
      </w:r>
      <w:r>
        <w:rPr>
          <w:rFonts w:ascii="Arial" w:cs="Arial" w:eastAsia="Arial" w:hAnsi="Arial"/>
          <w:sz w:val="16"/>
          <w:szCs w:val="16"/>
          <w:color w:val="auto"/>
        </w:rPr>
        <w:t>” and each, a “</w:t>
      </w:r>
      <w:r>
        <w:rPr>
          <w:rFonts w:ascii="Arial" w:cs="Arial" w:eastAsia="Arial" w:hAnsi="Arial"/>
          <w:sz w:val="16"/>
          <w:szCs w:val="16"/>
          <w:b w:val="1"/>
          <w:bCs w:val="1"/>
          <w:color w:val="auto"/>
        </w:rPr>
        <w:t>Letter of Credit</w:t>
      </w:r>
      <w:r>
        <w:rPr>
          <w:rFonts w:ascii="Arial" w:cs="Arial" w:eastAsia="Arial" w:hAnsi="Arial"/>
          <w:sz w:val="16"/>
          <w:szCs w:val="16"/>
          <w:color w:val="auto"/>
        </w:rPr>
        <w:t>”) in such form as may be approved by the Letter of Credit Issuer in its reasonable discretion. Each Existing Letter of Credit shall be deemed to have been issued under this Agreement by the applicable Letter of Credit Issuer on the Restatement Effective Date.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-83-</w:t>
      </w:r>
    </w:p>
    <w:p>
      <w:pPr>
        <w:sectPr>
          <w:pgSz w:w="11900" w:h="16838" w:orient="portrait"/>
          <w:cols w:equalWidth="0" w:num="1">
            <w:col w:w="11400"/>
          </w:cols>
          <w:pgMar w:left="240" w:top="814" w:right="259" w:bottom="1440" w:gutter="0" w:footer="0" w:header="0"/>
        </w:sectPr>
      </w:pPr>
    </w:p>
    <w:bookmarkStart w:id="163" w:name="page164"/>
    <w:bookmarkEnd w:id="163"/>
    <w:p>
      <w:pPr>
        <w:ind w:left="-20" w:firstLine="656"/>
        <w:spacing w:after="0" w:line="268" w:lineRule="auto"/>
        <w:tabs>
          <w:tab w:leader="none" w:pos="101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Notwithstanding the foregoing, (i) no Letter of Credit shall be issued the Stated Amount of which, when added to the Letters of Credit Outstanding at such time, would exceed the Letter of Credit Commitment then in effect (or with respect to any Letter of Credit Issuer, exceed such Letter of Credit Issuer’s Letter of Credit Commitment); (ii) no Letter of Credit shall be issued the Stated Amount of which would cause the aggregate amount of the Lenders’ Revolving Credit Exposures at the time of the issuance thereof to exceed the Total Revolving Credit Commitment then in effect; (iii) each Letter of Credit shall have an expiration date occurring no later than one year after the date of issuance thereof (except as set forth in </w:t>
      </w:r>
      <w:r>
        <w:rPr>
          <w:rFonts w:ascii="Arial" w:cs="Arial" w:eastAsia="Arial" w:hAnsi="Arial"/>
          <w:sz w:val="17"/>
          <w:szCs w:val="17"/>
          <w:u w:val="single" w:color="auto"/>
          <w:color w:val="auto"/>
        </w:rPr>
        <w:t>Section 3.2(d)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such expiration date occur later than the L/C Facility Maturity Date, in each case, unless otherwise agreed upon by the Administrative Agent, the Letter of Credit Issuer and, unless such Letter of Credit has been Cash Collateralized or backstopped (in the case of a backstop only, on terms reasonably satisfactory to such Letter of Credit Issuer), the Revolving Credit Lenders; (iv) the Letter of Credit shall be denominated in Dollars; (v) no Letter of Credit shall be issued if it would be illegal under any applicable law for the beneficiary of the Letter of Credit to have a Letter of Credit issued in its favor; and (vi) no Letter of Credit shall be issued by the Letter of Credit Issuer after it has received a written notice from any Credit Party or the Administrative Agent or the Required Revolving Credit Lenders stating that a Default or Event of Default has occurred and is continuing until such time as the Letter of Credit Issuer shall have received a written notice of (x) rescission of such notice from the party or parties originally delivering such notice or (y) the waiver of such Default or Event of Default in accordance with the provisions of </w:t>
      </w:r>
      <w:r>
        <w:rPr>
          <w:rFonts w:ascii="Arial" w:cs="Arial" w:eastAsia="Arial" w:hAnsi="Arial"/>
          <w:sz w:val="17"/>
          <w:szCs w:val="17"/>
          <w:u w:val="single" w:color="auto"/>
          <w:color w:val="auto"/>
        </w:rPr>
        <w:t>Section 13.1</w:t>
      </w:r>
      <w:r>
        <w:rPr>
          <w:rFonts w:ascii="Arial" w:cs="Arial" w:eastAsia="Arial" w:hAnsi="Arial"/>
          <w:sz w:val="17"/>
          <w:szCs w:val="17"/>
          <w:color w:val="auto"/>
        </w:rPr>
        <w:t>.</w:t>
      </w:r>
    </w:p>
    <w:p>
      <w:pPr>
        <w:spacing w:after="0" w:line="187" w:lineRule="exact"/>
        <w:rPr>
          <w:rFonts w:ascii="Arial" w:cs="Arial" w:eastAsia="Arial" w:hAnsi="Arial"/>
          <w:sz w:val="17"/>
          <w:szCs w:val="17"/>
          <w:color w:val="auto"/>
        </w:rPr>
      </w:pPr>
    </w:p>
    <w:p>
      <w:pPr>
        <w:ind w:left="-20" w:right="20" w:firstLine="656"/>
        <w:spacing w:after="0" w:line="276" w:lineRule="auto"/>
        <w:tabs>
          <w:tab w:leader="none" w:pos="100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Upon at least two Business Days’ prior written notice to the Administrative Agent and the Letter of Credit Issuer (which notice the Administrative Agent shall promptly transmit to each of the Lenders), the Borrower shall have the right, on any day, permanently to terminate or reduce the Letter of Credit Commitment in whole or in part;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such termination or reduction, the Letters of Credit Outstanding shall not exceed the Letter of Credit Commitment (or with respect to a Letter of Credit Issuer, the Letters of Credit outstanding with respect to Letters of Credit issued by such Letter of Credit Issuer shall not exceed such Letter of Credit Issuer’s Letter of Credit Commitment).</w:t>
      </w:r>
    </w:p>
    <w:p>
      <w:pPr>
        <w:spacing w:after="0" w:line="172" w:lineRule="exact"/>
        <w:rPr>
          <w:rFonts w:ascii="Arial" w:cs="Arial" w:eastAsia="Arial" w:hAnsi="Arial"/>
          <w:sz w:val="17"/>
          <w:szCs w:val="17"/>
          <w:color w:val="auto"/>
        </w:rPr>
      </w:pPr>
    </w:p>
    <w:p>
      <w:pPr>
        <w:ind w:left="1020" w:hanging="384"/>
        <w:spacing w:after="0"/>
        <w:tabs>
          <w:tab w:leader="none" w:pos="10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020" w:hanging="384"/>
        <w:spacing w:after="0"/>
        <w:tabs>
          <w:tab w:leader="none" w:pos="10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Letter of Credit Issuer shall not be under any obligation to issue any Letter of Credit if:</w:t>
      </w:r>
    </w:p>
    <w:p>
      <w:pPr>
        <w:spacing w:after="0" w:line="225" w:lineRule="exact"/>
        <w:rPr>
          <w:rFonts w:ascii="Arial" w:cs="Arial" w:eastAsia="Arial" w:hAnsi="Arial"/>
          <w:sz w:val="18"/>
          <w:szCs w:val="18"/>
          <w:color w:val="auto"/>
        </w:rPr>
      </w:pPr>
    </w:p>
    <w:p>
      <w:pPr>
        <w:ind w:left="640" w:right="160" w:firstLine="888"/>
        <w:spacing w:after="0" w:line="254" w:lineRule="auto"/>
        <w:tabs>
          <w:tab w:leader="none" w:pos="188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enjoin or restrain the Letter of Credit Issuer from issuing such Letter of Credit, or any law applicable to the Letter of Credit Issuer or any request or directive (whether or not having the force of law) from any Governmental Authority with jurisdiction over the Letter of Credit Issuer shall prohibit, or request that the Letter of Credit Issuer refrain from, the issuance of letters of credit generally or such Letter of Credit in particular or shall impose upon the Letter of Credit Issuer with respect to such Letter of Credit any restriction, reserve or capital requirement (in each case, for which the Letter of Credit Issuer is not otherwise compensated hereunder) not in effect on the Restatement Effective Date, or shall impose upon the Letter of Credit Issuer any unreimbursed loss, cost or expense which was not applicable on the Restatement Effective Date and which the Letter of Credit Issuer in good faith deems material to it;</w:t>
      </w:r>
    </w:p>
    <w:p>
      <w:pPr>
        <w:spacing w:after="0" w:line="192" w:lineRule="exact"/>
        <w:rPr>
          <w:rFonts w:ascii="Arial" w:cs="Arial" w:eastAsia="Arial" w:hAnsi="Arial"/>
          <w:sz w:val="18"/>
          <w:szCs w:val="18"/>
          <w:color w:val="auto"/>
        </w:rPr>
      </w:pPr>
    </w:p>
    <w:p>
      <w:pPr>
        <w:ind w:left="1920" w:hanging="392"/>
        <w:spacing w:after="0"/>
        <w:tabs>
          <w:tab w:leader="none" w:pos="192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issuance of such Letter of Credit would violate one or more policies of the Letter of Credit Issuer applicable to letters of credit</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generally;</w:t>
      </w:r>
    </w:p>
    <w:p>
      <w:pPr>
        <w:spacing w:after="0" w:line="210" w:lineRule="exact"/>
        <w:rPr>
          <w:rFonts w:ascii="Arial" w:cs="Arial" w:eastAsia="Arial" w:hAnsi="Arial"/>
          <w:sz w:val="16"/>
          <w:szCs w:val="16"/>
          <w:color w:val="auto"/>
        </w:rPr>
      </w:pPr>
    </w:p>
    <w:p>
      <w:pPr>
        <w:ind w:left="640" w:right="100" w:firstLine="888"/>
        <w:spacing w:after="0" w:line="277" w:lineRule="auto"/>
        <w:tabs>
          <w:tab w:leader="none" w:pos="198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except as otherwise agreed by the Letter of Credit Issuer, such Letter of Credit is in an initial Stated Amount less than $50,000, in the case of a commercial Letter of Credit, or $10,000, in the case of a standby Letter of Credit;</w:t>
      </w:r>
    </w:p>
    <w:p>
      <w:pPr>
        <w:spacing w:after="0" w:line="170" w:lineRule="exact"/>
        <w:rPr>
          <w:rFonts w:ascii="Arial" w:cs="Arial" w:eastAsia="Arial" w:hAnsi="Arial"/>
          <w:sz w:val="18"/>
          <w:szCs w:val="18"/>
          <w:color w:val="auto"/>
        </w:rPr>
      </w:pPr>
    </w:p>
    <w:p>
      <w:pPr>
        <w:ind w:left="1960" w:hanging="432"/>
        <w:spacing w:after="0"/>
        <w:tabs>
          <w:tab w:leader="none" w:pos="19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such Letter of Credit is denominated in a currency other than Dollars;</w:t>
      </w:r>
    </w:p>
    <w:p>
      <w:pPr>
        <w:spacing w:after="0" w:line="225" w:lineRule="exact"/>
        <w:rPr>
          <w:rFonts w:ascii="Arial" w:cs="Arial" w:eastAsia="Arial" w:hAnsi="Arial"/>
          <w:sz w:val="18"/>
          <w:szCs w:val="18"/>
          <w:color w:val="auto"/>
        </w:rPr>
      </w:pPr>
    </w:p>
    <w:p>
      <w:pPr>
        <w:ind w:left="1920" w:hanging="392"/>
        <w:spacing w:after="0"/>
        <w:tabs>
          <w:tab w:leader="none" w:pos="192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such Letter of Credit contains any provisions for automatic reinstatement of the Stated Amount after any drawing thereunder; or</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ectPr>
          <w:pgSz w:w="11900" w:h="16838" w:orient="portrait"/>
          <w:cols w:equalWidth="0" w:num="1">
            <w:col w:w="11400"/>
          </w:cols>
          <w:pgMar w:left="260" w:top="814" w:right="239" w:bottom="1440" w:gutter="0" w:footer="0" w:header="0"/>
        </w:sectPr>
      </w:pPr>
    </w:p>
    <w:bookmarkStart w:id="164" w:name="page165"/>
    <w:bookmarkEnd w:id="164"/>
    <w:p>
      <w:pPr>
        <w:ind w:left="620" w:firstLine="888"/>
        <w:spacing w:after="0" w:line="259" w:lineRule="auto"/>
        <w:tabs>
          <w:tab w:leader="none" w:pos="1951"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a default of any Revolving Credit Lender’s obligations to fund under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exists or any Revolving Credit Lender is at such time a Defaulting Lender hereunder, unless, in each case, the Borrower have entered into arrangements reasonably satisfactory to the Letter of Credit Issuer to eliminate the Letter of Credit Issuer’s risk with respect to such Revolving Credit Lender or such risk has been reallocated in accordance with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40" w:right="140" w:firstLine="656"/>
        <w:spacing w:after="0" w:line="277" w:lineRule="auto"/>
        <w:tabs>
          <w:tab w:leader="none" w:pos="96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Letter of Credit Issuer shall not increase the Stated Amount of any Letter of Credit if the Letter of Credit Issuer would not be permitted at such time to issue such Letter of Credit in its amended form under the terms hereof.</w:t>
      </w:r>
    </w:p>
    <w:p>
      <w:pPr>
        <w:spacing w:after="0" w:line="170" w:lineRule="exact"/>
        <w:rPr>
          <w:rFonts w:ascii="Arial" w:cs="Arial" w:eastAsia="Arial" w:hAnsi="Arial"/>
          <w:sz w:val="18"/>
          <w:szCs w:val="18"/>
          <w:color w:val="auto"/>
        </w:rPr>
      </w:pPr>
    </w:p>
    <w:p>
      <w:pPr>
        <w:ind w:left="-40" w:right="420" w:firstLine="656"/>
        <w:spacing w:after="0" w:line="264" w:lineRule="auto"/>
        <w:tabs>
          <w:tab w:leader="none" w:pos="99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Letter of Credit Issuer shall be under no obligation to amend any Letter of Credit if (A) the Letter of Credit Issuer would have no obligation at such time to issue such Letter of Credit in its amended form under the terms hereof, or (B) the beneficiary of such Letter of Credit does not accept the proposed amendment to such Letter of Credit.</w:t>
      </w:r>
    </w:p>
    <w:p>
      <w:pPr>
        <w:spacing w:after="0" w:line="181" w:lineRule="exact"/>
        <w:rPr>
          <w:rFonts w:ascii="Arial" w:cs="Arial" w:eastAsia="Arial" w:hAnsi="Arial"/>
          <w:sz w:val="18"/>
          <w:szCs w:val="18"/>
          <w:color w:val="auto"/>
        </w:rPr>
      </w:pPr>
    </w:p>
    <w:p>
      <w:pPr>
        <w:ind w:left="-40" w:right="140" w:firstLine="656"/>
        <w:spacing w:after="0" w:line="297" w:lineRule="auto"/>
        <w:tabs>
          <w:tab w:leader="none" w:pos="99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The Letter of Credit Issuer shall act on behalf of the Revolving Credit Lenders with respect to any Letters of Credit issued by it and the documents associated therewith and the Letter of Credit Issuer shall have all of the benefits and immunities (A) provided to the Administrative Agent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with respect to any acts taken or omissions suffered by the Letter of Credit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included the Letter of Credit Issuer with respect to such acts or omissions, and (B) as additionally provided herein with respect to the Letter of Credit Issuer.</w:t>
      </w:r>
    </w:p>
    <w:p>
      <w:pPr>
        <w:spacing w:after="0" w:line="158" w:lineRule="exact"/>
        <w:rPr>
          <w:sz w:val="20"/>
          <w:szCs w:val="20"/>
          <w:color w:val="auto"/>
        </w:rPr>
      </w:pPr>
    </w:p>
    <w:p>
      <w:pPr>
        <w:ind w:left="620"/>
        <w:spacing w:after="0"/>
        <w:tabs>
          <w:tab w:leader="none" w:pos="10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Letter of Credit Requests</w:t>
      </w:r>
      <w:r>
        <w:rPr>
          <w:rFonts w:ascii="Arial" w:cs="Arial" w:eastAsia="Arial" w:hAnsi="Arial"/>
          <w:sz w:val="16"/>
          <w:szCs w:val="16"/>
          <w:color w:val="auto"/>
        </w:rPr>
        <w:t>.</w:t>
      </w:r>
    </w:p>
    <w:p>
      <w:pPr>
        <w:spacing w:after="0" w:line="225" w:lineRule="exact"/>
        <w:rPr>
          <w:sz w:val="20"/>
          <w:szCs w:val="20"/>
          <w:color w:val="auto"/>
        </w:rPr>
      </w:pPr>
    </w:p>
    <w:p>
      <w:pPr>
        <w:ind w:left="-40" w:right="40" w:firstLine="656"/>
        <w:spacing w:after="0" w:line="255" w:lineRule="auto"/>
        <w:tabs>
          <w:tab w:leader="none" w:pos="98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Whenever the Borrower desires that a Letter of Credit be issued for its account or amended, the Borrower shall give the Administrative Agent and the Letter of Credit Issuer a Letter of Credit Request by no later than 1:00 p.m. (New York City time) at least four Business Days (or such other period as may be agreed upon by the Borrower, the Administrative Agent and the Letter of Credit Issuer) prior to the proposed date of issuance or amendment. Each Letter of Credit Request shall be executed by the Borrower. Such Letter of Credit Request may be sent by facsimile, by United States mail, by overnight courier, by electronic transmission using the system provided by the Letter of Credit Issuer, by personal delivery or by any other means acceptable to the Letter of Credit Issuer.</w:t>
      </w:r>
    </w:p>
    <w:p>
      <w:pPr>
        <w:spacing w:after="0" w:line="193" w:lineRule="exact"/>
        <w:rPr>
          <w:rFonts w:ascii="Arial" w:cs="Arial" w:eastAsia="Arial" w:hAnsi="Arial"/>
          <w:sz w:val="18"/>
          <w:szCs w:val="18"/>
          <w:color w:val="auto"/>
        </w:rPr>
      </w:pPr>
    </w:p>
    <w:p>
      <w:pPr>
        <w:ind w:left="-40" w:right="120" w:firstLine="656"/>
        <w:spacing w:after="0" w:line="270" w:lineRule="auto"/>
        <w:tabs>
          <w:tab w:leader="none" w:pos="99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 the case of a request for an initial issuance of a Letter of Credit, such Letter of Credit Request shall specify in form and detail reasonably satisfactory to the Letter of Credit Issuer: (A) the proposed issuance date of the requested Letter of Credit (which shall be a Business Day); (B) the Stated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identity of the applicant; and (H) such other matters as the Letter of Credit Issuer may reasonably require. In the case of a request for an amendment of any outstanding Letter of Credit, such Letter of Credit Request shall specify in form and detail reasonably satisfactory to the Letter of Credit Issuer (I) the Letter of Credit to be amended; (II) the proposed date of amendment thereof (which shall be a Business Day); (III) the nature of the proposed amendment; and (IV) such other matters as the Letter of Credit Issuer may reasonably require. Additionally, the Borrower shall furnish to the Letter of Credit Issuer and the Administrative Agent such other documents and information pertaining to such requested Letter of Credit issuance or amendment, including any Issuer Documents, as the Letter of Credit Issuer or the Administrative Agent may reasonably require.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1900" w:h="16838" w:orient="portrait"/>
          <w:cols w:equalWidth="0" w:num="1">
            <w:col w:w="11340"/>
          </w:cols>
          <w:pgMar w:left="280" w:top="814" w:right="279" w:bottom="1440" w:gutter="0" w:footer="0" w:header="0"/>
        </w:sectPr>
      </w:pPr>
    </w:p>
    <w:bookmarkStart w:id="165" w:name="page166"/>
    <w:bookmarkEnd w:id="165"/>
    <w:p>
      <w:pPr>
        <w:ind w:left="-20" w:right="100" w:firstLine="656"/>
        <w:spacing w:after="0" w:line="293" w:lineRule="auto"/>
        <w:tabs>
          <w:tab w:leader="none" w:pos="100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Unless the Letter of Credit Issuer has received written notice from any Revolving Credit Lender, the Administrative Agent or any Credit Party, at least one Business Day prior to the requested date of issuance or amendment of the Letter of Credit, that one or more applicable conditions contained in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(solely with respect to any Letter of Credit issued on the Restatement Effective Date)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shall not then be satisfied to the extent required thereby, then, subject to the terms and conditions hereof, the Letter of Credit Issuer shall, on the requested date, issue a Letter of Credit for the account of the Borrower (or, so long as the Borrower is the primary obligor, for the account of Holdings or another Restricted Subsidiary) or enter into the applicable amendment, as the case may be, in each case in accordance with the Letter of Credit Issuer’s usual and customary business practices.</w:t>
      </w:r>
    </w:p>
    <w:p>
      <w:pPr>
        <w:spacing w:after="0" w:line="164" w:lineRule="exact"/>
        <w:rPr>
          <w:rFonts w:ascii="Arial" w:cs="Arial" w:eastAsia="Arial" w:hAnsi="Arial"/>
          <w:sz w:val="16"/>
          <w:szCs w:val="16"/>
          <w:color w:val="auto"/>
        </w:rPr>
      </w:pPr>
    </w:p>
    <w:p>
      <w:pPr>
        <w:ind w:left="-20" w:firstLine="656"/>
        <w:spacing w:after="0" w:line="286" w:lineRule="auto"/>
        <w:tabs>
          <w:tab w:leader="none" w:pos="101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If the Borrower so requests in any Letter of Credit Request, the Letter of Credit Issuer shall agree to issue a Letter of Credit that has automatic extension provisions (each, an “</w:t>
      </w:r>
      <w:r>
        <w:rPr>
          <w:rFonts w:ascii="Arial" w:cs="Arial" w:eastAsia="Arial" w:hAnsi="Arial"/>
          <w:sz w:val="16"/>
          <w:szCs w:val="16"/>
          <w:b w:val="1"/>
          <w:bCs w:val="1"/>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the Letter of Credit Issuer to prevent any such extension at least once in each twelve-month period (commencing with the date of issuance of such Letter of Credit) by giving prior notice to the beneficiary thereof and the Borrower not later than a day (the “</w:t>
      </w:r>
      <w:r>
        <w:rPr>
          <w:rFonts w:ascii="Arial" w:cs="Arial" w:eastAsia="Arial" w:hAnsi="Arial"/>
          <w:sz w:val="16"/>
          <w:szCs w:val="16"/>
          <w:b w:val="1"/>
          <w:bCs w:val="1"/>
          <w:color w:val="auto"/>
        </w:rPr>
        <w:t>Non-Extension Notice Date</w:t>
      </w:r>
      <w:r>
        <w:rPr>
          <w:rFonts w:ascii="Arial" w:cs="Arial" w:eastAsia="Arial" w:hAnsi="Arial"/>
          <w:sz w:val="16"/>
          <w:szCs w:val="16"/>
          <w:color w:val="auto"/>
        </w:rPr>
        <w:t xml:space="preserve">”) in each such twelve-month period to be agreed upon at the time such Letter of Credit is issued. Unless otherwise directed by the Letter of Credit Issuer, the Borrower shall not be required to make a specific request to the Letter of Credit Issuer for any such extension. Once an Auto-Extension Letter of Credit has been issued, the Lenders shall be deemed to have authorized (but may not require) the Letter of Credit Issuer to permit the extension of such Letter of Credit at any time to an expiry date not later than the L/C Facility Maturity Date, unless otherwise agreed upon by the Administrative Agent and the Letter of Credit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Letter of Credit Issuer shall not permit any such extension if (A) the Letter of Credit Issuer has reasonably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or otherwise), or (B) it has received written notice on or before the day that is seven Business Days before the Non-Extension Notice Date from the Administrative Agent, any Lender or the Borrower that one or more of the applicable conditions specified in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are not then satisfied, and in each such case directing the Letter of Credit Issuer not to permit such extension.</w:t>
      </w:r>
    </w:p>
    <w:p>
      <w:pPr>
        <w:spacing w:after="0" w:line="174" w:lineRule="exact"/>
        <w:rPr>
          <w:rFonts w:ascii="Arial" w:cs="Arial" w:eastAsia="Arial" w:hAnsi="Arial"/>
          <w:sz w:val="16"/>
          <w:szCs w:val="16"/>
          <w:color w:val="auto"/>
        </w:rPr>
      </w:pPr>
    </w:p>
    <w:p>
      <w:pPr>
        <w:jc w:val="both"/>
        <w:ind w:left="-20" w:right="20" w:firstLine="656"/>
        <w:spacing w:after="0" w:line="259" w:lineRule="auto"/>
        <w:tabs>
          <w:tab w:leader="none" w:pos="100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Letter of Credit Issuer will also deliver to the Borrower and the Administrative Agent a true and complete copy of such Letter of Credit or amendment. On the first Business Day of each month, the Letter of Credit Issuer shall provide the Administrative Agent a list of all Letters of Credit issued by it that are outstanding at such time.</w:t>
      </w:r>
    </w:p>
    <w:p>
      <w:pPr>
        <w:spacing w:after="0" w:line="186" w:lineRule="exact"/>
        <w:rPr>
          <w:rFonts w:ascii="Arial" w:cs="Arial" w:eastAsia="Arial" w:hAnsi="Arial"/>
          <w:sz w:val="18"/>
          <w:szCs w:val="18"/>
          <w:color w:val="auto"/>
        </w:rPr>
      </w:pPr>
    </w:p>
    <w:p>
      <w:pPr>
        <w:ind w:left="-20" w:right="80" w:firstLine="656"/>
        <w:spacing w:after="0" w:line="277" w:lineRule="auto"/>
        <w:tabs>
          <w:tab w:leader="none" w:pos="98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The making of each Letter of Credit Request shall be deemed to be a representation and warranty by the Borrower that the Letter of Credit may be issued in accordance with, and will not violate the requirements of,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170"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Letter of Credit Participations</w:t>
      </w:r>
      <w:r>
        <w:rPr>
          <w:rFonts w:ascii="Arial" w:cs="Arial" w:eastAsia="Arial" w:hAnsi="Arial"/>
          <w:sz w:val="16"/>
          <w:szCs w:val="16"/>
          <w:color w:val="auto"/>
        </w:rPr>
        <w:t>.</w:t>
      </w:r>
    </w:p>
    <w:p>
      <w:pPr>
        <w:spacing w:after="0" w:line="225" w:lineRule="exact"/>
        <w:rPr>
          <w:sz w:val="20"/>
          <w:szCs w:val="20"/>
          <w:color w:val="auto"/>
        </w:rPr>
      </w:pPr>
    </w:p>
    <w:p>
      <w:pPr>
        <w:ind w:left="-20" w:right="100" w:firstLine="656"/>
        <w:spacing w:after="0" w:line="254" w:lineRule="auto"/>
        <w:tabs>
          <w:tab w:leader="none" w:pos="100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Immediately upon the issuance by the Letter of Credit Issuer of any Letter of Credit, the Letter of Credit Issuer shall be deemed to have sold and transferred to each Revolving Credit Lender (each such Revolving Credit Lender, in its capacity under this </w:t>
      </w:r>
      <w:r>
        <w:rPr>
          <w:rFonts w:ascii="Arial" w:cs="Arial" w:eastAsia="Arial" w:hAnsi="Arial"/>
          <w:sz w:val="18"/>
          <w:szCs w:val="18"/>
          <w:u w:val="single" w:color="auto"/>
          <w:color w:val="auto"/>
        </w:rPr>
        <w:t>Section 3.3</w:t>
      </w:r>
      <w:r>
        <w:rPr>
          <w:rFonts w:ascii="Arial" w:cs="Arial" w:eastAsia="Arial" w:hAnsi="Arial"/>
          <w:sz w:val="18"/>
          <w:szCs w:val="18"/>
          <w:color w:val="auto"/>
        </w:rPr>
        <w:t>, an “</w:t>
      </w:r>
      <w:r>
        <w:rPr>
          <w:rFonts w:ascii="Arial" w:cs="Arial" w:eastAsia="Arial" w:hAnsi="Arial"/>
          <w:sz w:val="18"/>
          <w:szCs w:val="18"/>
          <w:b w:val="1"/>
          <w:bCs w:val="1"/>
          <w:color w:val="auto"/>
        </w:rPr>
        <w:t>L/C Participant</w:t>
      </w:r>
      <w:r>
        <w:rPr>
          <w:rFonts w:ascii="Arial" w:cs="Arial" w:eastAsia="Arial" w:hAnsi="Arial"/>
          <w:sz w:val="18"/>
          <w:szCs w:val="18"/>
          <w:color w:val="auto"/>
        </w:rPr>
        <w:t>”), and each such L/C Participant shall be deemed irrevocably and unconditionally to have purchased and received from the Letter of Credit Issuer, without recourse or warranty, an undivided interest and participation (each an “</w:t>
      </w:r>
      <w:r>
        <w:rPr>
          <w:rFonts w:ascii="Arial" w:cs="Arial" w:eastAsia="Arial" w:hAnsi="Arial"/>
          <w:sz w:val="18"/>
          <w:szCs w:val="18"/>
          <w:b w:val="1"/>
          <w:bCs w:val="1"/>
          <w:color w:val="auto"/>
        </w:rPr>
        <w:t>L/C Participation</w:t>
      </w:r>
      <w:r>
        <w:rPr>
          <w:rFonts w:ascii="Arial" w:cs="Arial" w:eastAsia="Arial" w:hAnsi="Arial"/>
          <w:sz w:val="18"/>
          <w:szCs w:val="18"/>
          <w:color w:val="auto"/>
        </w:rPr>
        <w:t xml:space="preserve">”), to the extent of such L/C Participant’s Revolving Credit Commitment Percentage in each Letter of Credit, each substitute therefor, each drawing made thereunder and the obligations of the Borrower under this Agreement with respect thereto, and any security therefor or guaranty pertaining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Letter of Credit Fees will be paid directly to the Administrative Agent for the ratable account of the L/C Participants as provided in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and the L/C Participants shall have no right to receive any portion of any Fronting Fees.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1900" w:h="16838" w:orient="portrait"/>
          <w:cols w:equalWidth="0" w:num="1">
            <w:col w:w="11400"/>
          </w:cols>
          <w:pgMar w:left="260" w:top="814" w:right="239" w:bottom="1440" w:gutter="0" w:footer="0" w:header="0"/>
        </w:sectPr>
      </w:pPr>
    </w:p>
    <w:bookmarkStart w:id="166" w:name="page167"/>
    <w:bookmarkEnd w:id="166"/>
    <w:p>
      <w:pPr>
        <w:ind w:right="40" w:firstLine="656"/>
        <w:spacing w:after="0" w:line="276" w:lineRule="auto"/>
        <w:tabs>
          <w:tab w:leader="none" w:pos="103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 determining whether to pay under any Letter of Credit, the relevant Letter of Credit Issuer shall have no obligation relative to the L/C Participants other than to confirm that any documents required to be delivered under such Letter of Credit have been delivered and that they appear to comply on their face with the requirements of such Letter of Credit. Any action taken or omitted to be taken by the relevant Letter of Credit Issuer under or in connection with any Letter of Credit issued by it, if taken or omitted in the absence of gross negligence or willful misconduct as determined in the final non-appealable judgment of a court of competent jurisdiction, shall not create for the Letter of Credit Issuer any resulting liability.</w:t>
      </w:r>
    </w:p>
    <w:p>
      <w:pPr>
        <w:spacing w:after="0" w:line="172" w:lineRule="exact"/>
        <w:rPr>
          <w:rFonts w:ascii="Arial" w:cs="Arial" w:eastAsia="Arial" w:hAnsi="Arial"/>
          <w:sz w:val="17"/>
          <w:szCs w:val="17"/>
          <w:color w:val="auto"/>
        </w:rPr>
      </w:pPr>
    </w:p>
    <w:p>
      <w:pPr>
        <w:ind w:right="120" w:firstLine="656"/>
        <w:spacing w:after="0" w:line="268" w:lineRule="auto"/>
        <w:tabs>
          <w:tab w:leader="none" w:pos="102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In the event that the Letter of Credit Issuer makes any payment under any Letter of Credit issued by it and the applicable Borrower shall not have repaid such amount in full to the respective Letter of Credit Issuer through the Administrative Agent pursuant to </w:t>
      </w:r>
      <w:r>
        <w:rPr>
          <w:rFonts w:ascii="Arial" w:cs="Arial" w:eastAsia="Arial" w:hAnsi="Arial"/>
          <w:sz w:val="17"/>
          <w:szCs w:val="17"/>
          <w:u w:val="single" w:color="auto"/>
          <w:color w:val="auto"/>
        </w:rPr>
        <w:t>Section 3.4(a)</w:t>
      </w:r>
      <w:r>
        <w:rPr>
          <w:rFonts w:ascii="Arial" w:cs="Arial" w:eastAsia="Arial" w:hAnsi="Arial"/>
          <w:sz w:val="17"/>
          <w:szCs w:val="17"/>
          <w:color w:val="auto"/>
        </w:rPr>
        <w:t>, the Administrative Agent shall promptly notify each L/C Participant of such failure, and each L/C Participant shall promptly and unconditionally pay to the Administrative Agent for the account of the Letter of Credit Issuer, the amount of such L/C Participant’s Revolving Credit Commitment Percentage of such unreimbursed payment in Dollars and in immediately available funds. If and to the extent such L/C Participant shall not have so made its Revolving Credit Commitment Percentage of the amount of such payment available to the Administrative Agent for the account of the Letter of Credit Issuer, such L/C Participant agrees to pay to the Administrative Agent for the account of the Letter of Credit Issuer, forthwith on demand, such amount, together with interest thereon for each day from such date until the date such amount is paid to the Administrative Agent for the account of the Letter of Credit Issuer at a rate per annum equal to the Overnight Rate from time to time then in effect, plus any administrative, processing or similar fees that are reasonably and customarily charged by the Letter of Credit Issuer in connection with the foregoing. The failure of any L/C Participant to make available to the Administrative Agent for the account of the Letter of Credit Issuer its Revolving Credit Commitment Percentage of any payment under any Letter of Credit shall not relieve any other L/C Participant of its obligation hereunder to make available to the Administrative Agent for the account of the Letter of Credit Issuer its Revolving Credit Commitment Percentage of any payment under such Letter of Credit on the date required, as specified above, but no L/C Participant shall be responsible for the failure of any other L/C Participant to make available to the Administrative Agent such other L/C Participant’s Revolving Credit Commitment Percentage of any such payment.</w:t>
      </w:r>
    </w:p>
    <w:p>
      <w:pPr>
        <w:spacing w:after="0" w:line="183" w:lineRule="exact"/>
        <w:rPr>
          <w:rFonts w:ascii="Arial" w:cs="Arial" w:eastAsia="Arial" w:hAnsi="Arial"/>
          <w:sz w:val="17"/>
          <w:szCs w:val="17"/>
          <w:color w:val="auto"/>
        </w:rPr>
      </w:pPr>
    </w:p>
    <w:p>
      <w:pPr>
        <w:ind w:firstLine="656"/>
        <w:spacing w:after="0" w:line="273" w:lineRule="auto"/>
        <w:tabs>
          <w:tab w:leader="none" w:pos="1035"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Whenever the Administrative Agent receives a payment in respect of an unpaid reimbursement obligation as to which the Administrative Agent has received for the account of the Letter of Credit Issuer any payments from the L/C Participants pursuant to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above, the Administrative Agent shall promptly pay to each L/C Participant that has paid its Revolving Credit Commitment Percentage of such reimbursement obligation, in Dollars and in immediately available funds, an amount equal to such L/C Participant’s share (based upon the proportionate aggregate amount originally funded by such L/C Participant to the aggregate amount funded by all L/C Participants) of the amount so paid in respect of such reimbursement obligation and interest thereon accruing after the purchase of the respective L/C Participations at the Overnight Rate.</w:t>
      </w:r>
    </w:p>
    <w:p>
      <w:pPr>
        <w:spacing w:after="0" w:line="178" w:lineRule="exact"/>
        <w:rPr>
          <w:rFonts w:ascii="Arial" w:cs="Arial" w:eastAsia="Arial" w:hAnsi="Arial"/>
          <w:sz w:val="17"/>
          <w:szCs w:val="17"/>
          <w:color w:val="auto"/>
        </w:rPr>
      </w:pPr>
    </w:p>
    <w:p>
      <w:pPr>
        <w:ind w:right="20" w:firstLine="656"/>
        <w:spacing w:after="0" w:line="264" w:lineRule="auto"/>
        <w:tabs>
          <w:tab w:leader="none" w:pos="102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obligations of the L/C Participants to make payments to the Administrative Agent for the account of the Letter of Credit Issuer with respect to Letters of Credit shall be irrevocable and not subject to counterclaim, set-off or other defense or any other qualification or exception whatsoever and shall be made in accordance with the terms and conditions of this Agreement under all circumstances.</w:t>
      </w:r>
    </w:p>
    <w:p>
      <w:pPr>
        <w:spacing w:after="0" w:line="181" w:lineRule="exact"/>
        <w:rPr>
          <w:rFonts w:ascii="Arial" w:cs="Arial" w:eastAsia="Arial" w:hAnsi="Arial"/>
          <w:sz w:val="18"/>
          <w:szCs w:val="18"/>
          <w:color w:val="auto"/>
        </w:rPr>
      </w:pPr>
    </w:p>
    <w:p>
      <w:pPr>
        <w:ind w:right="120" w:firstLine="656"/>
        <w:spacing w:after="0" w:line="257" w:lineRule="auto"/>
        <w:tabs>
          <w:tab w:leader="none" w:pos="100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the Letter of Credit Issuer pursuant to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is required to be returned, each Lender shall pay to the Administrative Agent for the account of the Letter of Credit Issuer its Revolving Credit Commitment Percentage thereof on demand of the Administrative Agent,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1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Agreement to Repay Letter of Credit Drawings</w:t>
      </w:r>
      <w:r>
        <w:rPr>
          <w:rFonts w:ascii="Arial" w:cs="Arial" w:eastAsia="Arial" w:hAnsi="Arial"/>
          <w:sz w:val="16"/>
          <w:szCs w:val="16"/>
          <w:color w:val="auto"/>
        </w:rPr>
        <w:t>.</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-87-</w:t>
      </w:r>
    </w:p>
    <w:p>
      <w:pPr>
        <w:sectPr>
          <w:pgSz w:w="11900" w:h="16838" w:orient="portrait"/>
          <w:cols w:equalWidth="0" w:num="1">
            <w:col w:w="11420"/>
          </w:cols>
          <w:pgMar w:left="240" w:top="814" w:right="239" w:bottom="1440" w:gutter="0" w:footer="0" w:header="0"/>
        </w:sectPr>
      </w:pPr>
    </w:p>
    <w:bookmarkStart w:id="167" w:name="page168"/>
    <w:bookmarkEnd w:id="167"/>
    <w:p>
      <w:pPr>
        <w:jc w:val="both"/>
        <w:ind w:firstLine="8"/>
        <w:spacing w:after="0" w:line="284" w:lineRule="auto"/>
        <w:tabs>
          <w:tab w:leader="none" w:pos="40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Borrower hereby agrees to reimburse the Letter of Credit Issuer, by making payment with respect to any drawing under any Letter of Credit in the same currency in which such drawing was made unless the Letter of Credit Issuer (at its option) shall have specified in the notice of drawing that it will require reimbursement in Dollars. Any such reimbursement shall be made by the Borrower to the Administrative Agent in immediately available funds for any payment or disbursement made by the Letter of Credit Issuer under any Letter of Credit (each such amount so paid until reimbursed, an “</w:t>
      </w:r>
      <w:r>
        <w:rPr>
          <w:rFonts w:ascii="Arial" w:cs="Arial" w:eastAsia="Arial" w:hAnsi="Arial"/>
          <w:sz w:val="16"/>
          <w:szCs w:val="16"/>
          <w:b w:val="1"/>
          <w:bCs w:val="1"/>
          <w:color w:val="auto"/>
        </w:rPr>
        <w:t>Unpaid</w:t>
      </w:r>
      <w:r>
        <w:rPr>
          <w:rFonts w:ascii="Arial" w:cs="Arial" w:eastAsia="Arial" w:hAnsi="Arial"/>
          <w:sz w:val="16"/>
          <w:szCs w:val="16"/>
          <w:color w:val="auto"/>
        </w:rPr>
        <w:t xml:space="preserve"> </w:t>
      </w:r>
      <w:r>
        <w:rPr>
          <w:rFonts w:ascii="Arial" w:cs="Arial" w:eastAsia="Arial" w:hAnsi="Arial"/>
          <w:sz w:val="16"/>
          <w:szCs w:val="16"/>
          <w:b w:val="1"/>
          <w:bCs w:val="1"/>
          <w:color w:val="auto"/>
        </w:rPr>
        <w:t>Drawing</w:t>
      </w:r>
      <w:r>
        <w:rPr>
          <w:rFonts w:ascii="Arial" w:cs="Arial" w:eastAsia="Arial" w:hAnsi="Arial"/>
          <w:sz w:val="16"/>
          <w:szCs w:val="16"/>
          <w:color w:val="auto"/>
        </w:rPr>
        <w:t>”) no later than the date that is one Business Day after the date on which the Borrower receives written notice of such payment or disbursement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Reimbursement Date</w:t>
      </w:r>
      <w:r>
        <w:rPr>
          <w:rFonts w:ascii="Arial" w:cs="Arial" w:eastAsia="Arial" w:hAnsi="Arial"/>
          <w:sz w:val="16"/>
          <w:szCs w:val="16"/>
          <w:color w:val="auto"/>
        </w:rPr>
        <w:t xml:space="preserve">”), with interest on the amount so paid or disbursed by the Letter of Credit Issuer, to the extent not reimbursed prior to 5:00 p.m. (New York City time) on the Reimbursement Date, from the Reimbursement Date to the date the Letter of Credit Issuer is reimbursed therefor at a rate per annum that shall at all times be the Applicable Margin for ABR Loans that are Revolving Credit Loans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ABR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contained in this Agreement to the contrary, (i) unless the Borrower shall have notified the Administrative Agent and the relevant Letter of Credit Issuer prior to 1:00 p.m. (New York City time) on the Reimbursement Date that the Borrower intends to reimburse the relevant Letter of Credit Issuer for the amount of such drawing with funds other than the proceeds of Loans, the Borrower shall be deemed to have given a Notice of Borrowing requesting that, with respect to Letters of Credit, the Revolving Credit Lenders make Revolving Credit Loans (which shall be denominated in Dollars and which shall be ABR Loans) on the Reimbursement Date in the amount of such drawing and (ii) the Administrative Agent shall promptly notify each L/C Participant of such drawing and the amount of its Revolving Credit Loan to be made in respect thereof, and each L/C Participant shall be irrevocably obligated to make a Revolving Credit Loan to the Borrower in Dollars in the manner deemed to have been requested in the amount of its Revolving Credit Commitment Percentage of the applicable Unpaid Drawing by 2:00 p.m. (New York City time) on such Reimbursement Date by making the amount of such Revolving Credit Loan available to the Administrative Agent. Such Revolving Credit Loans shall be made without regard to the Minimum Borrowing Amount. The Administrative Agent shall use the proceeds of such Revolving Credit Loans solely for purpose of reimbursing the Letter of Credit Issuer for the related Unpaid Drawing. In the event that the Borrower fails to Cash Collateralize any Letter of Credit that is outstanding on the L/C Facility Maturity Date, the full amount of the Letters of Credit Outstanding in respect of such Letter of Credit shall be deemed to be an Unpaid Drawing subject to the provisions of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except that the Letter of Credit Issuer shall hold the proceeds received from the L/C Participants as contemplated above as cash collateral for such Letter of Credit to reimburse any Drawing under such Letter of Credit and shall use such proceeds first, to reimburse itself for any Drawings made in respect of such Letter of Credit following the L/C Facility Maturity Date, second, to the extent such Letter of Credit expires or is returned undrawn while any such cash collateral remains, to the repayment of obligations in respect of any Revolving Credit Loans that have not been paid at such time and third, to the Borrower or as otherwise directed by a court of competent jurisdiction. Nothing in this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shall affect the Borrower’s obligation to repay all outstanding Revolving Credit Loans when due in accordance with the terms of this Agreement.</w:t>
      </w:r>
    </w:p>
    <w:p>
      <w:pPr>
        <w:spacing w:after="0" w:line="391" w:lineRule="exact"/>
        <w:rPr>
          <w:rFonts w:ascii="Arial" w:cs="Arial" w:eastAsia="Arial" w:hAnsi="Arial"/>
          <w:sz w:val="16"/>
          <w:szCs w:val="16"/>
          <w:color w:val="auto"/>
        </w:rPr>
      </w:pPr>
    </w:p>
    <w:p>
      <w:pPr>
        <w:ind w:right="60" w:firstLine="656"/>
        <w:spacing w:after="0" w:line="264" w:lineRule="auto"/>
        <w:tabs>
          <w:tab w:leader="none" w:pos="1035"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obligation of the Borrower to reimburse the Letter of Credit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81" w:lineRule="exact"/>
        <w:rPr>
          <w:rFonts w:ascii="Arial" w:cs="Arial" w:eastAsia="Arial" w:hAnsi="Arial"/>
          <w:sz w:val="18"/>
          <w:szCs w:val="18"/>
          <w:color w:val="auto"/>
        </w:rPr>
      </w:pPr>
    </w:p>
    <w:p>
      <w:pPr>
        <w:ind w:left="1900" w:hanging="352"/>
        <w:spacing w:after="0"/>
        <w:tabs>
          <w:tab w:leader="none" w:pos="190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any lack of validity or enforceability of this Agreement or any of the other Credit Documents;</w:t>
      </w:r>
    </w:p>
    <w:p>
      <w:pPr>
        <w:spacing w:after="0" w:line="225" w:lineRule="exact"/>
        <w:rPr>
          <w:rFonts w:ascii="Arial" w:cs="Arial" w:eastAsia="Arial" w:hAnsi="Arial"/>
          <w:sz w:val="18"/>
          <w:szCs w:val="18"/>
          <w:color w:val="auto"/>
        </w:rPr>
      </w:pPr>
    </w:p>
    <w:p>
      <w:pPr>
        <w:ind w:left="660" w:right="140" w:firstLine="888"/>
        <w:spacing w:after="0" w:line="257" w:lineRule="auto"/>
        <w:tabs>
          <w:tab w:leader="none" w:pos="1951" w:val="left"/>
        </w:tabs>
        <w:numPr>
          <w:ilvl w:val="2"/>
          <w:numId w:val="117"/>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 that the Borrower may have at any time against a beneficiary named in a Letter of Credit, any transferee of any Letter of Credit (or any Person for whom any such transferee may be acting), the Administrative Agent, the Letter of Credit Issuer, any Lender or other Person, whether in connection with this Agreement, any Letter of Credit, the transactions contemplated herein or any unrelated transactions (including any underlying transaction between the Borrower and the beneficiary named in any such Letter of Credit);</w:t>
      </w:r>
    </w:p>
    <w:p>
      <w:pPr>
        <w:spacing w:after="0" w:line="188" w:lineRule="exact"/>
        <w:rPr>
          <w:rFonts w:ascii="Arial" w:cs="Arial" w:eastAsia="Arial" w:hAnsi="Arial"/>
          <w:sz w:val="18"/>
          <w:szCs w:val="18"/>
          <w:color w:val="auto"/>
        </w:rPr>
      </w:pPr>
    </w:p>
    <w:p>
      <w:pPr>
        <w:jc w:val="both"/>
        <w:ind w:left="660" w:right="80" w:firstLine="888"/>
        <w:spacing w:after="0" w:line="264" w:lineRule="auto"/>
        <w:tabs>
          <w:tab w:leader="none" w:pos="2001" w:val="left"/>
        </w:tabs>
        <w:numPr>
          <w:ilvl w:val="2"/>
          <w:numId w:val="117"/>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ectPr>
          <w:pgSz w:w="11900" w:h="16838" w:orient="portrait"/>
          <w:cols w:equalWidth="0" w:num="1">
            <w:col w:w="11420"/>
          </w:cols>
          <w:pgMar w:left="240" w:top="814" w:right="239" w:bottom="1440" w:gutter="0" w:footer="0" w:header="0"/>
        </w:sectPr>
      </w:pPr>
    </w:p>
    <w:bookmarkStart w:id="168" w:name="page169"/>
    <w:bookmarkEnd w:id="168"/>
    <w:p>
      <w:pPr>
        <w:ind w:left="600" w:firstLine="888"/>
        <w:spacing w:after="0" w:line="264" w:lineRule="auto"/>
        <w:tabs>
          <w:tab w:leader="none" w:pos="193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waiver by the Letter of Credit Issuer of any requirement that exists for the Letter of Credit Issuer’s protection and not the protection of the Borrower (or Holdings or other Restricted Subsidiary) or any waiver by the Letter of Credit Issuer which does not in fact materially prejudice the Borrower (or Holdings or other Restricted Subsidiary);</w:t>
      </w:r>
    </w:p>
    <w:p>
      <w:pPr>
        <w:spacing w:after="0" w:line="181" w:lineRule="exact"/>
        <w:rPr>
          <w:rFonts w:ascii="Arial" w:cs="Arial" w:eastAsia="Arial" w:hAnsi="Arial"/>
          <w:sz w:val="18"/>
          <w:szCs w:val="18"/>
          <w:color w:val="auto"/>
        </w:rPr>
      </w:pPr>
    </w:p>
    <w:p>
      <w:pPr>
        <w:ind w:left="600" w:firstLine="888"/>
        <w:spacing w:after="0" w:line="264" w:lineRule="auto"/>
        <w:tabs>
          <w:tab w:leader="none" w:pos="188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payment made by the Letter of Credit Issuer in respect of an otherwise complying item presented after the date specified as the expiration date of, or the date by which documents must be received under, such Letter of Credit if presentation after such date is authorized by the UCC or the ISP;</w:t>
      </w:r>
    </w:p>
    <w:p>
      <w:pPr>
        <w:spacing w:after="0" w:line="181" w:lineRule="exact"/>
        <w:rPr>
          <w:rFonts w:ascii="Arial" w:cs="Arial" w:eastAsia="Arial" w:hAnsi="Arial"/>
          <w:sz w:val="18"/>
          <w:szCs w:val="18"/>
          <w:color w:val="auto"/>
        </w:rPr>
      </w:pPr>
    </w:p>
    <w:p>
      <w:pPr>
        <w:ind w:left="600" w:right="40" w:firstLine="888"/>
        <w:spacing w:after="0" w:line="257" w:lineRule="auto"/>
        <w:tabs>
          <w:tab w:leader="none" w:pos="193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payment by the Letter of Credit Issuer under such Letter of Credit against presentation of a draft or certificate that does not strictly comply with the terms of such Letter of Credit; or any payment made by the Letter of Credit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the Bankruptcy Code;</w:t>
      </w:r>
    </w:p>
    <w:p>
      <w:pPr>
        <w:spacing w:after="0" w:line="188" w:lineRule="exact"/>
        <w:rPr>
          <w:rFonts w:ascii="Arial" w:cs="Arial" w:eastAsia="Arial" w:hAnsi="Arial"/>
          <w:sz w:val="18"/>
          <w:szCs w:val="18"/>
          <w:color w:val="auto"/>
        </w:rPr>
      </w:pPr>
    </w:p>
    <w:p>
      <w:pPr>
        <w:ind w:left="1980" w:hanging="492"/>
        <w:spacing w:after="0"/>
        <w:tabs>
          <w:tab w:leader="none" w:pos="198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honor of a demand for payment presented electronically even if such Letter of Credit requires that demand be in the form of a</w:t>
      </w:r>
    </w:p>
    <w:p>
      <w:pPr>
        <w:spacing w:after="0" w:line="46"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8"/>
          <w:szCs w:val="18"/>
          <w:color w:val="auto"/>
        </w:rPr>
        <w:t>draft;</w:t>
      </w:r>
    </w:p>
    <w:p>
      <w:pPr>
        <w:spacing w:after="0" w:line="210" w:lineRule="exact"/>
        <w:rPr>
          <w:rFonts w:ascii="Arial" w:cs="Arial" w:eastAsia="Arial" w:hAnsi="Arial"/>
          <w:sz w:val="16"/>
          <w:szCs w:val="16"/>
          <w:color w:val="auto"/>
        </w:rPr>
      </w:pPr>
    </w:p>
    <w:p>
      <w:pPr>
        <w:ind w:left="2020" w:hanging="532"/>
        <w:spacing w:after="0"/>
        <w:tabs>
          <w:tab w:leader="none" w:pos="20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adverse change in any relevant exchange rates or in the relevant currency markets generally; or</w:t>
      </w:r>
    </w:p>
    <w:p>
      <w:pPr>
        <w:spacing w:after="0" w:line="225" w:lineRule="exact"/>
        <w:rPr>
          <w:rFonts w:ascii="Arial" w:cs="Arial" w:eastAsia="Arial" w:hAnsi="Arial"/>
          <w:sz w:val="18"/>
          <w:szCs w:val="18"/>
          <w:color w:val="auto"/>
        </w:rPr>
      </w:pPr>
    </w:p>
    <w:p>
      <w:pPr>
        <w:ind w:left="600" w:right="20" w:firstLine="888"/>
        <w:spacing w:after="0" w:line="264" w:lineRule="auto"/>
        <w:tabs>
          <w:tab w:leader="none" w:pos="193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 (or Holdings or other Restricted Subsidiary) (other than the defense of payment or performance).</w:t>
      </w:r>
    </w:p>
    <w:p>
      <w:pPr>
        <w:spacing w:after="0" w:line="181" w:lineRule="exact"/>
        <w:rPr>
          <w:rFonts w:ascii="Arial" w:cs="Arial" w:eastAsia="Arial" w:hAnsi="Arial"/>
          <w:sz w:val="18"/>
          <w:szCs w:val="18"/>
          <w:color w:val="auto"/>
        </w:rPr>
      </w:pPr>
    </w:p>
    <w:p>
      <w:pPr>
        <w:ind w:left="-60" w:right="240" w:firstLine="656"/>
        <w:spacing w:after="0" w:line="264" w:lineRule="auto"/>
        <w:tabs>
          <w:tab w:leader="none" w:pos="96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Borrower shall not be obligated to reimburse the Letter of Credit Issuer for any wrongful payment made by the Letter of Credit Issuer under the Letter of Credit issued by it as a result of acts or omissions constituting willful misconduct or gross negligence on the part of the Letter of Credit Issuer as determined in the final non-appealable judgment of a court of competent jurisdiction.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ectPr>
          <w:pgSz w:w="11900" w:h="16838" w:orient="portrait"/>
          <w:cols w:equalWidth="0" w:num="1">
            <w:col w:w="11320"/>
          </w:cols>
          <w:pgMar w:left="300" w:top="814" w:right="279" w:bottom="1440" w:gutter="0" w:footer="0" w:header="0"/>
        </w:sectPr>
      </w:pPr>
    </w:p>
    <w:bookmarkStart w:id="169" w:name="page170"/>
    <w:bookmarkEnd w:id="169"/>
    <w:p>
      <w:pPr>
        <w:ind w:firstLine="648"/>
        <w:spacing w:after="0" w:line="285"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Increased Costs</w:t>
      </w:r>
      <w:r>
        <w:rPr>
          <w:rFonts w:ascii="Arial" w:cs="Arial" w:eastAsia="Arial" w:hAnsi="Arial"/>
          <w:sz w:val="16"/>
          <w:szCs w:val="16"/>
          <w:color w:val="auto"/>
        </w:rPr>
        <w:t>. If after the Restatement Effective Date, the adoption of any applicable law, treaty, rule, or regulation, or any change therein, or any change in the interpretation or administration thereof by any Governmental Authority, central bank or comparable agency charged with the interpretation or administration thereof, or actual compliance by the Letter of Credit Issuer or any L/C Participant with any request or directive made or adopted after the Restatement Effective Date (whether or not having the force of law), by any such authority, central bank or comparable agency shall either (x) impose, modify or make applicable any reserve, deposit, capital adequacy or similar requirement against letters of credit issued by the Letter of Credit Issuer, or any L/C Participant’s L/C Participation therein, or (y) impose on the Letter of Credit Issuer or any L/C Participant any other conditions or costs affecting its obligations under this Agreement in respect of Letters of Credit or L/C Participations therein or any Letter of Credit or such L/C Participant’s L/C Participation therein, and the result of any of the foregoing is to increase the actual cost to the Letter of Credit Issuer or such L/C Participant of issuing, maintaining or participating in any Letter of Credit, or to reduce the actual amount of any sum received or receivable by the Letter of Credit Issuer or such L/C Participant hereunder (including any increased costs or reductions attributable to Taxes, other than any increase or reduction attributable to Indemnified Taxes, Excluded Taxes or Other Taxes) in respect of Letters of Credit or L/C Participations therein, then, promptly after receipt of written demand to the Borrower by the Letter of Credit Issuer or such L/C Participant, as the case may be (a copy of which notice shall be sent by the Letter of Credit Issuer or such L/C Participant to the Administrative Agent (with respect to a Letter of Credit issued on account of the Borrower (or Holdings or other Restricted Subsidiary))), the Borrower shall pay to the Letter of Credit Issuer or such L/C Participant such actual additional amount or amounts as will compensate the Letter of Credit Issuer or such L/C Participant for such increased cost or reduction, it being understood and agreed, however, that the Letter of Credit Issuer or an L/C Participant shall not be entitled to such compensation as a result of such Person’s compliance with, or pursuant to any request or directive to comply with, any such law, rule or regulation as in effect on the Restatement Effective Date. A certificate submitted to the Borrower by the relevant Letter of Credit Issuer or an L/C Participant, as the case may be (a copy of which certificate shall be sent by the Letter of Credit Issuer or such L/C Participant to the Administrative Agent), setting forth in reasonable detail the basis for the determination of such actual additional amount or amounts necessary to compensate the Letter of Credit Issuer or such L/C Participant as aforesaid shall be conclusive and binding on the Borrower absent clearly demonstrable error.</w:t>
      </w:r>
    </w:p>
    <w:p>
      <w:pPr>
        <w:spacing w:after="0" w:line="168"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New or Successor Letter of Credit Issuer</w:t>
      </w:r>
      <w:r>
        <w:rPr>
          <w:rFonts w:ascii="Arial" w:cs="Arial" w:eastAsia="Arial" w:hAnsi="Arial"/>
          <w:sz w:val="16"/>
          <w:szCs w:val="16"/>
          <w:color w:val="auto"/>
        </w:rPr>
        <w:t>.</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-90-</w:t>
      </w:r>
    </w:p>
    <w:p>
      <w:pPr>
        <w:sectPr>
          <w:pgSz w:w="11900" w:h="16838" w:orient="portrait"/>
          <w:cols w:equalWidth="0" w:num="1">
            <w:col w:w="11400"/>
          </w:cols>
          <w:pgMar w:left="240" w:top="814" w:right="259" w:bottom="1440" w:gutter="0" w:footer="0" w:header="0"/>
        </w:sectPr>
      </w:pPr>
    </w:p>
    <w:bookmarkStart w:id="170" w:name="page171"/>
    <w:bookmarkEnd w:id="170"/>
    <w:p>
      <w:pPr>
        <w:ind w:firstLine="656"/>
        <w:spacing w:after="0" w:line="284" w:lineRule="auto"/>
        <w:tabs>
          <w:tab w:leader="none" w:pos="101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A Letter of Credit Issuer may resign as the Letter of Credit Issuer upon 60 days’ prior written notice to the Administrative Agent, the Lenders, Holdings, and the Borrower. The Borrower may replace a Letter of Credit Issuer for any reason upon written notice to the Administrative Agent and the Letter of Credit Issuer. The Borrower may add Letter of Credit Issuers at any time upon notice to the Administrative Agent. If the Letter of Credit Issuer shall resign or be replaced, or if the Borrower shall decide to add a new Letter of Credit Issuer under this Agreement, then the Borrower may appoint from among the Lenders a successor issuer of Letters of Credit or a new Letter of Credit Issuer, as the case may be, or, with the consent of the Administrative Agent (such consent not to be unreasonably withheld or delayed), another successor or new issuer of Letters of Credit, whereupon such successor issuer accepting such appointment shall succeed to the rights, powers and duties of the replaced or resigning Letter of Credit Issuer under this Agreement and the other Credit Documents, or such new issuer of Letters of Credit accepting such appointment shall be granted the rights, powers and duties of the Letter of Credit Issuer hereunder, and the term Letter of Credit Issuer shall mean such successor or such new issuer of Letters of Credit effective upon such appointment. At the time such resignation or replacement shall become effective, the Borrower shall pay to the resigning or replaced Letter of Credit Issuer all accrued and unpaid fees applicable to the Letters of Credit pursuant to </w:t>
      </w:r>
      <w:r>
        <w:rPr>
          <w:rFonts w:ascii="Arial" w:cs="Arial" w:eastAsia="Arial" w:hAnsi="Arial"/>
          <w:sz w:val="16"/>
          <w:szCs w:val="16"/>
          <w:u w:val="single" w:color="auto"/>
          <w:color w:val="auto"/>
        </w:rPr>
        <w:t>Sections 4.1(b)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4.1(d)</w:t>
      </w:r>
      <w:r>
        <w:rPr>
          <w:rFonts w:ascii="Arial" w:cs="Arial" w:eastAsia="Arial" w:hAnsi="Arial"/>
          <w:sz w:val="16"/>
          <w:szCs w:val="16"/>
          <w:color w:val="auto"/>
        </w:rPr>
        <w:t xml:space="preserve">. The acceptance of any appointment as the Letter of Credit Issuer hereunder whether as a successor issuer or new issuer of Letters of Credit in accordance with this Agreement, shall be evidenced by an agreement entered into by such new or successor issuer of Letters of Credit, in a form reasonably satisfactory to the Borrower and the Administrative Agent and, from and after the effective date of such agreement, such new or successor issuer of Letters of Credit shall become the Letter of Credit Issuer hereunder. After the resignation or replacement of the Letter of Credit Issuer hereunder, the resigning or replaced Letter of Credit Issuer shall remain a party hereto and shall continue to have all the rights and obligations of the Letter of Credit Issuer under this Agreement and the other Credit Documents with respect to Letters of Credit issued by it prior to such resignation or replacement, but shall not be required to issue additional Letters of Credit. In connection with any resignation or replacement pursuant to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(but, in case of any such resignation, only to the extent that a successor issuer of Letters of Credit shall have been appointed), either (i) the Borrower, the resigning or replaced Letter of Credit Issuer and the successor issuer of Letters of Credit shall arrange to have any outstanding Letters of Credit issued by the resigning or replaced Letter of Credit Issuer replaced with Letters of Credit issued by the successor issuer of Letters of Credit or (ii) the Borrower shall cause the successor issuer of Letters of Credit, if such successor issuer is reasonably satisfactory to the replaced or resigning Letter of Credit Issuer, to issue “back-stop” Letters of Credit naming the resigning or replaced Letter of Credit Issuer as beneficiary for each outstanding Letter of Credit issued by the resigning or replaced Letter of Credit Issuer, which new Letters of Credit shall be denominated in the same currency as, and shall have a face amount equal to, the Letters of Credit being back-stopped and the sole requirement for drawing on such new Letters of Credit shall be a drawing on the corresponding back-stopped Letters of Credit. After any resigning or replaced Letter of Credit Issuer’s resignation or replacement as Letter of Credit Issuer, the provisions of this Agreement relating to the Letter of Credit Issuer shall inure to its benefit as to any actions taken or omitted to be taken by it (A) while it was the Letter of Credit Issuer under this Agreement or (B) at any time with respect to Letters of Credit issued by such Letter of Credit Issuer.</w:t>
      </w:r>
    </w:p>
    <w:p>
      <w:pPr>
        <w:spacing w:after="0" w:line="172" w:lineRule="exact"/>
        <w:rPr>
          <w:rFonts w:ascii="Arial" w:cs="Arial" w:eastAsia="Arial" w:hAnsi="Arial"/>
          <w:sz w:val="16"/>
          <w:szCs w:val="16"/>
          <w:color w:val="auto"/>
        </w:rPr>
      </w:pPr>
    </w:p>
    <w:p>
      <w:pPr>
        <w:ind w:firstLine="656"/>
        <w:spacing w:after="0" w:line="257" w:lineRule="auto"/>
        <w:tabs>
          <w:tab w:leader="none" w:pos="103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To the extent there are, at the time of any resignation or replacement as set forth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any outstanding Letters of Credit, nothing herein shall be deemed to impact or impair any rights and obligations of any of the parties hereto with respect to such outstanding Letters of Credit (including, without limitation, any obligations related to the payment of Fees or the reimbursement or funding of amounts drawn), except that the Borrower, the resigning or replaced Letter of Credit Issuer and the successor issuer of Letters of Credit shall have the obligations regarding outstanding Letters of Credit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ectPr>
          <w:pgSz w:w="11900" w:h="16838" w:orient="portrait"/>
          <w:cols w:equalWidth="0" w:num="1">
            <w:col w:w="11420"/>
          </w:cols>
          <w:pgMar w:left="240" w:top="814" w:right="239" w:bottom="1440" w:gutter="0" w:footer="0" w:header="0"/>
        </w:sectPr>
      </w:pPr>
    </w:p>
    <w:bookmarkStart w:id="171" w:name="page172"/>
    <w:bookmarkEnd w:id="171"/>
    <w:p>
      <w:pPr>
        <w:ind w:right="60" w:firstLine="648"/>
        <w:spacing w:after="0" w:line="285"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Role of Letter of Credit Issuer</w:t>
      </w:r>
      <w:r>
        <w:rPr>
          <w:rFonts w:ascii="Arial" w:cs="Arial" w:eastAsia="Arial" w:hAnsi="Arial"/>
          <w:sz w:val="16"/>
          <w:szCs w:val="16"/>
          <w:color w:val="auto"/>
        </w:rPr>
        <w:t xml:space="preserve">. Each Lender and the Borrower agree that, in paying any drawing under a Letter of Credit, the Letter of Credit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Letter of Credit Issuer, the Administrative Agent, any of their respective Affiliates nor any correspondent, participant or assignee of the Letter of Credit Issuer shall be liable to any Lender for (i) any action taken or omitted in connection herewith at the request or with the approval of the Required Revolving Credit Lenders; (ii) any action taken or omitted in the absence of gross negligence or willful misconduct as determined in the final non-appealable judgment of a court of competent jurisdiction;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assumption is not intended to, and shall not, preclude the Borrower’s pursuit of such rights and remedies as they may have against the beneficiary or transferee at law or under any other agreement. None of the Letter of Credit Issuer, the Administrative Agent, any of their respective Affiliates nor any correspondent, participant or assignee of the Letter of Credit Issuer shall be liable or responsible for any of the matters described in </w:t>
      </w:r>
      <w:r>
        <w:rPr>
          <w:rFonts w:ascii="Arial" w:cs="Arial" w:eastAsia="Arial" w:hAnsi="Arial"/>
          <w:sz w:val="16"/>
          <w:szCs w:val="16"/>
          <w:u w:val="single" w:color="auto"/>
          <w:color w:val="auto"/>
        </w:rPr>
        <w:t>Section 3.3(b)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anything in such Section to the contrary notwithstanding, the Borrower may have a claim against the Letter of Credit Issuer, and the Letter of Credit Issuer may be liable to the Borrower, to the extent, but only to the extent, of any direct, as opposed to consequential or exemplary, damages suffered by the Borrower which the Borrower proves were caused by the Letter of Credit Issuer’s willful misconduct or gross negligence or the Letter of Credit Issuer’s willful failure to pay under any Letter of Credit after the presentation to it by the beneficiary of a sight draft and certificate(s) strictly complying with the terms and conditions of a Letter of Credit in each case as determined in the final non-appealable judgment of a court of competent jurisdiction. In furtherance and not in limitation of the foregoing, the Letter of Credit Issuer may accept documents that appear on their face to be in order, without responsibility for further investigation, regardless of any notice or information to the contrary, and the Letter of Credit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6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Letter of Credit Issuer may send a Letter of Credit or conduct any communication to or from the beneficiary via the Society for Worldwide Interbank Financial Telecommunication (“</w:t>
      </w:r>
      <w:r>
        <w:rPr>
          <w:rFonts w:ascii="Arial" w:cs="Arial" w:eastAsia="Arial" w:hAnsi="Arial"/>
          <w:sz w:val="18"/>
          <w:szCs w:val="18"/>
          <w:b w:val="1"/>
          <w:bCs w:val="1"/>
          <w:color w:val="auto"/>
        </w:rPr>
        <w:t>SWIFT</w:t>
      </w:r>
      <w:r>
        <w:rPr>
          <w:rFonts w:ascii="Arial" w:cs="Arial" w:eastAsia="Arial" w:hAnsi="Arial"/>
          <w:sz w:val="18"/>
          <w:szCs w:val="18"/>
          <w:color w:val="auto"/>
        </w:rPr>
        <w:t>”) message or overnight courier, or any other commercially reasonable means of communicating with a beneficiary.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-92-</w:t>
      </w:r>
    </w:p>
    <w:p>
      <w:pPr>
        <w:sectPr>
          <w:pgSz w:w="11900" w:h="16838" w:orient="portrait"/>
          <w:cols w:equalWidth="0" w:num="1">
            <w:col w:w="11420"/>
          </w:cols>
          <w:pgMar w:left="240" w:top="814" w:right="239" w:bottom="1440" w:gutter="0" w:footer="0" w:header="0"/>
        </w:sectPr>
      </w:pPr>
    </w:p>
    <w:bookmarkStart w:id="172" w:name="page173"/>
    <w:bookmarkEnd w:id="172"/>
    <w:p>
      <w:pPr>
        <w:ind w:left="660"/>
        <w:spacing w:after="0"/>
        <w:tabs>
          <w:tab w:leader="none" w:pos="10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u w:val="single" w:color="auto"/>
          <w:color w:val="auto"/>
        </w:rPr>
        <w:t>Cash Collateral</w:t>
      </w:r>
      <w:r>
        <w:rPr>
          <w:rFonts w:ascii="Arial" w:cs="Arial" w:eastAsia="Arial" w:hAnsi="Arial"/>
          <w:sz w:val="16"/>
          <w:szCs w:val="16"/>
          <w:color w:val="auto"/>
        </w:rPr>
        <w:t>.</w:t>
      </w:r>
    </w:p>
    <w:p>
      <w:pPr>
        <w:spacing w:after="0" w:line="225" w:lineRule="exact"/>
        <w:rPr>
          <w:sz w:val="20"/>
          <w:szCs w:val="20"/>
          <w:color w:val="auto"/>
        </w:rPr>
      </w:pPr>
    </w:p>
    <w:p>
      <w:pPr>
        <w:ind w:right="180" w:firstLine="656"/>
        <w:spacing w:after="0" w:line="291" w:lineRule="auto"/>
        <w:tabs>
          <w:tab w:leader="none" w:pos="1028"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Certain Credit Support Events</w:t>
      </w:r>
      <w:r>
        <w:rPr>
          <w:rFonts w:ascii="Arial" w:cs="Arial" w:eastAsia="Arial" w:hAnsi="Arial"/>
          <w:sz w:val="16"/>
          <w:szCs w:val="16"/>
          <w:color w:val="auto"/>
        </w:rPr>
        <w:t>. Upon the written request of the Administrative Agent or the Letter of Credit Issuer, if (i) as of the L/C Facility Maturity Date, any L/C Obligation for any reason remains outstanding, (ii) the Borrower shall be required to provide Cash Collateral pursuant to</w:t>
      </w:r>
    </w:p>
    <w:p>
      <w:pPr>
        <w:ind w:right="420"/>
        <w:spacing w:after="0" w:line="273" w:lineRule="auto"/>
        <w:rPr>
          <w:rFonts w:ascii="Arial" w:cs="Arial" w:eastAsia="Arial" w:hAnsi="Arial"/>
          <w:sz w:val="16"/>
          <w:szCs w:val="16"/>
          <w:color w:val="auto"/>
        </w:rPr>
      </w:pPr>
      <w:r>
        <w:rPr>
          <w:rFonts w:ascii="Arial" w:cs="Arial" w:eastAsia="Arial" w:hAnsi="Arial"/>
          <w:sz w:val="17"/>
          <w:szCs w:val="17"/>
          <w:u w:val="single" w:color="auto"/>
          <w:color w:val="auto"/>
        </w:rPr>
        <w:t>Section 11.13</w:t>
      </w:r>
      <w:r>
        <w:rPr>
          <w:rFonts w:ascii="Arial" w:cs="Arial" w:eastAsia="Arial" w:hAnsi="Arial"/>
          <w:sz w:val="17"/>
          <w:szCs w:val="17"/>
          <w:color w:val="auto"/>
        </w:rPr>
        <w:t xml:space="preserve">, or (iii) the provisions of </w:t>
      </w:r>
      <w:r>
        <w:rPr>
          <w:rFonts w:ascii="Arial" w:cs="Arial" w:eastAsia="Arial" w:hAnsi="Arial"/>
          <w:sz w:val="17"/>
          <w:szCs w:val="17"/>
          <w:u w:val="single" w:color="auto"/>
          <w:color w:val="auto"/>
        </w:rPr>
        <w:t>Section 2.16(a)(v)</w:t>
      </w:r>
      <w:r>
        <w:rPr>
          <w:rFonts w:ascii="Arial" w:cs="Arial" w:eastAsia="Arial" w:hAnsi="Arial"/>
          <w:sz w:val="17"/>
          <w:szCs w:val="17"/>
          <w:color w:val="auto"/>
        </w:rPr>
        <w:t xml:space="preserve"> are in effect, the Borrower shall immediately (in the case of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above) or within one Business Day (in all other cases) following any written request by the Administrative Agent or the Letter of Credit Issuer, provide Cash Collateral in an amount not less than the applicable Minimum Collateral Amount (determined in the case of Cash Collateral provided pursuant to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above, after giving effect to </w:t>
      </w:r>
      <w:r>
        <w:rPr>
          <w:rFonts w:ascii="Arial" w:cs="Arial" w:eastAsia="Arial" w:hAnsi="Arial"/>
          <w:sz w:val="17"/>
          <w:szCs w:val="17"/>
          <w:u w:val="single" w:color="auto"/>
          <w:color w:val="auto"/>
        </w:rPr>
        <w:t>Section 2.16(a)(iv)</w:t>
      </w:r>
      <w:r>
        <w:rPr>
          <w:rFonts w:ascii="Arial" w:cs="Arial" w:eastAsia="Arial" w:hAnsi="Arial"/>
          <w:sz w:val="17"/>
          <w:szCs w:val="17"/>
          <w:color w:val="auto"/>
        </w:rPr>
        <w:t xml:space="preserve"> and any Cash Collateral provided by the Defaulting Lender).</w:t>
      </w:r>
    </w:p>
    <w:p>
      <w:pPr>
        <w:spacing w:after="0" w:line="176" w:lineRule="exact"/>
        <w:rPr>
          <w:rFonts w:ascii="Arial" w:cs="Arial" w:eastAsia="Arial" w:hAnsi="Arial"/>
          <w:sz w:val="16"/>
          <w:szCs w:val="16"/>
          <w:color w:val="auto"/>
        </w:rPr>
      </w:pPr>
    </w:p>
    <w:p>
      <w:pPr>
        <w:ind w:right="100" w:firstLine="656"/>
        <w:spacing w:after="0" w:line="269" w:lineRule="auto"/>
        <w:tabs>
          <w:tab w:leader="none" w:pos="1038"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xml:space="preserve">. The Borrower, and to the extent provided by any Defaulting Lender, such Defaulting Lender, hereby grant to (and subject to the control of) the Administrative Agent, for the benefit of the Administrative Agent, the Letter of Credit Issuer and the Lenders, and agree to maintain, a first priority security interest in all such cash, deposit accounts and all balances therein as described in </w:t>
      </w:r>
      <w:r>
        <w:rPr>
          <w:rFonts w:ascii="Arial" w:cs="Arial" w:eastAsia="Arial" w:hAnsi="Arial"/>
          <w:sz w:val="17"/>
          <w:szCs w:val="17"/>
          <w:u w:val="single" w:color="auto"/>
          <w:color w:val="auto"/>
        </w:rPr>
        <w:t>Section 3.8(a)</w:t>
      </w:r>
      <w:r>
        <w:rPr>
          <w:rFonts w:ascii="Arial" w:cs="Arial" w:eastAsia="Arial" w:hAnsi="Arial"/>
          <w:sz w:val="17"/>
          <w:szCs w:val="17"/>
          <w:color w:val="auto"/>
        </w:rPr>
        <w:t xml:space="preserve">, and all other property so provided as collateral pursuant hereto, and in all proceeds of the foregoing, all as security for the obligations to which such Cash Collateral may be applied pursuant to </w:t>
      </w:r>
      <w:r>
        <w:rPr>
          <w:rFonts w:ascii="Arial" w:cs="Arial" w:eastAsia="Arial" w:hAnsi="Arial"/>
          <w:sz w:val="17"/>
          <w:szCs w:val="17"/>
          <w:u w:val="single" w:color="auto"/>
          <w:color w:val="auto"/>
        </w:rPr>
        <w:t>Section 3.8(c)</w:t>
      </w:r>
      <w:r>
        <w:rPr>
          <w:rFonts w:ascii="Arial" w:cs="Arial" w:eastAsia="Arial" w:hAnsi="Arial"/>
          <w:sz w:val="17"/>
          <w:szCs w:val="17"/>
          <w:color w:val="auto"/>
        </w:rPr>
        <w:t>. If at any time the Administrative Agent determines that Cash Collateral is subject to any right or claim of any Person other than the Administrative Agent or the Letter of Credit Issuer as herein provided, other than Permitted Liens, or that the total amount of such Cash Collateral is less than the Minimum Collateral Amount (including, without limitation, as a result of exchange rate fluctuations), the Borrower will, promptly upon written demand by the Administrative Agent, pay or provide to the Administrative Agent additional Cash Collateral in an amount sufficient to eliminate such deficiency. Cash Collateral shall be maintained in blocked, interest bearing deposit accounts with the Administrative Agent. The Borrower shall pay on demand therefor from time to time all customary account opening, activity and other administrative fees and charges in connection with the maintenance and disbursement of Cash Collateral.</w:t>
      </w:r>
    </w:p>
    <w:p>
      <w:pPr>
        <w:spacing w:after="0" w:line="182" w:lineRule="exact"/>
        <w:rPr>
          <w:rFonts w:ascii="Arial" w:cs="Arial" w:eastAsia="Arial" w:hAnsi="Arial"/>
          <w:sz w:val="17"/>
          <w:szCs w:val="17"/>
          <w:color w:val="auto"/>
        </w:rPr>
      </w:pPr>
    </w:p>
    <w:p>
      <w:pPr>
        <w:ind w:right="160" w:firstLine="656"/>
        <w:spacing w:after="0" w:line="302" w:lineRule="auto"/>
        <w:tabs>
          <w:tab w:leader="none" w:pos="1028"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Notwithstanding anything to the contrary contained in this Agreement, Cash Collateral provided under any of this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 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11.13</w:t>
      </w:r>
      <w:r>
        <w:rPr>
          <w:rFonts w:ascii="Arial" w:cs="Arial" w:eastAsia="Arial" w:hAnsi="Arial"/>
          <w:sz w:val="16"/>
          <w:szCs w:val="16"/>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54" w:lineRule="exact"/>
        <w:rPr>
          <w:rFonts w:ascii="Arial" w:cs="Arial" w:eastAsia="Arial" w:hAnsi="Arial"/>
          <w:sz w:val="16"/>
          <w:szCs w:val="16"/>
          <w:color w:val="auto"/>
        </w:rPr>
      </w:pPr>
    </w:p>
    <w:p>
      <w:pPr>
        <w:ind w:right="60" w:firstLine="656"/>
        <w:spacing w:after="0" w:line="302" w:lineRule="auto"/>
        <w:tabs>
          <w:tab w:leader="none" w:pos="103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6"/>
          <w:szCs w:val="16"/>
          <w:u w:val="single" w:color="auto"/>
          <w:color w:val="auto"/>
        </w:rPr>
        <w:t>Section 13.6(b)(ii)</w:t>
      </w:r>
      <w:r>
        <w:rPr>
          <w:rFonts w:ascii="Arial" w:cs="Arial" w:eastAsia="Arial" w:hAnsi="Arial"/>
          <w:sz w:val="16"/>
          <w:szCs w:val="16"/>
          <w:color w:val="auto"/>
        </w:rPr>
        <w:t>) or there is no longer existing an Event of Default) or (ii) the determination by the Administrative Agent and the Letter of Credit Issuer that there exists excess Cash Collateral.</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Applicability of ISP</w:t>
      </w:r>
      <w:r>
        <w:rPr>
          <w:rFonts w:ascii="Arial" w:cs="Arial" w:eastAsia="Arial" w:hAnsi="Arial"/>
          <w:sz w:val="17"/>
          <w:szCs w:val="17"/>
          <w:color w:val="auto"/>
        </w:rPr>
        <w:t>. Unless otherwise expressly agreed by the Letter of Credit Issuer and the applicable Borrower when a Letter of Credit is issued (including any such agreement applicable to an Existing Letter of Credit), the rules of the ISP shall apply to each standby Letter of Credit. Notwithstanding the foregoing, the Letter of Credit Issuer shall not be responsible to the Borrower for, and the Letter of Credit Issuer’s rights and remedies against the Borrower shall not be impaired by, any action or inaction of the Letter of Credit Issuer required or permitted under any law, order, or practice that is required or permitted to be applied to any Letter of Credit or this Agreement, including the applicable law or any order of a jurisdiction where the Letter of Credit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-93-</w:t>
      </w:r>
    </w:p>
    <w:p>
      <w:pPr>
        <w:sectPr>
          <w:pgSz w:w="11900" w:h="16838" w:orient="portrait"/>
          <w:cols w:equalWidth="0" w:num="1">
            <w:col w:w="11420"/>
          </w:cols>
          <w:pgMar w:left="240" w:top="814" w:right="239" w:bottom="1440" w:gutter="0" w:footer="0" w:header="0"/>
        </w:sectPr>
      </w:pPr>
    </w:p>
    <w:bookmarkStart w:id="173" w:name="page174"/>
    <w:bookmarkEnd w:id="173"/>
    <w:p>
      <w:pPr>
        <w:ind w:firstLine="648"/>
        <w:spacing w:after="0" w:line="277"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 and any grant of security interest in any Issuer Documents shall be void.</w:t>
      </w:r>
    </w:p>
    <w:p>
      <w:pPr>
        <w:spacing w:after="0" w:line="17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Letters of Credit Issued for Restricted Subsidiaries</w:t>
      </w:r>
      <w:r>
        <w:rPr>
          <w:rFonts w:ascii="Arial" w:cs="Arial" w:eastAsia="Arial" w:hAnsi="Arial"/>
          <w:sz w:val="18"/>
          <w:szCs w:val="18"/>
          <w:color w:val="auto"/>
        </w:rPr>
        <w:t>. Notwithstanding that a Letter of Credit issued or outstanding hereunder is in support of any obligations of, or is for the account of, Holdings or a Restricted Subsidiary, the Borrower shall be obligated to reimburse the Letter of Credit Issuer hereunder for any and all drawings under such Letter of Credit. The Borrower hereby acknowledges that the issuance of Letters of Credit for the account of Holdings or any other Restricted Subsidiaries inures to the benefit of the Borrower and that the Borrower’s business derives substantial benefits from the businesses of Holdings and the other Restricted Subsidiaries.</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Provisions Related to Extended Revolving Credit Commitments</w:t>
      </w:r>
      <w:r>
        <w:rPr>
          <w:rFonts w:ascii="Arial" w:cs="Arial" w:eastAsia="Arial" w:hAnsi="Arial"/>
          <w:sz w:val="17"/>
          <w:szCs w:val="17"/>
          <w:color w:val="auto"/>
        </w:rPr>
        <w:t xml:space="preserve">. If the Letter of Credit Expiration Date in respect of any tranche of Revolving Credit Commitments occurs prior to the expiry date of any Letter of Credit, then (i) if consented to by the Letter of Credit Issuer which issued such Letter of Credit, if one or more other tranches of Revolving Credit Commitments in respect of which the Letter of Credit Expiration Date shall not have so occurred are then in effect, such Letters of Credit for which consent has been obtained shall automatically be deemed to have been issued (including for purposes of the obligations of the Revolving Credit Lenders to purchase participations therein and to make Revolving Credit Loans and payments in respect thereof pursuant to </w:t>
      </w:r>
      <w:r>
        <w:rPr>
          <w:rFonts w:ascii="Arial" w:cs="Arial" w:eastAsia="Arial" w:hAnsi="Arial"/>
          <w:sz w:val="17"/>
          <w:szCs w:val="17"/>
          <w:u w:val="single" w:color="auto"/>
          <w:color w:val="auto"/>
        </w:rPr>
        <w:t>Sections 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3.4</w:t>
      </w:r>
      <w:r>
        <w:rPr>
          <w:rFonts w:ascii="Arial" w:cs="Arial" w:eastAsia="Arial" w:hAnsi="Arial"/>
          <w:sz w:val="17"/>
          <w:szCs w:val="17"/>
          <w:color w:val="auto"/>
        </w:rPr>
        <w:t xml:space="preserve">) under (and ratably participated in by Lenders pursuant to) the Revolving Credit Commitments in respect of such non-terminating tranches up to an aggregate amount not to exceed the aggregate amount of the unutilized Revolving Credit Commitments thereunder at such time (it being understood that no partial face amount of any Letter of Credit may be so reallocated) and (ii) to the extent not reallocated pursuant to immediately preceding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the Borrower shall Cash Collateralize any such Letter of Credit in accordance with </w:t>
      </w:r>
      <w:r>
        <w:rPr>
          <w:rFonts w:ascii="Arial" w:cs="Arial" w:eastAsia="Arial" w:hAnsi="Arial"/>
          <w:sz w:val="17"/>
          <w:szCs w:val="17"/>
          <w:u w:val="single" w:color="auto"/>
          <w:color w:val="auto"/>
        </w:rPr>
        <w:t>Section 3.8</w:t>
      </w:r>
      <w:r>
        <w:rPr>
          <w:rFonts w:ascii="Arial" w:cs="Arial" w:eastAsia="Arial" w:hAnsi="Arial"/>
          <w:sz w:val="17"/>
          <w:szCs w:val="17"/>
          <w:color w:val="auto"/>
        </w:rPr>
        <w:t>. Upon the maturity date of any tranche of Revolving Credit Commitments, the sublimit for Letters of Credit may be reduced as agreed between the Letter of Credit Issuer and the Borrower, without the consent of any other Person.</w:t>
      </w:r>
    </w:p>
    <w:p>
      <w:pPr>
        <w:spacing w:after="0" w:line="210"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4"/>
          <w:szCs w:val="14"/>
          <w:color w:val="auto"/>
        </w:rPr>
        <w:t>Fees</w:t>
      </w:r>
    </w:p>
    <w:p>
      <w:pPr>
        <w:spacing w:after="0" w:line="239"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25" w:lineRule="exact"/>
        <w:rPr>
          <w:sz w:val="20"/>
          <w:szCs w:val="20"/>
          <w:color w:val="auto"/>
        </w:rPr>
      </w:pPr>
    </w:p>
    <w:p>
      <w:pPr>
        <w:ind w:right="40" w:firstLine="656"/>
        <w:spacing w:after="0" w:line="273" w:lineRule="auto"/>
        <w:tabs>
          <w:tab w:leader="none" w:pos="102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Without duplication, the Borrower agrees to pay to the Administrative Agent in Dollars, for the account of each Revolving Credit Lender (in each case pro rata according to the respective Revolving Credit Commitments of all such Lenders), a commitment fee (the “</w:t>
      </w:r>
      <w:r>
        <w:rPr>
          <w:rFonts w:ascii="Arial" w:cs="Arial" w:eastAsia="Arial" w:hAnsi="Arial"/>
          <w:sz w:val="17"/>
          <w:szCs w:val="17"/>
          <w:b w:val="1"/>
          <w:bCs w:val="1"/>
          <w:color w:val="auto"/>
        </w:rPr>
        <w:t>Commitment Fee</w:t>
      </w:r>
      <w:r>
        <w:rPr>
          <w:rFonts w:ascii="Arial" w:cs="Arial" w:eastAsia="Arial" w:hAnsi="Arial"/>
          <w:sz w:val="17"/>
          <w:szCs w:val="17"/>
          <w:color w:val="auto"/>
        </w:rPr>
        <w:t xml:space="preserve">”) for each day from the Restatement Effective Date to the Revolving Credit Termination Date. Each Commitment Fee shall be payable (x) quarterly in arrears on the last Business Day of March, June, September and December and (y) on the Revolving Credit Termination Date (for the period ended on such date for which no payment has been received pursuant to </w:t>
      </w:r>
      <w:r>
        <w:rPr>
          <w:rFonts w:ascii="Arial" w:cs="Arial" w:eastAsia="Arial" w:hAnsi="Arial"/>
          <w:sz w:val="17"/>
          <w:szCs w:val="17"/>
          <w:u w:val="single" w:color="auto"/>
          <w:color w:val="auto"/>
        </w:rPr>
        <w:t>clause (x)</w:t>
      </w:r>
      <w:r>
        <w:rPr>
          <w:rFonts w:ascii="Arial" w:cs="Arial" w:eastAsia="Arial" w:hAnsi="Arial"/>
          <w:sz w:val="17"/>
          <w:szCs w:val="17"/>
          <w:color w:val="auto"/>
        </w:rPr>
        <w:t xml:space="preserve"> above), and shall be computed for each day during such period at a rate per annum equal to the Commitment Fee Rate in effect on such day on the Available Commitment in effect on such day.</w:t>
      </w:r>
    </w:p>
    <w:p>
      <w:pPr>
        <w:spacing w:after="0" w:line="178" w:lineRule="exact"/>
        <w:rPr>
          <w:rFonts w:ascii="Arial" w:cs="Arial" w:eastAsia="Arial" w:hAnsi="Arial"/>
          <w:sz w:val="17"/>
          <w:szCs w:val="17"/>
          <w:color w:val="auto"/>
        </w:rPr>
      </w:pPr>
    </w:p>
    <w:p>
      <w:pPr>
        <w:ind w:right="80" w:firstLine="656"/>
        <w:spacing w:after="0" w:line="293" w:lineRule="auto"/>
        <w:tabs>
          <w:tab w:leader="none" w:pos="103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Without duplication, the Borrower agrees to pay to the Administrative Agent in Dollars for the account of the Revolving Credit Lenders pro rata on the basis of their respective Letter of Credit Exposure, a fee in respect of each Letter of Credit issued on the Borrower’s or any of the other Restricted Subsidiaries’ behalf (the “</w:t>
      </w:r>
      <w:r>
        <w:rPr>
          <w:rFonts w:ascii="Arial" w:cs="Arial" w:eastAsia="Arial" w:hAnsi="Arial"/>
          <w:sz w:val="16"/>
          <w:szCs w:val="16"/>
          <w:b w:val="1"/>
          <w:bCs w:val="1"/>
          <w:color w:val="auto"/>
        </w:rPr>
        <w:t>Letter of Credit Fee</w:t>
      </w:r>
      <w:r>
        <w:rPr>
          <w:rFonts w:ascii="Arial" w:cs="Arial" w:eastAsia="Arial" w:hAnsi="Arial"/>
          <w:sz w:val="16"/>
          <w:szCs w:val="16"/>
          <w:color w:val="auto"/>
        </w:rPr>
        <w:t>”), for the period from the date of issuance of such Letter of Credit to the termination date of such Letter of Credit computed at the per annum rate for each day equal to the Applicable Margin for Commitment Fee Rate. Except as provided below, such Letter of Credit Fees shall be due and payable (x) quarterly in arrears on the last Business Day of March, June, September and December and (y) on the date upon which the Total Revolving Credit Commitment terminates and the Letters of Credit Outstanding shall have been reduced to zero.</w:t>
      </w:r>
    </w:p>
    <w:p>
      <w:pPr>
        <w:spacing w:after="0" w:line="164" w:lineRule="exact"/>
        <w:rPr>
          <w:rFonts w:ascii="Arial" w:cs="Arial" w:eastAsia="Arial" w:hAnsi="Arial"/>
          <w:sz w:val="16"/>
          <w:szCs w:val="16"/>
          <w:color w:val="auto"/>
        </w:rPr>
      </w:pPr>
    </w:p>
    <w:p>
      <w:pPr>
        <w:ind w:right="120" w:firstLine="656"/>
        <w:spacing w:after="0" w:line="277" w:lineRule="auto"/>
        <w:tabs>
          <w:tab w:leader="none" w:pos="102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Without duplication, the Borrower agrees to pay to the Administrative Agent in Dollars, for its own account, administrative agent fees as have been previously agreed in writing or as may be agreed in writing from time to time.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-94-</w:t>
      </w:r>
    </w:p>
    <w:p>
      <w:pPr>
        <w:sectPr>
          <w:pgSz w:w="11900" w:h="16838" w:orient="portrait"/>
          <w:cols w:equalWidth="0" w:num="1">
            <w:col w:w="11400"/>
          </w:cols>
          <w:pgMar w:left="240" w:top="814" w:right="259" w:bottom="1440" w:gutter="0" w:footer="0" w:header="0"/>
        </w:sectPr>
      </w:pPr>
    </w:p>
    <w:bookmarkStart w:id="174" w:name="page175"/>
    <w:bookmarkEnd w:id="174"/>
    <w:p>
      <w:pPr>
        <w:ind w:firstLine="656"/>
        <w:spacing w:after="0" w:line="255" w:lineRule="auto"/>
        <w:tabs>
          <w:tab w:leader="none" w:pos="10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Without duplication, the Borrower agrees to pay to the Letter of Credit Issuer a fee in Dollars in respect of each Letter of Credit issued by it to the Borrower (the “</w:t>
      </w:r>
      <w:r>
        <w:rPr>
          <w:rFonts w:ascii="Arial" w:cs="Arial" w:eastAsia="Arial" w:hAnsi="Arial"/>
          <w:sz w:val="18"/>
          <w:szCs w:val="18"/>
          <w:b w:val="1"/>
          <w:bCs w:val="1"/>
          <w:color w:val="auto"/>
        </w:rPr>
        <w:t>Fronting Fee</w:t>
      </w:r>
      <w:r>
        <w:rPr>
          <w:rFonts w:ascii="Arial" w:cs="Arial" w:eastAsia="Arial" w:hAnsi="Arial"/>
          <w:sz w:val="18"/>
          <w:szCs w:val="18"/>
          <w:color w:val="auto"/>
        </w:rPr>
        <w:t>”), for the period from the date of issuance of such Letter of Credit to the termination date of such Letter of Credit, computed at the rate for each day equal to 0.125% per annum on the actual daily Stated Amount of such Letter of Credit (or at such other rate per annum as agreed in writing between the Borrower and the Letter of Credit Issuer). Such Fronting Fees shall be due and payable (x) quarterly in arrears on the last Business Day of March, June, September and December and (y) on the date upon which the Total Revolving Credit Commitment terminates and the Letters of Credit Outstanding shall have been reduced to zero.</w:t>
      </w:r>
    </w:p>
    <w:p>
      <w:pPr>
        <w:spacing w:after="0" w:line="193" w:lineRule="exact"/>
        <w:rPr>
          <w:rFonts w:ascii="Arial" w:cs="Arial" w:eastAsia="Arial" w:hAnsi="Arial"/>
          <w:sz w:val="18"/>
          <w:szCs w:val="18"/>
          <w:color w:val="auto"/>
        </w:rPr>
      </w:pPr>
    </w:p>
    <w:p>
      <w:pPr>
        <w:ind w:right="20" w:firstLine="656"/>
        <w:spacing w:after="0" w:line="259" w:lineRule="auto"/>
        <w:tabs>
          <w:tab w:leader="none" w:pos="102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Without duplication, the Borrower agrees to pay directly to the Letter of Credit Issuer in Dollars upon each issuance or renewal of, drawing under, and/or amendment of, a Letter of Credit issued by it such amount as shall at the time of such issuance or renewal of, drawing under, and/or amendment be the processing charge that the Letter of Credit Issuer is customarily charging for issuances or renewals of, drawings under or amendments of, letters of credit issued by it.</w:t>
      </w:r>
    </w:p>
    <w:p>
      <w:pPr>
        <w:spacing w:after="0" w:line="186" w:lineRule="exact"/>
        <w:rPr>
          <w:rFonts w:ascii="Arial" w:cs="Arial" w:eastAsia="Arial" w:hAnsi="Arial"/>
          <w:sz w:val="18"/>
          <w:szCs w:val="18"/>
          <w:color w:val="auto"/>
        </w:rPr>
      </w:pPr>
    </w:p>
    <w:p>
      <w:pPr>
        <w:ind w:left="1020" w:hanging="364"/>
        <w:spacing w:after="0"/>
        <w:tabs>
          <w:tab w:leader="none" w:pos="10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Notwithstanding the foregoing, the Borrower shall not be obligated to pay any amounts to any Defaulting Lender pursuant to this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right="180" w:firstLine="656"/>
        <w:spacing w:after="0" w:line="277" w:lineRule="auto"/>
        <w:tabs>
          <w:tab w:leader="none" w:pos="103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such fees as stipulated in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be fully earned when paid and shall not be refundable for any reason whatsoever.</w:t>
      </w:r>
    </w:p>
    <w:p>
      <w:pPr>
        <w:spacing w:after="0" w:line="170" w:lineRule="exact"/>
        <w:rPr>
          <w:sz w:val="20"/>
          <w:szCs w:val="20"/>
          <w:color w:val="auto"/>
        </w:rPr>
      </w:pPr>
    </w:p>
    <w:p>
      <w:pPr>
        <w:ind w:right="60" w:firstLine="648"/>
        <w:spacing w:after="0" w:line="267"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Voluntary Reduction of Revolving Credit Commitments</w:t>
      </w:r>
      <w:r>
        <w:rPr>
          <w:rFonts w:ascii="Arial" w:cs="Arial" w:eastAsia="Arial" w:hAnsi="Arial"/>
          <w:sz w:val="17"/>
          <w:szCs w:val="17"/>
          <w:color w:val="auto"/>
        </w:rPr>
        <w:t xml:space="preserve">. Upon at least two Business Days’ prior written notice to the Administrative Agent at the Administrative Agent’s Office (which notice the Administrative Agent shall promptly transmit to each of the Lenders), the Borrower shall have the right, without premium or penalty, on any day, permanently to terminate or reduce the Revolving Credit Commitments in whole or in part;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any such reduction shall apply proportionately and permanently to reduce the Revolving Credit Commitment of each of the Lenders of any applicable Class, except that (i) notwithstanding the foregoing, in connection with the establishment on any date of any Extended Revolving Credit Commitments pursuant to </w:t>
      </w:r>
      <w:r>
        <w:rPr>
          <w:rFonts w:ascii="Arial" w:cs="Arial" w:eastAsia="Arial" w:hAnsi="Arial"/>
          <w:sz w:val="17"/>
          <w:szCs w:val="17"/>
          <w:u w:val="single" w:color="auto"/>
          <w:color w:val="auto"/>
        </w:rPr>
        <w:t>Section 2.14(g)</w:t>
      </w:r>
      <w:r>
        <w:rPr>
          <w:rFonts w:ascii="Arial" w:cs="Arial" w:eastAsia="Arial" w:hAnsi="Arial"/>
          <w:sz w:val="17"/>
          <w:szCs w:val="17"/>
          <w:color w:val="auto"/>
        </w:rPr>
        <w:t>, the Revolving Credit Commitments of any one or more Lenders providing any such Extended Revolving Credit Commitments on such date shall be reduced in an amount equal to the amount of Revolving Credit Commitments so extended on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after giving effect to any such reduction and to the repayment of any Revolving Credit Loans made on such date, the Revolving Credit Exposure of any such Lender does not exceed the Revolving Credit Commitment thereof and (y) for the avoidance of doubt, any such repayment of Revolving Credit Loans contemplated by the preceding clause shall be made in compliance with the requirements of </w:t>
      </w:r>
      <w:r>
        <w:rPr>
          <w:rFonts w:ascii="Arial" w:cs="Arial" w:eastAsia="Arial" w:hAnsi="Arial"/>
          <w:sz w:val="17"/>
          <w:szCs w:val="17"/>
          <w:u w:val="single" w:color="auto"/>
          <w:color w:val="auto"/>
        </w:rPr>
        <w:t>Section 5.3(a)</w:t>
      </w:r>
      <w:r>
        <w:rPr>
          <w:rFonts w:ascii="Arial" w:cs="Arial" w:eastAsia="Arial" w:hAnsi="Arial"/>
          <w:sz w:val="17"/>
          <w:szCs w:val="17"/>
          <w:color w:val="auto"/>
        </w:rPr>
        <w:t xml:space="preserve"> with respect to the ratable allocation of payments hereunder, with such allocation being determined after giving effect to any conversion pursuant to </w:t>
      </w:r>
      <w:r>
        <w:rPr>
          <w:rFonts w:ascii="Arial" w:cs="Arial" w:eastAsia="Arial" w:hAnsi="Arial"/>
          <w:sz w:val="17"/>
          <w:szCs w:val="17"/>
          <w:u w:val="single" w:color="auto"/>
          <w:color w:val="auto"/>
        </w:rPr>
        <w:t>Section 2.14(g)</w:t>
      </w:r>
      <w:r>
        <w:rPr>
          <w:rFonts w:ascii="Arial" w:cs="Arial" w:eastAsia="Arial" w:hAnsi="Arial"/>
          <w:sz w:val="17"/>
          <w:szCs w:val="17"/>
          <w:color w:val="auto"/>
        </w:rPr>
        <w:t xml:space="preserve"> of Revolving Credit Commitments and Revolving Credit Loans into Extended Revolving Credit Commitments and Extended Revolving Credit Loans pursuant to </w:t>
      </w:r>
      <w:r>
        <w:rPr>
          <w:rFonts w:ascii="Arial" w:cs="Arial" w:eastAsia="Arial" w:hAnsi="Arial"/>
          <w:sz w:val="17"/>
          <w:szCs w:val="17"/>
          <w:u w:val="single" w:color="auto"/>
          <w:color w:val="auto"/>
        </w:rPr>
        <w:t>Section 2.14(g)</w:t>
      </w:r>
      <w:r>
        <w:rPr>
          <w:rFonts w:ascii="Arial" w:cs="Arial" w:eastAsia="Arial" w:hAnsi="Arial"/>
          <w:sz w:val="17"/>
          <w:szCs w:val="17"/>
          <w:color w:val="auto"/>
        </w:rPr>
        <w:t xml:space="preserve"> prior to any reduction being made to the Revolving Credit Commitment of any other Lender) and (ii) the Borrower may at its election permanently reduce the Revolving Credit Commitment of a Defaulting Lender to $0 without affecting the Revolving Credit Commitments of any other Lender, (b) any partial reduction pursuant to this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shall be in the amount of at least $5,000,000, and (c) after giving effect to such termination or reduction and to any prepayments of the Loans made on the date thereof in accordance with this Agreement, the aggregate amount of the Lenders’ Revolving Credit Exposures shall not exceed the Total Revolving Credit Commitment and the aggregate amount of the Lenders’ Revolving Credit Exposures in respect of any Class shall not exceed the aggregate Revolving Credit Commitment of such Class.</w:t>
      </w:r>
    </w:p>
    <w:p>
      <w:pPr>
        <w:spacing w:after="0" w:line="19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Mandatory Termination of Commitments</w:t>
      </w:r>
      <w:r>
        <w:rPr>
          <w:rFonts w:ascii="Arial" w:cs="Arial" w:eastAsia="Arial" w:hAnsi="Arial"/>
          <w:sz w:val="16"/>
          <w:szCs w:val="16"/>
          <w:color w:val="auto"/>
        </w:rPr>
        <w:t>.</w:t>
      </w:r>
    </w:p>
    <w:p>
      <w:pPr>
        <w:spacing w:after="0" w:line="225" w:lineRule="exact"/>
        <w:rPr>
          <w:sz w:val="20"/>
          <w:szCs w:val="20"/>
          <w:color w:val="auto"/>
        </w:rPr>
      </w:pPr>
    </w:p>
    <w:p>
      <w:pPr>
        <w:ind w:right="360" w:firstLine="656"/>
        <w:spacing w:after="0" w:line="277" w:lineRule="auto"/>
        <w:tabs>
          <w:tab w:leader="none" w:pos="102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Term A Loan Commitment shall terminate in full on the Restatement Effective Date immediately following the funding of the Term A Loan thereunder.</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Revolving Credit Commitment shall terminate at 5:00 p.m. (New York City time) on the Revolving Credit Maturity Date.</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-95-</w:t>
      </w:r>
    </w:p>
    <w:p>
      <w:pPr>
        <w:sectPr>
          <w:pgSz w:w="11900" w:h="16838" w:orient="portrait"/>
          <w:cols w:equalWidth="0" w:num="1">
            <w:col w:w="11400"/>
          </w:cols>
          <w:pgMar w:left="240" w:top="814" w:right="259" w:bottom="1440" w:gutter="0" w:footer="0" w:header="0"/>
        </w:sectPr>
      </w:pPr>
    </w:p>
    <w:bookmarkStart w:id="175" w:name="page176"/>
    <w:bookmarkEnd w:id="175"/>
    <w:p>
      <w:pPr>
        <w:ind w:left="1040" w:hanging="384"/>
        <w:spacing w:after="0"/>
        <w:tabs>
          <w:tab w:leader="none" w:pos="10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Swingline Commitment shall terminate at 5:00 p.m. (New York City time) on the Swingline Maturity Date.</w:t>
      </w:r>
    </w:p>
    <w:p>
      <w:pPr>
        <w:spacing w:after="0" w:line="225" w:lineRule="exact"/>
        <w:rPr>
          <w:rFonts w:ascii="Arial" w:cs="Arial" w:eastAsia="Arial" w:hAnsi="Arial"/>
          <w:sz w:val="18"/>
          <w:szCs w:val="18"/>
          <w:color w:val="auto"/>
        </w:rPr>
      </w:pPr>
    </w:p>
    <w:p>
      <w:pPr>
        <w:ind w:right="140" w:firstLine="656"/>
        <w:spacing w:after="0" w:line="277" w:lineRule="auto"/>
        <w:tabs>
          <w:tab w:leader="none" w:pos="103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New Term Loan Commitment for any Series shall, unless otherwise provided in the applicable Joinder Agreement, terminate at 5:00 p.m. (New York City time) on the Increased Amount Date for such Series.</w:t>
      </w:r>
    </w:p>
    <w:p>
      <w:pPr>
        <w:spacing w:after="0" w:line="19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5"/>
          <w:szCs w:val="15"/>
          <w:color w:val="auto"/>
        </w:rPr>
        <w:t>Payments</w:t>
      </w:r>
    </w:p>
    <w:p>
      <w:pPr>
        <w:spacing w:after="0" w:line="239"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Voluntary Prepayments</w:t>
      </w:r>
      <w:r>
        <w:rPr>
          <w:rFonts w:ascii="Arial" w:cs="Arial" w:eastAsia="Arial" w:hAnsi="Arial"/>
          <w:sz w:val="16"/>
          <w:szCs w:val="16"/>
          <w:color w:val="auto"/>
        </w:rPr>
        <w:t xml:space="preserve">. The Borrower shall have the right to prepay Loans, including Term Loans, Revolving Credit Loans, and Swingline Loans, as applicable, in each case, other than as set forth in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without premium or penalty, in whole or in part from time to time on the following terms and conditions: (1) the Borrower shall give the Administrative Agent at the Administrative Agent’s Office notice of its intent to make such prepayment, the amount of such prepayment and (in the case of LIBOR Loans) the specific Borrowing(s) pursuant to which made, which notice shall be given by the Borrower no later than 12:00 Noon (New York City time) (i) in the case of LIBOR Loans, three Business Days prior to, (ii) in the case of ABR Loans (other than Swingline Loans), one Business Day prior to or (ii) in the case of Swingline Loans, on, the date of such prepayment and shall promptly be transmitted by the Administrative Agent to each of the Lenders or the Swingline Lender, as the case may be; (2) each partial prepayment of (i) any Borrowing of LIBOR Loans shall be in a minimum amount of $5,000,000 and in multiples of $1,000,000 in excess thereof, (ii) any ABR Loans (other than Swingline Loans) shall be in a minimum amount of $1,000,000 and in multiples of $100,000 in excess thereof, and (iii) Swingline Loans shall be in a minimum amount of $500,000 and in multiples of $100,000 in excess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partial prepayment of LIBOR Loans made pursuant to a single Borrowing shall reduce the outstanding LIBOR Loans made pursuant to such Borrowing to an amount less than the applicable Minimum Borrowing Amount for such LIBOR Loans, and</w:t>
      </w:r>
    </w:p>
    <w:p>
      <w:pPr>
        <w:spacing w:after="0" w:line="5" w:lineRule="exact"/>
        <w:rPr>
          <w:sz w:val="20"/>
          <w:szCs w:val="20"/>
          <w:color w:val="auto"/>
        </w:rPr>
      </w:pPr>
    </w:p>
    <w:p>
      <w:pPr>
        <w:ind w:firstLine="8"/>
        <w:spacing w:after="0" w:line="287" w:lineRule="auto"/>
        <w:tabs>
          <w:tab w:leader="none" w:pos="25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in the case of any prepayment of LIBOR Loans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on any day other than the last day of an Interest Period applicable thereto, the Borrower shall, promptly after receipt of a written request by any applicable Lender (which request shall set forth in reasonable detail the basis for requesting such amount), pay to the Administrative Agent for the account of such Lender any amounts required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Each prepayment in respect of any Term Loans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shall be applied to the Class or Classes of Term Loans as the Borrower may specify. Such notice may be given by telephone;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telephonic notice must be confirmed promptly by delivery to the Administrative Agent of a written notice of prepayment. Each prepayment in respect of any Term Loans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shall be (a) applied to the Class or Classes of Term Loans as the Borrower may specify and (b) applied to reduce any Term A Loan Repayment Amounts, New Term Loan Repayment Amounts, and, subject to </w:t>
      </w:r>
      <w:r>
        <w:rPr>
          <w:rFonts w:ascii="Arial" w:cs="Arial" w:eastAsia="Arial" w:hAnsi="Arial"/>
          <w:sz w:val="16"/>
          <w:szCs w:val="16"/>
          <w:u w:val="single" w:color="auto"/>
          <w:color w:val="auto"/>
        </w:rPr>
        <w:t>Section 2.14(g)</w:t>
      </w:r>
      <w:r>
        <w:rPr>
          <w:rFonts w:ascii="Arial" w:cs="Arial" w:eastAsia="Arial" w:hAnsi="Arial"/>
          <w:sz w:val="16"/>
          <w:szCs w:val="16"/>
          <w:color w:val="auto"/>
        </w:rPr>
        <w:t xml:space="preserve">, Extended Term Loan Repayment Amounts, as the case may be, in each case, in such order as the Borrower may specify. At the Borrower’s election in connection with any prepayment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such prepayment shall not be applied to any Term Loan or Revolving Credit Loan of a Defaulting Lender.</w:t>
      </w:r>
    </w:p>
    <w:p>
      <w:pPr>
        <w:spacing w:after="0" w:line="16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Mandatory Prepayments</w:t>
      </w:r>
      <w:r>
        <w:rPr>
          <w:rFonts w:ascii="Arial" w:cs="Arial" w:eastAsia="Arial" w:hAnsi="Arial"/>
          <w:sz w:val="16"/>
          <w:szCs w:val="16"/>
          <w:color w:val="auto"/>
        </w:rPr>
        <w:t>.</w:t>
      </w:r>
    </w:p>
    <w:p>
      <w:pPr>
        <w:spacing w:after="0" w:line="225" w:lineRule="exact"/>
        <w:rPr>
          <w:sz w:val="20"/>
          <w:szCs w:val="20"/>
          <w:color w:val="auto"/>
        </w:rPr>
      </w:pPr>
    </w:p>
    <w:p>
      <w:pPr>
        <w:ind w:left="1040" w:hanging="384"/>
        <w:spacing w:after="0"/>
        <w:tabs>
          <w:tab w:leader="none" w:pos="104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Term Loan Prepayments</w:t>
      </w:r>
      <w:r>
        <w:rPr>
          <w:rFonts w:ascii="Arial" w:cs="Arial" w:eastAsia="Arial" w:hAnsi="Arial"/>
          <w:sz w:val="18"/>
          <w:szCs w:val="18"/>
          <w:color w:val="auto"/>
        </w:rPr>
        <w:t>.</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-96-</w:t>
      </w:r>
    </w:p>
    <w:p>
      <w:pPr>
        <w:sectPr>
          <w:pgSz w:w="11900" w:h="16838" w:orient="portrait"/>
          <w:cols w:equalWidth="0" w:num="1">
            <w:col w:w="11400"/>
          </w:cols>
          <w:pgMar w:left="240" w:top="814" w:right="259" w:bottom="1440" w:gutter="0" w:footer="0" w:header="0"/>
        </w:sectPr>
      </w:pPr>
    </w:p>
    <w:bookmarkStart w:id="176" w:name="page177"/>
    <w:bookmarkEnd w:id="176"/>
    <w:p>
      <w:pPr>
        <w:ind w:left="-20" w:right="100" w:firstLine="899"/>
        <w:spacing w:after="0" w:line="286" w:lineRule="auto"/>
        <w:tabs>
          <w:tab w:leader="none" w:pos="122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On each occasion that a Prepayment Event occurs, the Borrower shall, within three Business Days after receipt of the Net Cash Proceeds of a Debt Incurrence Prepayment Event (other than one covered by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below) and within ten Business Days after the occurrence of any other Prepayment Event (or, in the case of Deferred Net Cash Proceeds, within ten Business Days after the Deferred Net Cash Proceeds Payment Date), prepay, in accordance with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 Term Loans with an equivalent principal amount equal to 100% of the Net Cash Proceeds from such Prepayment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the Net Cash Proceeds of an Asset Sale Prepayment Event, Casualty Event or Permitted Sale Leaseback, in each case solely to the extent with respect to any Collateral, the Borrower may use a portion of such Net Cash Proceeds to prepay or repurchase Permitted Other Indebtedness (and with such prepaid or repurchased Permitted Other Indebtedness permanently extinguished) with a Lien on the Collateral ranking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Liens securing the Obligations to the extent any applicable Permitted Other Indebtedness Document requires the issuer of such Permitted Other Indebtedness to prepay or make an offer to purchase such Permitted Other Indebtedness with the proceeds of such Prepayment Event, in each case in an amount not to exceed the product of (x) the amount of such Net Cash Proceeds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by (y) a fraction, the numerator of which is the outstanding principal amount of the Permitted Other Indebtedness with a Lien on the Collateral ranking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Liens securing the Obligations and with respect to which such a requirement to prepay or make an offer to purchase exists and the denominator of which is the sum of the outstanding principal amount of such Permitted Other Indebtedness and the outstanding principal amount of Term Loans.</w:t>
      </w:r>
    </w:p>
    <w:p>
      <w:pPr>
        <w:spacing w:after="0" w:line="174" w:lineRule="exact"/>
        <w:rPr>
          <w:rFonts w:ascii="Arial" w:cs="Arial" w:eastAsia="Arial" w:hAnsi="Arial"/>
          <w:sz w:val="16"/>
          <w:szCs w:val="16"/>
          <w:color w:val="auto"/>
        </w:rPr>
      </w:pPr>
    </w:p>
    <w:p>
      <w:pPr>
        <w:ind w:left="1280" w:hanging="401"/>
        <w:spacing w:after="0"/>
        <w:tabs>
          <w:tab w:leader="none" w:pos="12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20" w:right="380" w:firstLine="899"/>
        <w:spacing w:after="0" w:line="286" w:lineRule="auto"/>
        <w:tabs>
          <w:tab w:leader="none" w:pos="132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On each occasion that Permitted Other Indebtedness is issued or incurred pursuant to </w:t>
      </w:r>
      <w:r>
        <w:rPr>
          <w:rFonts w:ascii="Arial" w:cs="Arial" w:eastAsia="Arial" w:hAnsi="Arial"/>
          <w:sz w:val="17"/>
          <w:szCs w:val="17"/>
          <w:u w:val="single" w:color="auto"/>
          <w:color w:val="auto"/>
        </w:rPr>
        <w:t>Section 10.1(w)</w:t>
      </w:r>
      <w:r>
        <w:rPr>
          <w:rFonts w:ascii="Arial" w:cs="Arial" w:eastAsia="Arial" w:hAnsi="Arial"/>
          <w:sz w:val="17"/>
          <w:szCs w:val="17"/>
          <w:color w:val="auto"/>
        </w:rPr>
        <w:t xml:space="preserve">, the Borrower shall within three Business Days of receipt of the Net Cash Proceeds of such Permitted Other Indebtedness prepay, in accordance with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below, Term Loans with a principal amount equal to 100% of the Net Cash Proceeds from such issuance or incurrence of Permitted Other Indebtedness.</w:t>
      </w:r>
    </w:p>
    <w:p>
      <w:pPr>
        <w:spacing w:after="0" w:line="165" w:lineRule="exact"/>
        <w:rPr>
          <w:rFonts w:ascii="Arial" w:cs="Arial" w:eastAsia="Arial" w:hAnsi="Arial"/>
          <w:sz w:val="17"/>
          <w:szCs w:val="17"/>
          <w:color w:val="auto"/>
        </w:rPr>
      </w:pPr>
    </w:p>
    <w:p>
      <w:pPr>
        <w:ind w:left="-20" w:firstLine="899"/>
        <w:spacing w:after="0" w:line="285" w:lineRule="auto"/>
        <w:tabs>
          <w:tab w:leader="none" w:pos="131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provisions of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 to the extent that any or all of the Net Cash Proceeds of any Prepayment Event by a Foreign Subsidiary giving rise to a prepayment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(a “</w:t>
      </w:r>
      <w:r>
        <w:rPr>
          <w:rFonts w:ascii="Arial" w:cs="Arial" w:eastAsia="Arial" w:hAnsi="Arial"/>
          <w:sz w:val="16"/>
          <w:szCs w:val="16"/>
          <w:b w:val="1"/>
          <w:bCs w:val="1"/>
          <w:color w:val="auto"/>
        </w:rPr>
        <w:t>Foreign Prepayment Event</w:t>
      </w:r>
      <w:r>
        <w:rPr>
          <w:rFonts w:ascii="Arial" w:cs="Arial" w:eastAsia="Arial" w:hAnsi="Arial"/>
          <w:sz w:val="16"/>
          <w:szCs w:val="16"/>
          <w:color w:val="auto"/>
        </w:rPr>
        <w:t xml:space="preserve">”) are prohibited or delayed by any Requirement of Law from being repatriated to the Credit Parties, an amount equal to the portion of such Net Cash Proceeds so affected will not be required to be applied to repay Loans at the times provided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as the case may be, but only so long, as the applicable Requirement of Law will not permit repatriation to the Credit Parties (the Credit Parties hereby agreeing to cause the applicable Foreign Subsidiary to promptly take all actions reasonably required by the applicable Requirement of Law to permit repatriation), and once a repatriation of any of such affected Net Cash Proceeds is permitted under the applicable Requirement of Law, an amount equal to such Net Cash Proceeds will be promptly (and in any event not later than ten Business Days after such repatriation is permitted) applied (net of any taxes that would be payable or reserved against if such amounts were actually repatriated whether or not they are repatriated) to the repayment of the Loans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as applicable, and (B) to the extent that the Borrower has determined in good faith that repatriation of any of or all the Net Cash Proceeds of any Foreign Prepayment Event would have a material adverse tax consequence with respect to such Net Cash Proceeds, an amount equal to the Net Cash Proceeds so affected may be retained by the applicable Foreign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on or before the date on which any Net Cash Proceeds from any Foreign Prepayment Event so retained would otherwise have been required to be applied to reinvestments or prepayments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(x) the Borrower shall apply an amount equal to such Net Cash Proceeds to such reinvestments or prepayments as if such Net Cash Proceeds had been received by the Credit Parties rather than such Foreign Subsidiary, less the amount of any taxes that would have been payable or reserved against if such Net Cash Proceeds had been repatriated (or, if less, the Net Cash Proceeds that would be calculated if received by such Foreign Subsidiary) or (y) such Net Cash Proceeds shall be applied to the repayment of Indebtedness of a Foreign Subsidiary. For the avoidance of doubt, nothing in this Agreement, including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be construed to require any Foreign Subsidiary to repatriate cash.</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ectPr>
          <w:pgSz w:w="11900" w:h="16838" w:orient="portrait"/>
          <w:cols w:equalWidth="0" w:num="1">
            <w:col w:w="11400"/>
          </w:cols>
          <w:pgMar w:left="260" w:top="814" w:right="239" w:bottom="1440" w:gutter="0" w:footer="0" w:header="0"/>
        </w:sectPr>
      </w:pPr>
    </w:p>
    <w:bookmarkStart w:id="177" w:name="page178"/>
    <w:bookmarkEnd w:id="177"/>
    <w:p>
      <w:pPr>
        <w:ind w:left="-20" w:firstLine="656"/>
        <w:spacing w:after="0" w:line="276" w:lineRule="auto"/>
        <w:tabs>
          <w:tab w:leader="none" w:pos="1018"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Repayment of Revolving Credit Loans</w:t>
      </w:r>
      <w:r>
        <w:rPr>
          <w:rFonts w:ascii="Arial" w:cs="Arial" w:eastAsia="Arial" w:hAnsi="Arial"/>
          <w:sz w:val="17"/>
          <w:szCs w:val="17"/>
          <w:color w:val="auto"/>
        </w:rPr>
        <w:t>. If on any date the aggregate amount of the Lenders’ Revolving Credit Exposures in respect of any Class of Revolving Loans for any reason exceeds 100% of the Revolving Credit Commitment of such Class then in effect, the Borrower shall forthwith repay on such date Revolving Loans of such Class in an amount equal to such excess. If after giving effect to the prepayment of all outstanding Revolving Loans of such Class, the Revolving Credit Exposures of such Class exceed the Revolving Credit Commitment of such Class then in effect, the Borrower shall Cash Collateralize the Letters of Credit Outstanding in relation to such Class to the extent of such excess.</w:t>
      </w:r>
    </w:p>
    <w:p>
      <w:pPr>
        <w:spacing w:after="0" w:line="172" w:lineRule="exact"/>
        <w:rPr>
          <w:rFonts w:ascii="Arial" w:cs="Arial" w:eastAsia="Arial" w:hAnsi="Arial"/>
          <w:sz w:val="17"/>
          <w:szCs w:val="17"/>
          <w:color w:val="auto"/>
        </w:rPr>
      </w:pPr>
    </w:p>
    <w:p>
      <w:pPr>
        <w:ind w:left="-20" w:right="20" w:firstLine="656"/>
        <w:spacing w:after="0" w:line="289" w:lineRule="auto"/>
        <w:tabs>
          <w:tab w:leader="none" w:pos="1008"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Application to Repayment Amounts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5.2(f)</w:t>
      </w:r>
      <w:r>
        <w:rPr>
          <w:rFonts w:ascii="Arial" w:cs="Arial" w:eastAsia="Arial" w:hAnsi="Arial"/>
          <w:sz w:val="16"/>
          <w:szCs w:val="16"/>
          <w:color w:val="auto"/>
        </w:rPr>
        <w:t xml:space="preserve">, each prepayment of Term Loans required by </w:t>
      </w:r>
      <w:r>
        <w:rPr>
          <w:rFonts w:ascii="Arial" w:cs="Arial" w:eastAsia="Arial" w:hAnsi="Arial"/>
          <w:sz w:val="16"/>
          <w:szCs w:val="16"/>
          <w:u w:val="single" w:color="auto"/>
          <w:color w:val="auto"/>
        </w:rPr>
        <w:t>Section 5.2(a)(i)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shall be allocated pro rata among the Term A Loans, New Term Loans and Extended Term Loans based on the applicable remaining Repayment Amounts due thereunder and shall be applied within each Class of Term Loans in respect of such Term Loans in direct order of maturity thereof or as otherwise directed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Class of Extended Term Loans have been established hereunder, the Borrower may allocate such prepayment in its sole discretion to the Term Loans of the Existing Term Loan Class, if any, from which such Extended Term Loans were converted (except, as to Term Loans made pursuant to a Joinder Agreement, as otherwise set forth in such Joinder Agreement, or as to a Replacement Term Loan). Subject to </w:t>
      </w:r>
      <w:r>
        <w:rPr>
          <w:rFonts w:ascii="Arial" w:cs="Arial" w:eastAsia="Arial" w:hAnsi="Arial"/>
          <w:sz w:val="16"/>
          <w:szCs w:val="16"/>
          <w:u w:val="single" w:color="auto"/>
          <w:color w:val="auto"/>
        </w:rPr>
        <w:t>Section 5.2(f)</w:t>
      </w:r>
      <w:r>
        <w:rPr>
          <w:rFonts w:ascii="Arial" w:cs="Arial" w:eastAsia="Arial" w:hAnsi="Arial"/>
          <w:sz w:val="16"/>
          <w:szCs w:val="16"/>
          <w:color w:val="auto"/>
        </w:rPr>
        <w:t xml:space="preserve">, with respect to each such prepayment, the Borrower will, not later than the date specified in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for making such prepayment, give the Administrative Agent written notice which shall include a calculation of the amount of such prepayment to be applied to each Class of Term Loans requesting that the Administrative Agent provide notice of such prepayment to each Term A Lender, New Term Loan Lender, or Lender of Extended Term Loans, as applicable.</w:t>
      </w:r>
    </w:p>
    <w:p>
      <w:pPr>
        <w:spacing w:after="0" w:line="166" w:lineRule="exact"/>
        <w:rPr>
          <w:rFonts w:ascii="Arial" w:cs="Arial" w:eastAsia="Arial" w:hAnsi="Arial"/>
          <w:sz w:val="16"/>
          <w:szCs w:val="16"/>
          <w:color w:val="auto"/>
        </w:rPr>
      </w:pPr>
    </w:p>
    <w:p>
      <w:pPr>
        <w:ind w:left="-20" w:right="140" w:firstLine="656"/>
        <w:spacing w:after="0" w:line="293" w:lineRule="auto"/>
        <w:tabs>
          <w:tab w:leader="none" w:pos="1018"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Application to Term Loans</w:t>
      </w:r>
      <w:r>
        <w:rPr>
          <w:rFonts w:ascii="Arial" w:cs="Arial" w:eastAsia="Arial" w:hAnsi="Arial"/>
          <w:sz w:val="16"/>
          <w:szCs w:val="16"/>
          <w:color w:val="auto"/>
        </w:rPr>
        <w:t xml:space="preserve">. With respect to each prepayment of Term Loans required by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the Borrower may, if applicable, designate the Types of Loans that are to be prepaid and the specific Borrowing(s) pursuant to which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Lender has provided a Rejection Notice in compliance with </w:t>
      </w:r>
      <w:r>
        <w:rPr>
          <w:rFonts w:ascii="Arial" w:cs="Arial" w:eastAsia="Arial" w:hAnsi="Arial"/>
          <w:sz w:val="16"/>
          <w:szCs w:val="16"/>
          <w:u w:val="single" w:color="auto"/>
          <w:color w:val="auto"/>
        </w:rPr>
        <w:t>Section 5.2(f)</w:t>
      </w:r>
      <w:r>
        <w:rPr>
          <w:rFonts w:ascii="Arial" w:cs="Arial" w:eastAsia="Arial" w:hAnsi="Arial"/>
          <w:sz w:val="16"/>
          <w:szCs w:val="16"/>
          <w:color w:val="auto"/>
        </w:rPr>
        <w:t xml:space="preserve">, such prepayment shall be applied with respect to the Term Loans to be prepaid on a pro rata basis across all outstanding Types of such Term Loans in proportion to the percentage of such outstanding Term Loans to be prepaid represented by each such Class. In the absence of a Rejection Notice or a designation by the Borrower as described in the preceding sentence, the Administrative Agent shall, subject to the above, make such designation in its reasonable discretion with a view, but no obligation, to minimize breakage costs owing under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20" w:right="60" w:firstLine="656"/>
        <w:spacing w:after="0" w:line="293" w:lineRule="auto"/>
        <w:tabs>
          <w:tab w:leader="none" w:pos="1008"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Application to Revolving Credit Loans</w:t>
      </w:r>
      <w:r>
        <w:rPr>
          <w:rFonts w:ascii="Arial" w:cs="Arial" w:eastAsia="Arial" w:hAnsi="Arial"/>
          <w:sz w:val="16"/>
          <w:szCs w:val="16"/>
          <w:color w:val="auto"/>
        </w:rPr>
        <w:t xml:space="preserve">. With respect to each prepayment of Revolving Credit Loans, the Borrower may designate (i) the Types of Loans that are to be prepaid and the specific Borrowing(s) pursuant to which made and (ii) the Revolving Loans to be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(y) each prepayment of any Loans made pursuant to a Borrowing shall be applied pro rata among such Loans; and (z) notwithstanding the provisions of the preceding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no prepayment of Revolving Loans shall be applied to the Revolving Credit Loans of any Defaulting Lender unless otherwise agreed in writing by the Borrower. In the absence of a designation by the Borrower as described in the preceding sentence, the Administrative Agent shall, subject to the above, make such designation in its reasonable discretion with a view, but no obligation, to minimize breakage costs owing under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ectPr>
          <w:pgSz w:w="11900" w:h="16838" w:orient="portrait"/>
          <w:cols w:equalWidth="0" w:num="1">
            <w:col w:w="11400"/>
          </w:cols>
          <w:pgMar w:left="260" w:top="814" w:right="239" w:bottom="1440" w:gutter="0" w:footer="0" w:header="0"/>
        </w:sectPr>
      </w:pPr>
    </w:p>
    <w:bookmarkStart w:id="178" w:name="page179"/>
    <w:bookmarkEnd w:id="178"/>
    <w:p>
      <w:pPr>
        <w:ind w:left="-20" w:right="20" w:firstLine="656"/>
        <w:spacing w:after="0" w:line="270" w:lineRule="auto"/>
        <w:tabs>
          <w:tab w:leader="none" w:pos="988"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Rejection Right</w:t>
      </w:r>
      <w:r>
        <w:rPr>
          <w:rFonts w:ascii="Arial" w:cs="Arial" w:eastAsia="Arial" w:hAnsi="Arial"/>
          <w:sz w:val="17"/>
          <w:szCs w:val="17"/>
          <w:color w:val="auto"/>
        </w:rPr>
        <w:t xml:space="preserve">. Holdings or the Borrower shall notify the Administrative Agent in writing of any mandatory prepayment of Term Loans required to be made pursuant to </w:t>
      </w:r>
      <w:r>
        <w:rPr>
          <w:rFonts w:ascii="Arial" w:cs="Arial" w:eastAsia="Arial" w:hAnsi="Arial"/>
          <w:sz w:val="17"/>
          <w:szCs w:val="17"/>
          <w:u w:val="single" w:color="auto"/>
          <w:color w:val="auto"/>
        </w:rPr>
        <w:t>Section 5.2(a)</w:t>
      </w:r>
      <w:r>
        <w:rPr>
          <w:rFonts w:ascii="Arial" w:cs="Arial" w:eastAsia="Arial" w:hAnsi="Arial"/>
          <w:sz w:val="17"/>
          <w:szCs w:val="17"/>
          <w:color w:val="auto"/>
        </w:rPr>
        <w:t xml:space="preserve"> at least three Business Days prior to the date of such prepayment. Each such notice shall specify the date of such prepayment and provide a reasonably detailed calculation of the amount of such prepayment. The Administrative Agent will promptly notify each Lender holding Term Loans of the contents of such prepayment notice and of such Lender’s pro rata share of the prepayment. Each Term Loan Lender may reject all (but not less than all) of its pro rata share of any mandatory prepayment other than any such mandatory prepayment with respect to a Debt Incurrence Prepayment Event under </w:t>
      </w:r>
      <w:r>
        <w:rPr>
          <w:rFonts w:ascii="Arial" w:cs="Arial" w:eastAsia="Arial" w:hAnsi="Arial"/>
          <w:sz w:val="17"/>
          <w:szCs w:val="17"/>
          <w:u w:val="single" w:color="auto"/>
          <w:color w:val="auto"/>
        </w:rPr>
        <w:t>Section 5.2(a)(i)</w:t>
      </w:r>
      <w:r>
        <w:rPr>
          <w:rFonts w:ascii="Arial" w:cs="Arial" w:eastAsia="Arial" w:hAnsi="Arial"/>
          <w:sz w:val="17"/>
          <w:szCs w:val="17"/>
          <w:color w:val="auto"/>
        </w:rPr>
        <w:t xml:space="preserve"> or Permitted Other Indebtedness under </w:t>
      </w:r>
      <w:r>
        <w:rPr>
          <w:rFonts w:ascii="Arial" w:cs="Arial" w:eastAsia="Arial" w:hAnsi="Arial"/>
          <w:sz w:val="17"/>
          <w:szCs w:val="17"/>
          <w:u w:val="single" w:color="auto"/>
          <w:color w:val="auto"/>
        </w:rPr>
        <w:t>Section 5.2(a)(iii)</w:t>
      </w:r>
      <w:r>
        <w:rPr>
          <w:rFonts w:ascii="Arial" w:cs="Arial" w:eastAsia="Arial" w:hAnsi="Arial"/>
          <w:sz w:val="17"/>
          <w:szCs w:val="17"/>
          <w:color w:val="auto"/>
        </w:rPr>
        <w:t xml:space="preserve"> (such declined amounts, the “</w:t>
      </w:r>
      <w:r>
        <w:rPr>
          <w:rFonts w:ascii="Arial" w:cs="Arial" w:eastAsia="Arial" w:hAnsi="Arial"/>
          <w:sz w:val="17"/>
          <w:szCs w:val="17"/>
          <w:b w:val="1"/>
          <w:bCs w:val="1"/>
          <w:color w:val="auto"/>
        </w:rPr>
        <w:t>Declined</w:t>
      </w:r>
      <w:r>
        <w:rPr>
          <w:rFonts w:ascii="Arial" w:cs="Arial" w:eastAsia="Arial" w:hAnsi="Arial"/>
          <w:sz w:val="17"/>
          <w:szCs w:val="17"/>
          <w:color w:val="auto"/>
        </w:rPr>
        <w:t xml:space="preserve"> </w:t>
      </w:r>
      <w:r>
        <w:rPr>
          <w:rFonts w:ascii="Arial" w:cs="Arial" w:eastAsia="Arial" w:hAnsi="Arial"/>
          <w:sz w:val="17"/>
          <w:szCs w:val="17"/>
          <w:b w:val="1"/>
          <w:bCs w:val="1"/>
          <w:color w:val="auto"/>
        </w:rPr>
        <w:t>Proceeds</w:t>
      </w:r>
      <w:r>
        <w:rPr>
          <w:rFonts w:ascii="Arial" w:cs="Arial" w:eastAsia="Arial" w:hAnsi="Arial"/>
          <w:sz w:val="17"/>
          <w:szCs w:val="17"/>
          <w:color w:val="auto"/>
        </w:rPr>
        <w:t>”) of Term Loans required to be made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5.2(a)</w:t>
      </w:r>
      <w:r>
        <w:rPr>
          <w:rFonts w:ascii="Arial" w:cs="Arial" w:eastAsia="Arial" w:hAnsi="Arial"/>
          <w:sz w:val="17"/>
          <w:szCs w:val="17"/>
          <w:b w:val="1"/>
          <w:bCs w:val="1"/>
          <w:color w:val="auto"/>
        </w:rPr>
        <w:t xml:space="preserve"> </w:t>
      </w:r>
      <w:r>
        <w:rPr>
          <w:rFonts w:ascii="Arial" w:cs="Arial" w:eastAsia="Arial" w:hAnsi="Arial"/>
          <w:sz w:val="17"/>
          <w:szCs w:val="17"/>
          <w:color w:val="auto"/>
        </w:rPr>
        <w:t>by providing written notice (each, a “</w:t>
      </w:r>
      <w:r>
        <w:rPr>
          <w:rFonts w:ascii="Arial" w:cs="Arial" w:eastAsia="Arial" w:hAnsi="Arial"/>
          <w:sz w:val="17"/>
          <w:szCs w:val="17"/>
          <w:b w:val="1"/>
          <w:bCs w:val="1"/>
          <w:color w:val="auto"/>
        </w:rPr>
        <w:t>Rejection Notice</w:t>
      </w:r>
      <w:r>
        <w:rPr>
          <w:rFonts w:ascii="Arial" w:cs="Arial" w:eastAsia="Arial" w:hAnsi="Arial"/>
          <w:sz w:val="17"/>
          <w:szCs w:val="17"/>
          <w:color w:val="auto"/>
        </w:rPr>
        <w:t>”) to the Administrative</w:t>
      </w:r>
      <w:r>
        <w:rPr>
          <w:rFonts w:ascii="Arial" w:cs="Arial" w:eastAsia="Arial" w:hAnsi="Arial"/>
          <w:sz w:val="17"/>
          <w:szCs w:val="17"/>
          <w:b w:val="1"/>
          <w:bCs w:val="1"/>
          <w:color w:val="auto"/>
        </w:rPr>
        <w:t xml:space="preserve"> </w:t>
      </w:r>
      <w:r>
        <w:rPr>
          <w:rFonts w:ascii="Arial" w:cs="Arial" w:eastAsia="Arial" w:hAnsi="Arial"/>
          <w:sz w:val="17"/>
          <w:szCs w:val="17"/>
          <w:color w:val="auto"/>
        </w:rPr>
        <w:t>Agent no later than 5:00 p.m. (New York City time) one Business Day after the date of such Lender’s receipt of notice from the Administrative Agent regarding such prepayment. If a Lender fails to deliver a Rejection Notice to the Administrative Agent within the time frame specified above, any such failure will be deemed an acceptance of the total amount of such mandatory prepayment of Term Loans.</w:t>
      </w:r>
    </w:p>
    <w:p>
      <w:pPr>
        <w:spacing w:after="0" w:line="178"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Method and Place of Payment</w:t>
      </w:r>
      <w:r>
        <w:rPr>
          <w:rFonts w:ascii="Arial" w:cs="Arial" w:eastAsia="Arial" w:hAnsi="Arial"/>
          <w:sz w:val="16"/>
          <w:szCs w:val="16"/>
          <w:color w:val="auto"/>
        </w:rPr>
        <w:t>.</w:t>
      </w:r>
    </w:p>
    <w:p>
      <w:pPr>
        <w:spacing w:after="0" w:line="225" w:lineRule="exact"/>
        <w:rPr>
          <w:sz w:val="20"/>
          <w:szCs w:val="20"/>
          <w:color w:val="auto"/>
        </w:rPr>
      </w:pPr>
    </w:p>
    <w:p>
      <w:pPr>
        <w:ind w:left="-20" w:firstLine="656"/>
        <w:spacing w:after="0" w:line="269" w:lineRule="auto"/>
        <w:tabs>
          <w:tab w:leader="none" w:pos="100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Except as otherwise specifically provided herein, all payments under this Agreement shall be made by the Borrower, without set-off, counterclaim or deduction of any kind, to the Administrative Agent for the ratable account of the Lenders entitled thereto (or, in the case of the Swingline Loans to the Swingline Lender) or the Letter of Credit Issuer entitled thereto, as the case may be, not later than 2:00 p.m. (New York City time), in each case, on the date when due and shall be made in immediately available funds at the Administrative Agent’s Office or at such other office as the Administrative Agent shall specify for such purpose by notice to the Borrower (or, in the case of the Swingline Loans, at such office as the Swingline Lender shall specify for such purpose by Notice to the Borrower), it being understood that written or facsimile notice by the Borrower to the Administrative Agent to make a payment from the funds in the Borrower’s account at the Administrative Agent’s Office shall constitute the making of such payment to the extent of such funds held in such account. All repayments or prepayments of any Loans (whether of principal, interest or otherwise) hereunder shall be made in the currency in which such Loans are denominated and all other payments under each Credit Document shall, unless otherwise specified in such Credit Document, be made in Dollars. The Administrative Agent will thereafter cause to be distributed on the same day (if payment was actually received by the Administrative Agent prior to 2:00 p.m. (New York City time) or, otherwise, on the next Business Day in the Administrative Agent’s sole discretion) like funds relating to the payment of principal or interest or Fees ratably to the Lenders entitled thereto.</w:t>
      </w:r>
    </w:p>
    <w:p>
      <w:pPr>
        <w:spacing w:after="0" w:line="179" w:lineRule="exact"/>
        <w:rPr>
          <w:rFonts w:ascii="Arial" w:cs="Arial" w:eastAsia="Arial" w:hAnsi="Arial"/>
          <w:sz w:val="17"/>
          <w:szCs w:val="17"/>
          <w:color w:val="auto"/>
        </w:rPr>
      </w:pPr>
    </w:p>
    <w:p>
      <w:pPr>
        <w:ind w:left="-20" w:right="100" w:firstLine="656"/>
        <w:spacing w:after="0" w:line="276" w:lineRule="auto"/>
        <w:tabs>
          <w:tab w:leader="none" w:pos="100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Any payments under this Agreement that are made later than 2:00 p.m. (New York City time) may be deemed to have been made on the next succeeding Business Day in the Administrative Agent’s sole discretion for purposes of calculating interest thereon (or, in the case of the Swingline Loans, at the Swingline Lender’s sole discretion). Except as otherwise provided herein, whenever any payment to be made hereunder shall be stated to be due on a day that is not a Business Day, the due date thereof shall be extended to the next succeeding Business Day and, with respect to payments of principal, interest shall be payable during such extension at the applicable rate in effect immediately prior to such extension.</w:t>
      </w:r>
    </w:p>
    <w:p>
      <w:pPr>
        <w:spacing w:after="0" w:line="173"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Net Payments</w:t>
      </w:r>
      <w:r>
        <w:rPr>
          <w:rFonts w:ascii="Arial" w:cs="Arial" w:eastAsia="Arial" w:hAnsi="Arial"/>
          <w:sz w:val="16"/>
          <w:szCs w:val="16"/>
          <w:color w:val="auto"/>
        </w:rPr>
        <w:t>.</w:t>
      </w:r>
    </w:p>
    <w:p>
      <w:pPr>
        <w:spacing w:after="0" w:line="225" w:lineRule="exact"/>
        <w:rPr>
          <w:sz w:val="20"/>
          <w:szCs w:val="20"/>
          <w:color w:val="auto"/>
        </w:rPr>
      </w:pPr>
    </w:p>
    <w:p>
      <w:pPr>
        <w:ind w:left="1020" w:hanging="384"/>
        <w:spacing w:after="0"/>
        <w:tabs>
          <w:tab w:leader="none" w:pos="102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400" w:firstLine="899"/>
        <w:spacing w:after="0" w:line="277" w:lineRule="auto"/>
        <w:tabs>
          <w:tab w:leader="none" w:pos="1211"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and all payments by or on account of any obligation of any Credit Party hereunder or under any other Credit Document shall to the extent permitted by applicable laws be made free and clear of and without reduction or withholding for any Taxes.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ectPr>
          <w:pgSz w:w="11900" w:h="16838" w:orient="portrait"/>
          <w:cols w:equalWidth="0" w:num="1">
            <w:col w:w="11400"/>
          </w:cols>
          <w:pgMar w:left="260" w:top="814" w:right="239" w:bottom="1440" w:gutter="0" w:footer="0" w:header="0"/>
        </w:sectPr>
      </w:pPr>
    </w:p>
    <w:bookmarkStart w:id="179" w:name="page180"/>
    <w:bookmarkEnd w:id="179"/>
    <w:p>
      <w:pPr>
        <w:ind w:left="-40" w:firstLine="899"/>
        <w:spacing w:after="0" w:line="291" w:lineRule="auto"/>
        <w:tabs>
          <w:tab w:leader="none" w:pos="1251" w:val="left"/>
        </w:tabs>
        <w:numPr>
          <w:ilvl w:val="1"/>
          <w:numId w:val="133"/>
        </w:numPr>
        <w:rPr>
          <w:rFonts w:ascii="Arial" w:cs="Arial" w:eastAsia="Arial" w:hAnsi="Arial"/>
          <w:sz w:val="16"/>
          <w:szCs w:val="16"/>
          <w:color w:val="auto"/>
        </w:rPr>
      </w:pPr>
      <w:r>
        <w:rPr>
          <w:rFonts w:ascii="Arial" w:cs="Arial" w:eastAsia="Arial" w:hAnsi="Arial"/>
          <w:sz w:val="16"/>
          <w:szCs w:val="16"/>
          <w:color w:val="auto"/>
        </w:rPr>
        <w:t xml:space="preserve">If any Credit Party, the Administrative Agent or any other applicable Withholding Agent shall be required by applicable law to withhold or deduct any Taxes from any payment, then (A) such Withholding Agent shall withhold or make such deductions as are reasonably determined by such Withholding Agent to be required by applicable law, (B) such Withholding Agent shall timely pay the full amount withheld or deducted to the relevant Governmental Authority, and (C) to the extent that the withholding or deduction is made on account of Indemnified Taxes or Other Taxes, the sum payable by the applicable Credit Party shall be increased as necessary so that after any required withholding or deductions have been made (including withholding or deductions applicable to additional sums payable under this </w:t>
      </w:r>
      <w:r>
        <w:rPr>
          <w:rFonts w:ascii="Arial" w:cs="Arial" w:eastAsia="Arial" w:hAnsi="Arial"/>
          <w:sz w:val="16"/>
          <w:szCs w:val="16"/>
          <w:u w:val="single" w:color="auto"/>
          <w:color w:val="auto"/>
        </w:rPr>
        <w:t>Section 5.4</w:t>
      </w:r>
      <w:r>
        <w:rPr>
          <w:rFonts w:ascii="Arial" w:cs="Arial" w:eastAsia="Arial" w:hAnsi="Arial"/>
          <w:sz w:val="16"/>
          <w:szCs w:val="16"/>
          <w:color w:val="auto"/>
        </w:rPr>
        <w:t>) each Lender (or, in the case of a payment to the Administrative Agent for its own account, the Administrative Agent) receives an amount equal to the sum it would have received had no such withholding or deductions been made.</w:t>
      </w:r>
    </w:p>
    <w:p>
      <w:pPr>
        <w:spacing w:after="0" w:line="167" w:lineRule="exact"/>
        <w:rPr>
          <w:rFonts w:ascii="Arial" w:cs="Arial" w:eastAsia="Arial" w:hAnsi="Arial"/>
          <w:sz w:val="16"/>
          <w:szCs w:val="16"/>
          <w:color w:val="auto"/>
        </w:rPr>
      </w:pPr>
    </w:p>
    <w:p>
      <w:pPr>
        <w:ind w:left="-40" w:firstLine="656"/>
        <w:spacing w:after="0" w:line="264" w:lineRule="auto"/>
        <w:tabs>
          <w:tab w:leader="none" w:pos="998"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Without limiting the provisions of subsection (a) above, the Borrower shall timely pay any Other Taxes to the relevant Governmental Authority in accordance with applicable law or timely reimburse the Administrative Agent or any Lender for the payment of any Other Taxes.</w:t>
      </w:r>
    </w:p>
    <w:p>
      <w:pPr>
        <w:spacing w:after="0" w:line="181" w:lineRule="exact"/>
        <w:rPr>
          <w:rFonts w:ascii="Arial" w:cs="Arial" w:eastAsia="Arial" w:hAnsi="Arial"/>
          <w:sz w:val="18"/>
          <w:szCs w:val="18"/>
          <w:color w:val="auto"/>
        </w:rPr>
      </w:pPr>
    </w:p>
    <w:p>
      <w:pPr>
        <w:ind w:left="-40" w:right="60" w:firstLine="656"/>
        <w:spacing w:after="0" w:line="288" w:lineRule="auto"/>
        <w:tabs>
          <w:tab w:leader="none" w:pos="988"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Tax Indemnifications</w:t>
      </w:r>
      <w:r>
        <w:rPr>
          <w:rFonts w:ascii="Arial" w:cs="Arial" w:eastAsia="Arial" w:hAnsi="Arial"/>
          <w:sz w:val="16"/>
          <w:szCs w:val="16"/>
          <w:color w:val="auto"/>
        </w:rPr>
        <w:t xml:space="preserve">. Without limiting the provisions of subsection (a) or (b) above, the Borrower shall indemnify the Administrative Agent and each Lender, and shall make payment in respect thereof within 15 days after demand therefor, for the full amount of Indemnified Taxes or Other Taxes (including Indemnified Taxes or Other Taxes imposed or asserted on or attributable to amounts payable under this </w:t>
      </w:r>
      <w:r>
        <w:rPr>
          <w:rFonts w:ascii="Arial" w:cs="Arial" w:eastAsia="Arial" w:hAnsi="Arial"/>
          <w:sz w:val="16"/>
          <w:szCs w:val="16"/>
          <w:u w:val="single" w:color="auto"/>
          <w:color w:val="auto"/>
        </w:rPr>
        <w:t>Section 5.4</w:t>
      </w:r>
      <w:r>
        <w:rPr>
          <w:rFonts w:ascii="Arial" w:cs="Arial" w:eastAsia="Arial" w:hAnsi="Arial"/>
          <w:sz w:val="16"/>
          <w:szCs w:val="16"/>
          <w:color w:val="auto"/>
        </w:rPr>
        <w:t>) payable by the Administrative Agent or such Lender, as the case may be, and any reasonable expenses arising therefrom or with respect thereto, whether or not such Indemnified Taxes or Other Taxes were correctly or legally imposed or asserted by the relevant Governmental Authority. A certificate as to the amount of any such payment or liability (along with a written statement setting forth in reasonable detail the basis and calculation of such amounts) delivered to the Borrower by a Lender, or by the Administrative Agent on its own behalf or on behalf of a Lender, shall be conclusive absent manifest error. If the Borrower reasonably believes that any such Indemnified Taxes or Other Taxes were not correctly or legally asserted, the Administrative Agent and/or each affected Lender will use reasonable efforts to cooperate with the Borrower in pursuing a refund of such Indemnified Taxes or Other Taxes so long as such efforts would not, in the sole determination of the Administrative Agent or affected Lender, result in any additional costs, expenses or risks or be otherwise disadvantageous to it.</w:t>
      </w:r>
    </w:p>
    <w:p>
      <w:pPr>
        <w:spacing w:after="0" w:line="169" w:lineRule="exact"/>
        <w:rPr>
          <w:rFonts w:ascii="Arial" w:cs="Arial" w:eastAsia="Arial" w:hAnsi="Arial"/>
          <w:sz w:val="16"/>
          <w:szCs w:val="16"/>
          <w:color w:val="auto"/>
        </w:rPr>
      </w:pPr>
    </w:p>
    <w:p>
      <w:pPr>
        <w:jc w:val="both"/>
        <w:ind w:left="-40" w:right="20" w:firstLine="656"/>
        <w:spacing w:after="0" w:line="302" w:lineRule="auto"/>
        <w:tabs>
          <w:tab w:leader="none" w:pos="998"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Evidence of Payments</w:t>
      </w:r>
      <w:r>
        <w:rPr>
          <w:rFonts w:ascii="Arial" w:cs="Arial" w:eastAsia="Arial" w:hAnsi="Arial"/>
          <w:sz w:val="16"/>
          <w:szCs w:val="16"/>
          <w:color w:val="auto"/>
        </w:rPr>
        <w:t xml:space="preserve">. After any payment of Taxes by any Credit Party or the Administrative Agent to a Governmental Authority as provided in this </w:t>
      </w:r>
      <w:r>
        <w:rPr>
          <w:rFonts w:ascii="Arial" w:cs="Arial" w:eastAsia="Arial" w:hAnsi="Arial"/>
          <w:sz w:val="16"/>
          <w:szCs w:val="16"/>
          <w:u w:val="single" w:color="auto"/>
          <w:color w:val="auto"/>
        </w:rPr>
        <w:t>Section 5.4</w:t>
      </w:r>
      <w:r>
        <w:rPr>
          <w:rFonts w:ascii="Arial" w:cs="Arial" w:eastAsia="Arial" w:hAnsi="Arial"/>
          <w:sz w:val="16"/>
          <w:szCs w:val="16"/>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54" w:lineRule="exact"/>
        <w:rPr>
          <w:rFonts w:ascii="Arial" w:cs="Arial" w:eastAsia="Arial" w:hAnsi="Arial"/>
          <w:sz w:val="16"/>
          <w:szCs w:val="16"/>
          <w:color w:val="auto"/>
        </w:rPr>
      </w:pPr>
    </w:p>
    <w:p>
      <w:pPr>
        <w:ind w:left="1000" w:hanging="384"/>
        <w:spacing w:after="0"/>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Status of Lenders and Tax Documentation</w:t>
      </w:r>
      <w:r>
        <w:rPr>
          <w:rFonts w:ascii="Arial" w:cs="Arial" w:eastAsia="Arial" w:hAnsi="Arial"/>
          <w:sz w:val="18"/>
          <w:szCs w:val="18"/>
          <w:color w:val="auto"/>
        </w:rPr>
        <w: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ectPr>
          <w:pgSz w:w="11900" w:h="16838" w:orient="portrait"/>
          <w:cols w:equalWidth="0" w:num="1">
            <w:col w:w="11360"/>
          </w:cols>
          <w:pgMar w:left="280" w:top="814" w:right="259" w:bottom="1440" w:gutter="0" w:footer="0" w:header="0"/>
        </w:sectPr>
      </w:pPr>
    </w:p>
    <w:bookmarkStart w:id="180" w:name="page181"/>
    <w:bookmarkEnd w:id="180"/>
    <w:p>
      <w:pPr>
        <w:ind w:left="-60" w:firstLine="899"/>
        <w:spacing w:after="0" w:line="287" w:lineRule="auto"/>
        <w:tabs>
          <w:tab w:leader="none" w:pos="1181"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Each Lender shall deliver to the Borrower and to the Administrative Agent, at such time or times reasonably requested by the Borrower or the Administrative Agent, such properly completed and executed documentation prescribed by applicable laws or by the taxing authorities of any jurisdiction and such other reasonably requested information as will permit the Borrower or the Administrative Agent, as the case may be, to determine (A) whether or not any payments made hereunder or under any other Credit Document are subject to Taxes, (B) if applicable, the required rate of withholding or deduction, and (C) such Lender’s entitlement to any available exemption from, or reduction of, applicable Taxes in respect of any payments to be made to such Lender by any Credit Party pursuant to any Credit Document or otherwise to establish such Lender’s status for withholding tax purposes in the applicable jurisdiction. Any documentation and information required to be delivered by a Lender pursuant to this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(including any specific documentation set forth in subsection (ii) below) shall be delivered by such Lender (i) on or prior to the Restatement Effective Date (or on or prior to the date it becomes a party to this Agreement), (ii) on or before any date on which such documentation expires or becomes obsolete or invalid, (iii) after the occurrence of any change in the Lender’s circumstances requiring a change in the most recent documentation previously delivered by it to the Borrower and the Administrative Agent, and (iv) from time to time thereafter if reasonably requested by the Borrower or the Administrative Agent, and each such Lender shall promptly notify in writing the Borrower and the Administrative Agent if such Lender is no longer legally eligible to provide any documentation previously provided.</w:t>
      </w:r>
    </w:p>
    <w:p>
      <w:pPr>
        <w:spacing w:after="0" w:line="168" w:lineRule="exact"/>
        <w:rPr>
          <w:rFonts w:ascii="Arial" w:cs="Arial" w:eastAsia="Arial" w:hAnsi="Arial"/>
          <w:sz w:val="16"/>
          <w:szCs w:val="16"/>
          <w:color w:val="auto"/>
        </w:rPr>
      </w:pPr>
    </w:p>
    <w:p>
      <w:pPr>
        <w:ind w:left="1240" w:hanging="401"/>
        <w:spacing w:after="0"/>
        <w:tabs>
          <w:tab w:leader="none" w:pos="12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221" w:lineRule="exact"/>
        <w:rPr>
          <w:rFonts w:ascii="Arial" w:cs="Arial" w:eastAsia="Arial" w:hAnsi="Arial"/>
          <w:sz w:val="18"/>
          <w:szCs w:val="18"/>
          <w:color w:val="auto"/>
        </w:rPr>
      </w:pPr>
    </w:p>
    <w:p>
      <w:pPr>
        <w:ind w:left="600" w:right="40" w:firstLine="645"/>
        <w:spacing w:after="0" w:line="258" w:lineRule="auto"/>
        <w:tabs>
          <w:tab w:leader="none" w:pos="167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Lender that is a “United States person” within the meaning of Section 7701(a)(30) of the Code (a “</w:t>
      </w:r>
      <w:r>
        <w:rPr>
          <w:rFonts w:ascii="Arial" w:cs="Arial" w:eastAsia="Arial" w:hAnsi="Arial"/>
          <w:sz w:val="18"/>
          <w:szCs w:val="18"/>
          <w:b w:val="1"/>
          <w:bCs w:val="1"/>
          <w:color w:val="auto"/>
        </w:rPr>
        <w:t>U.S. Lender</w:t>
      </w:r>
      <w:r>
        <w:rPr>
          <w:rFonts w:ascii="Arial" w:cs="Arial" w:eastAsia="Arial" w:hAnsi="Arial"/>
          <w:sz w:val="18"/>
          <w:szCs w:val="18"/>
          <w:color w:val="auto"/>
        </w:rPr>
        <w:t>”) shall deliver to the Borrower and the Administrative Agent executed originals of Internal Revenue Service Form W-9 or such other documentation or information prescribed by applicable laws or reasonably requested by the Borrower or the Administrative Agent as will enable the Borrower or the Administrative Agent, as the case may be, to determine whether or not such Lender is subject to backup withholding or information reporting requirements;</w:t>
      </w:r>
    </w:p>
    <w:p>
      <w:pPr>
        <w:spacing w:after="0" w:line="187" w:lineRule="exact"/>
        <w:rPr>
          <w:rFonts w:ascii="Arial" w:cs="Arial" w:eastAsia="Arial" w:hAnsi="Arial"/>
          <w:sz w:val="18"/>
          <w:szCs w:val="18"/>
          <w:color w:val="auto"/>
        </w:rPr>
      </w:pPr>
    </w:p>
    <w:p>
      <w:pPr>
        <w:ind w:left="600" w:right="220" w:firstLine="645"/>
        <w:spacing w:after="0" w:line="286" w:lineRule="auto"/>
        <w:tabs>
          <w:tab w:leader="none" w:pos="1668" w:val="left"/>
        </w:tabs>
        <w:numPr>
          <w:ilvl w:val="1"/>
          <w:numId w:val="135"/>
        </w:numPr>
        <w:rPr>
          <w:rFonts w:ascii="Arial" w:cs="Arial" w:eastAsia="Arial" w:hAnsi="Arial"/>
          <w:sz w:val="17"/>
          <w:szCs w:val="17"/>
          <w:color w:val="auto"/>
        </w:rPr>
      </w:pPr>
      <w:r>
        <w:rPr>
          <w:rFonts w:ascii="Arial" w:cs="Arial" w:eastAsia="Arial" w:hAnsi="Arial"/>
          <w:sz w:val="17"/>
          <w:szCs w:val="17"/>
          <w:color w:val="auto"/>
        </w:rPr>
        <w:t>each Non-U.S. Lender that is entitled under the Code or any applicable treaty to an exemption from or reduction of U.S. federal withholding tax with respect to any payments hereunder or under any other Credit Document shall deliver to the Borrower and the Administrative Agent (in such number of copies as shall be requested by the recipient) whichever of the following is applicable:</w:t>
      </w:r>
    </w:p>
    <w:p>
      <w:pPr>
        <w:spacing w:after="0" w:line="165" w:lineRule="exact"/>
        <w:rPr>
          <w:rFonts w:ascii="Arial" w:cs="Arial" w:eastAsia="Arial" w:hAnsi="Arial"/>
          <w:sz w:val="17"/>
          <w:szCs w:val="17"/>
          <w:color w:val="auto"/>
        </w:rPr>
      </w:pPr>
    </w:p>
    <w:p>
      <w:pPr>
        <w:ind w:left="1240" w:right="80" w:firstLine="653"/>
        <w:spacing w:after="0" w:line="277" w:lineRule="auto"/>
        <w:tabs>
          <w:tab w:leader="none" w:pos="2278" w:val="left"/>
        </w:tabs>
        <w:numPr>
          <w:ilvl w:val="2"/>
          <w:numId w:val="135"/>
        </w:numPr>
        <w:rPr>
          <w:rFonts w:ascii="Arial" w:cs="Arial" w:eastAsia="Arial" w:hAnsi="Arial"/>
          <w:sz w:val="18"/>
          <w:szCs w:val="18"/>
          <w:color w:val="010000"/>
        </w:rPr>
      </w:pPr>
      <w:r>
        <w:rPr>
          <w:rFonts w:ascii="Arial" w:cs="Arial" w:eastAsia="Arial" w:hAnsi="Arial"/>
          <w:sz w:val="18"/>
          <w:szCs w:val="18"/>
          <w:color w:val="auto"/>
        </w:rPr>
        <w:t>executed originals of Internal Revenue Service Form W-8BEN or W-8BEN-E, as applicable, (or any successor form thereto) claiming eligibility for benefits of an income tax treaty to which the United States is a party;</w:t>
      </w:r>
    </w:p>
    <w:p>
      <w:pPr>
        <w:spacing w:after="0" w:line="170" w:lineRule="exact"/>
        <w:rPr>
          <w:rFonts w:ascii="Arial" w:cs="Arial" w:eastAsia="Arial" w:hAnsi="Arial"/>
          <w:sz w:val="18"/>
          <w:szCs w:val="18"/>
          <w:color w:val="010000"/>
        </w:rPr>
      </w:pPr>
    </w:p>
    <w:p>
      <w:pPr>
        <w:ind w:left="2280" w:hanging="387"/>
        <w:spacing w:after="0"/>
        <w:tabs>
          <w:tab w:leader="none" w:pos="2280" w:val="left"/>
        </w:tabs>
        <w:numPr>
          <w:ilvl w:val="2"/>
          <w:numId w:val="135"/>
        </w:numPr>
        <w:rPr>
          <w:rFonts w:ascii="Arial" w:cs="Arial" w:eastAsia="Arial" w:hAnsi="Arial"/>
          <w:sz w:val="18"/>
          <w:szCs w:val="18"/>
          <w:color w:val="010000"/>
        </w:rPr>
      </w:pPr>
      <w:r>
        <w:rPr>
          <w:rFonts w:ascii="Arial" w:cs="Arial" w:eastAsia="Arial" w:hAnsi="Arial"/>
          <w:sz w:val="18"/>
          <w:szCs w:val="18"/>
          <w:color w:val="auto"/>
        </w:rPr>
        <w:t>executed originals of Internal Revenue Service Form W-8ECI (or any successor form thereto);</w:t>
      </w:r>
    </w:p>
    <w:p>
      <w:pPr>
        <w:spacing w:after="0" w:line="225" w:lineRule="exact"/>
        <w:rPr>
          <w:rFonts w:ascii="Arial" w:cs="Arial" w:eastAsia="Arial" w:hAnsi="Arial"/>
          <w:sz w:val="18"/>
          <w:szCs w:val="18"/>
          <w:color w:val="010000"/>
        </w:rPr>
      </w:pPr>
    </w:p>
    <w:p>
      <w:pPr>
        <w:ind w:left="1240" w:right="20" w:firstLine="653"/>
        <w:spacing w:after="0" w:line="286" w:lineRule="auto"/>
        <w:tabs>
          <w:tab w:leader="none" w:pos="2278" w:val="left"/>
        </w:tabs>
        <w:numPr>
          <w:ilvl w:val="2"/>
          <w:numId w:val="135"/>
        </w:numPr>
        <w:rPr>
          <w:rFonts w:ascii="Arial" w:cs="Arial" w:eastAsia="Arial" w:hAnsi="Arial"/>
          <w:sz w:val="16"/>
          <w:szCs w:val="16"/>
          <w:color w:val="010000"/>
        </w:rPr>
      </w:pPr>
      <w:r>
        <w:rPr>
          <w:rFonts w:ascii="Arial" w:cs="Arial" w:eastAsia="Arial" w:hAnsi="Arial"/>
          <w:sz w:val="16"/>
          <w:szCs w:val="16"/>
          <w:color w:val="auto"/>
        </w:rPr>
        <w:t xml:space="preserve">in the case of a Non-U.S. Lender claiming the benefits of the exemption for portfolio interest under Section 881(c) of the Code, (x) a certificate, substantially in the form of </w:t>
      </w:r>
      <w:r>
        <w:rPr>
          <w:rFonts w:ascii="Arial" w:cs="Arial" w:eastAsia="Arial" w:hAnsi="Arial"/>
          <w:sz w:val="16"/>
          <w:szCs w:val="16"/>
          <w:u w:val="single" w:color="auto"/>
          <w:color w:val="auto"/>
        </w:rPr>
        <w:t>Exhibit J-1</w:t>
      </w:r>
      <w:r>
        <w:rPr>
          <w:rFonts w:ascii="Arial" w:cs="Arial" w:eastAsia="Arial" w:hAnsi="Arial"/>
          <w:sz w:val="16"/>
          <w:szCs w:val="16"/>
          <w:color w:val="auto"/>
        </w:rPr>
        <w:t xml:space="preserve">, </w:t>
      </w:r>
      <w:r>
        <w:rPr>
          <w:rFonts w:ascii="Arial" w:cs="Arial" w:eastAsia="Arial" w:hAnsi="Arial"/>
          <w:sz w:val="16"/>
          <w:szCs w:val="16"/>
          <w:u w:val="single" w:color="auto"/>
          <w:color w:val="auto"/>
        </w:rPr>
        <w:t>J-2</w:t>
      </w:r>
      <w:r>
        <w:rPr>
          <w:rFonts w:ascii="Arial" w:cs="Arial" w:eastAsia="Arial" w:hAnsi="Arial"/>
          <w:sz w:val="16"/>
          <w:szCs w:val="16"/>
          <w:color w:val="auto"/>
        </w:rPr>
        <w:t xml:space="preserve">, </w:t>
      </w:r>
      <w:r>
        <w:rPr>
          <w:rFonts w:ascii="Arial" w:cs="Arial" w:eastAsia="Arial" w:hAnsi="Arial"/>
          <w:sz w:val="16"/>
          <w:szCs w:val="16"/>
          <w:u w:val="single" w:color="auto"/>
          <w:color w:val="auto"/>
        </w:rPr>
        <w:t>J-3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J-4</w:t>
      </w:r>
      <w:r>
        <w:rPr>
          <w:rFonts w:ascii="Arial" w:cs="Arial" w:eastAsia="Arial" w:hAnsi="Arial"/>
          <w:sz w:val="16"/>
          <w:szCs w:val="16"/>
          <w:color w:val="auto"/>
        </w:rPr>
        <w:t>, as applicable, (a “</w:t>
      </w:r>
      <w:r>
        <w:rPr>
          <w:rFonts w:ascii="Arial" w:cs="Arial" w:eastAsia="Arial" w:hAnsi="Arial"/>
          <w:sz w:val="16"/>
          <w:szCs w:val="16"/>
          <w:b w:val="1"/>
          <w:bCs w:val="1"/>
          <w:color w:val="auto"/>
        </w:rPr>
        <w:t>Non-Bank Tax Certificate</w:t>
      </w:r>
      <w:r>
        <w:rPr>
          <w:rFonts w:ascii="Arial" w:cs="Arial" w:eastAsia="Arial" w:hAnsi="Arial"/>
          <w:sz w:val="16"/>
          <w:szCs w:val="16"/>
          <w:color w:val="auto"/>
        </w:rPr>
        <w:t>”), to the effect that such Non-U.S. Lender is not (A) a “bank” within the meaning of Section 881(c)(3)(A) of the Code, (B) a “10 percent shareholder” of the Borrower within the meaning of Section 881(c)(3)(B) of the Code, or (C) a “controlled foreign corporation” described in Section 881(c)</w:t>
      </w:r>
    </w:p>
    <w:p>
      <w:pPr>
        <w:spacing w:after="0" w:line="1" w:lineRule="exact"/>
        <w:rPr>
          <w:rFonts w:ascii="Arial" w:cs="Arial" w:eastAsia="Arial" w:hAnsi="Arial"/>
          <w:sz w:val="16"/>
          <w:szCs w:val="16"/>
          <w:color w:val="010000"/>
        </w:rPr>
      </w:pPr>
    </w:p>
    <w:p>
      <w:pPr>
        <w:ind w:left="1240" w:right="60"/>
        <w:spacing w:after="0" w:line="255" w:lineRule="auto"/>
        <w:rPr>
          <w:rFonts w:ascii="Arial" w:cs="Arial" w:eastAsia="Arial" w:hAnsi="Arial"/>
          <w:sz w:val="16"/>
          <w:szCs w:val="16"/>
          <w:color w:val="010000"/>
        </w:rPr>
      </w:pPr>
      <w:r>
        <w:rPr>
          <w:rFonts w:ascii="Arial" w:cs="Arial" w:eastAsia="Arial" w:hAnsi="Arial"/>
          <w:sz w:val="18"/>
          <w:szCs w:val="18"/>
          <w:color w:val="auto"/>
        </w:rPr>
        <w:t>(3)(C) of the Code and that no payments under any Credit Document are effectively connected with such Non-U.S. Lender’s conduct of a United States trade or business and (y) executed originals of Internal Revenue Service Form W-8BEN or W-8BEN-E, as applicable (or any successor thereto);</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ectPr>
          <w:pgSz w:w="11900" w:h="16838" w:orient="portrait"/>
          <w:cols w:equalWidth="0" w:num="1">
            <w:col w:w="11320"/>
          </w:cols>
          <w:pgMar w:left="300" w:top="814" w:right="279" w:bottom="1440" w:gutter="0" w:footer="0" w:header="0"/>
        </w:sectPr>
      </w:pPr>
    </w:p>
    <w:bookmarkStart w:id="181" w:name="page182"/>
    <w:bookmarkEnd w:id="181"/>
    <w:p>
      <w:pPr>
        <w:ind w:left="1300" w:right="20" w:firstLine="653"/>
        <w:spacing w:after="0" w:line="276" w:lineRule="auto"/>
        <w:tabs>
          <w:tab w:leader="none" w:pos="2338" w:val="left"/>
        </w:tabs>
        <w:numPr>
          <w:ilvl w:val="2"/>
          <w:numId w:val="136"/>
        </w:numPr>
        <w:rPr>
          <w:rFonts w:ascii="Arial" w:cs="Arial" w:eastAsia="Arial" w:hAnsi="Arial"/>
          <w:sz w:val="17"/>
          <w:szCs w:val="17"/>
          <w:color w:val="010000"/>
        </w:rPr>
      </w:pPr>
      <w:r>
        <w:rPr>
          <w:rFonts w:ascii="Arial" w:cs="Arial" w:eastAsia="Arial" w:hAnsi="Arial"/>
          <w:sz w:val="17"/>
          <w:szCs w:val="17"/>
          <w:color w:val="auto"/>
        </w:rPr>
        <w:t>where such Lender is a partnership (for U.S. federal income tax purposes) or otherwise not a beneficial owner (e.g., where such Lender has sold a participation), IRS Form W-8IMY (or any successor thereto) and all required supporting documentation (including, where one or more of the underlying beneficial owner(s) is claiming the benefits of the portfolio interest exemption, a Non-Bank Tax Certificate of such beneficial owner(s))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Non-U.S. Lender is a partnership and not a participating Lender, the Non-Bank Tax Certificate(s) may be provided by the Non-U.S. Lender on behalf of the direct or indirect partner(s)); or</w:t>
      </w:r>
    </w:p>
    <w:p>
      <w:pPr>
        <w:spacing w:after="0" w:line="172" w:lineRule="exact"/>
        <w:rPr>
          <w:rFonts w:ascii="Arial" w:cs="Arial" w:eastAsia="Arial" w:hAnsi="Arial"/>
          <w:sz w:val="17"/>
          <w:szCs w:val="17"/>
          <w:color w:val="010000"/>
        </w:rPr>
      </w:pPr>
    </w:p>
    <w:p>
      <w:pPr>
        <w:jc w:val="both"/>
        <w:ind w:left="1300" w:right="180" w:firstLine="653"/>
        <w:spacing w:after="0" w:line="286" w:lineRule="auto"/>
        <w:tabs>
          <w:tab w:leader="none" w:pos="2338" w:val="left"/>
        </w:tabs>
        <w:numPr>
          <w:ilvl w:val="2"/>
          <w:numId w:val="136"/>
        </w:numPr>
        <w:rPr>
          <w:rFonts w:ascii="Arial" w:cs="Arial" w:eastAsia="Arial" w:hAnsi="Arial"/>
          <w:sz w:val="17"/>
          <w:szCs w:val="17"/>
          <w:color w:val="010000"/>
        </w:rPr>
      </w:pPr>
      <w:r>
        <w:rPr>
          <w:rFonts w:ascii="Arial" w:cs="Arial" w:eastAsia="Arial" w:hAnsi="Arial"/>
          <w:sz w:val="17"/>
          <w:szCs w:val="17"/>
          <w:color w:val="auto"/>
        </w:rPr>
        <w:t>executed originals of any other form prescribed by applicable laws as a basis for claiming exemption from or a reduction in United States federal withholding tax together with such supplementary documentation as may be prescribed by applicable laws to permit the Borrower or the Administrative Agent to determine the withholding or deduction required to be made;</w:t>
      </w:r>
    </w:p>
    <w:p>
      <w:pPr>
        <w:spacing w:after="0" w:line="165" w:lineRule="exact"/>
        <w:rPr>
          <w:rFonts w:ascii="Arial" w:cs="Arial" w:eastAsia="Arial" w:hAnsi="Arial"/>
          <w:sz w:val="17"/>
          <w:szCs w:val="17"/>
          <w:color w:val="010000"/>
        </w:rPr>
      </w:pPr>
    </w:p>
    <w:p>
      <w:pPr>
        <w:ind w:left="660" w:firstLine="645"/>
        <w:spacing w:after="0" w:line="290" w:lineRule="auto"/>
        <w:tabs>
          <w:tab w:leader="none" w:pos="1728" w:val="left"/>
        </w:tabs>
        <w:numPr>
          <w:ilvl w:val="1"/>
          <w:numId w:val="137"/>
        </w:numPr>
        <w:rPr>
          <w:rFonts w:ascii="Arial" w:cs="Arial" w:eastAsia="Arial" w:hAnsi="Arial"/>
          <w:sz w:val="16"/>
          <w:szCs w:val="16"/>
          <w:color w:val="auto"/>
        </w:rPr>
      </w:pPr>
      <w:r>
        <w:rPr>
          <w:rFonts w:ascii="Arial" w:cs="Arial" w:eastAsia="Arial" w:hAnsi="Arial"/>
          <w:sz w:val="16"/>
          <w:szCs w:val="16"/>
          <w:color w:val="auto"/>
        </w:rPr>
        <w:t xml:space="preserve">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such Lender’s obligations under FATCA or to determine the amount, if any, to deduct and withhold from such payment. Solely for purposes of this </w:t>
      </w:r>
      <w:r>
        <w:rPr>
          <w:rFonts w:ascii="Arial" w:cs="Arial" w:eastAsia="Arial" w:hAnsi="Arial"/>
          <w:sz w:val="16"/>
          <w:szCs w:val="16"/>
          <w:u w:val="single" w:color="auto"/>
          <w:color w:val="auto"/>
        </w:rPr>
        <w:t>clause (C)</w:t>
      </w:r>
      <w:r>
        <w:rPr>
          <w:rFonts w:ascii="Arial" w:cs="Arial" w:eastAsia="Arial" w:hAnsi="Arial"/>
          <w:sz w:val="16"/>
          <w:szCs w:val="16"/>
          <w:color w:val="auto"/>
        </w:rPr>
        <w:t>, “FATCA” shall include any amendments made to FATCA after the date of this Agreement; and</w:t>
      </w:r>
    </w:p>
    <w:p>
      <w:pPr>
        <w:spacing w:after="0" w:line="166" w:lineRule="exact"/>
        <w:rPr>
          <w:rFonts w:ascii="Arial" w:cs="Arial" w:eastAsia="Arial" w:hAnsi="Arial"/>
          <w:sz w:val="16"/>
          <w:szCs w:val="16"/>
          <w:color w:val="auto"/>
        </w:rPr>
      </w:pPr>
    </w:p>
    <w:p>
      <w:pPr>
        <w:ind w:left="660" w:right="60" w:firstLine="645"/>
        <w:spacing w:after="0" w:line="259" w:lineRule="auto"/>
        <w:tabs>
          <w:tab w:leader="none" w:pos="1738"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If the Administrative Agent is a “United States person” (as defined in Section 7701(a)(30) of the Code), it shall provide the Borrower with two duly completed original copies of Internal Revenue Service Form W-9. If the Administrative Agent is not a “United States person” (as defined in Section 7701(a)(3) of the Code), it shall provide applicable Form W-8 (together with required accompanying documentation) with respect to payments to be received by it on behalf of the Lenders.</w:t>
      </w:r>
    </w:p>
    <w:p>
      <w:pPr>
        <w:spacing w:after="0" w:line="186" w:lineRule="exact"/>
        <w:rPr>
          <w:rFonts w:ascii="Arial" w:cs="Arial" w:eastAsia="Arial" w:hAnsi="Arial"/>
          <w:sz w:val="18"/>
          <w:szCs w:val="18"/>
          <w:color w:val="auto"/>
        </w:rPr>
      </w:pPr>
    </w:p>
    <w:p>
      <w:pPr>
        <w:ind w:right="580" w:firstLine="899"/>
        <w:spacing w:after="0" w:line="277" w:lineRule="auto"/>
        <w:tabs>
          <w:tab w:leader="none" w:pos="134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5.4</w:t>
      </w:r>
      <w:r>
        <w:rPr>
          <w:rFonts w:ascii="Arial" w:cs="Arial" w:eastAsia="Arial" w:hAnsi="Arial"/>
          <w:sz w:val="18"/>
          <w:szCs w:val="18"/>
          <w:color w:val="auto"/>
        </w:rPr>
        <w:t>, no Lender or the Administrative Agent shall be required to deliver any documentation that it is not legally eligible to deliver.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ectPr>
          <w:pgSz w:w="11900" w:h="16838" w:orient="portrait"/>
          <w:cols w:equalWidth="0" w:num="1">
            <w:col w:w="11420"/>
          </w:cols>
          <w:pgMar w:left="240" w:top="814" w:right="239" w:bottom="1440" w:gutter="0" w:footer="0" w:header="0"/>
        </w:sectPr>
      </w:pPr>
    </w:p>
    <w:bookmarkStart w:id="182" w:name="page183"/>
    <w:bookmarkEnd w:id="182"/>
    <w:p>
      <w:pPr>
        <w:ind w:left="-20" w:firstLine="656"/>
        <w:spacing w:after="0" w:line="285" w:lineRule="auto"/>
        <w:tabs>
          <w:tab w:leader="none" w:pos="988"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If the Administrative Agent or any Lender determines, in its sole discretion exercised in good faith, that it has received a refund of any Indemnified Taxes or Other Taxes as to which it has been indemnified by any Credit Party or with respect to which any Credit Party has paid additional amounts pursuant to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the Administrative Agent or such Lender (as applicable) shall promptly pay to the Borrower an amount equal to such refund (but only to the extent of indemnity payments made, or additional amounts paid, by the Credit Parties under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with respect to the Indemnified Taxes or Other Taxes giving rise to such refund), net of all out-of-pocket expenses (including any Taxes) incurred by the Administrative Agent or such Lender, as the case may be,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Administrative Agent or such Lender, agrees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In such event, the Administrative Agent or such Lender, as the case may be, shall, at the Borrower’s request, provide the Borrower with a copy of any notice of assessment or other evidence of the requirement to repay such refund received from the relevant taxing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or such Lender may delete any information therein that it deems confidential). Notwithstanding anything to the contrary in this paragraph (f), in no event will the Administrative Agent or any Lender be required to pay any amount to an indemnifying party pursuant to this paragraph (f) the payment of which would place the Administrative Agent or any Lender in a less favorable net after-Tax position than the Administrative Agent or any Lender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the Administrative Agent or any Lender to make available its Tax returns (or any other information relating to its Taxes that it deems confidential) to any Credit Party or any other Person.</w:t>
      </w:r>
    </w:p>
    <w:p>
      <w:pPr>
        <w:spacing w:after="0" w:line="175" w:lineRule="exact"/>
        <w:rPr>
          <w:rFonts w:ascii="Arial" w:cs="Arial" w:eastAsia="Arial" w:hAnsi="Arial"/>
          <w:sz w:val="16"/>
          <w:szCs w:val="16"/>
          <w:color w:val="auto"/>
        </w:rPr>
      </w:pPr>
    </w:p>
    <w:p>
      <w:pPr>
        <w:ind w:left="-20" w:right="160" w:firstLine="656"/>
        <w:spacing w:after="0" w:line="277" w:lineRule="auto"/>
        <w:tabs>
          <w:tab w:leader="none" w:pos="101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For the avoidance of doubt, for purposes of this </w:t>
      </w:r>
      <w:r>
        <w:rPr>
          <w:rFonts w:ascii="Arial" w:cs="Arial" w:eastAsia="Arial" w:hAnsi="Arial"/>
          <w:sz w:val="18"/>
          <w:szCs w:val="18"/>
          <w:u w:val="single" w:color="auto"/>
          <w:color w:val="auto"/>
        </w:rPr>
        <w:t>Section 5.4</w:t>
      </w:r>
      <w:r>
        <w:rPr>
          <w:rFonts w:ascii="Arial" w:cs="Arial" w:eastAsia="Arial" w:hAnsi="Arial"/>
          <w:sz w:val="18"/>
          <w:szCs w:val="18"/>
          <w:color w:val="auto"/>
        </w:rPr>
        <w:t>, the term “Lender” includes any Letter of Credit Issuer and any Swingline Lender and the term “applicable law” includes FATCA.</w:t>
      </w:r>
    </w:p>
    <w:p>
      <w:pPr>
        <w:spacing w:after="0" w:line="170" w:lineRule="exact"/>
        <w:rPr>
          <w:rFonts w:ascii="Arial" w:cs="Arial" w:eastAsia="Arial" w:hAnsi="Arial"/>
          <w:sz w:val="18"/>
          <w:szCs w:val="18"/>
          <w:color w:val="auto"/>
        </w:rPr>
      </w:pPr>
    </w:p>
    <w:p>
      <w:pPr>
        <w:ind w:left="-20" w:right="40" w:firstLine="656"/>
        <w:spacing w:after="0" w:line="264" w:lineRule="auto"/>
        <w:tabs>
          <w:tab w:leader="none" w:pos="101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the Credit Documents.</w:t>
      </w:r>
    </w:p>
    <w:p>
      <w:pPr>
        <w:spacing w:after="0" w:line="181"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Computations of Interest and Fees</w:t>
      </w:r>
      <w:r>
        <w:rPr>
          <w:rFonts w:ascii="Arial" w:cs="Arial" w:eastAsia="Arial" w:hAnsi="Arial"/>
          <w:sz w:val="16"/>
          <w:szCs w:val="16"/>
          <w:color w:val="auto"/>
        </w:rPr>
        <w:t>.</w:t>
      </w:r>
    </w:p>
    <w:p>
      <w:pPr>
        <w:spacing w:after="0" w:line="225" w:lineRule="exact"/>
        <w:rPr>
          <w:sz w:val="20"/>
          <w:szCs w:val="20"/>
          <w:color w:val="auto"/>
        </w:rPr>
      </w:pPr>
    </w:p>
    <w:p>
      <w:pPr>
        <w:ind w:left="-20" w:right="200" w:firstLine="656"/>
        <w:spacing w:after="0" w:line="342" w:lineRule="auto"/>
        <w:tabs>
          <w:tab w:leader="none" w:pos="1008" w:val="left"/>
        </w:tabs>
        <w:numPr>
          <w:ilvl w:val="0"/>
          <w:numId w:val="140"/>
        </w:numPr>
        <w:rPr>
          <w:rFonts w:ascii="Arial" w:cs="Arial" w:eastAsia="Arial" w:hAnsi="Arial"/>
          <w:sz w:val="16"/>
          <w:szCs w:val="16"/>
          <w:color w:val="auto"/>
        </w:rPr>
      </w:pPr>
      <w:r>
        <w:rPr>
          <w:rFonts w:ascii="Arial" w:cs="Arial" w:eastAsia="Arial" w:hAnsi="Arial"/>
          <w:sz w:val="16"/>
          <w:szCs w:val="16"/>
          <w:color w:val="auto"/>
        </w:rPr>
        <w:t>Except as provided in the next succeeding sentence, interest on LIBOR Loans shall be calculated on the basis of a 360-day year for the actual days elapsed. Interest on ABR Loans shall be calculated on the basis of a 365- (or 366-, as the case may be) day year for the actual days elapsed.</w:t>
      </w:r>
    </w:p>
    <w:p>
      <w:pPr>
        <w:spacing w:after="0" w:line="123" w:lineRule="exact"/>
        <w:rPr>
          <w:rFonts w:ascii="Arial" w:cs="Arial" w:eastAsia="Arial" w:hAnsi="Arial"/>
          <w:sz w:val="16"/>
          <w:szCs w:val="16"/>
          <w:color w:val="auto"/>
        </w:rPr>
      </w:pPr>
    </w:p>
    <w:p>
      <w:pPr>
        <w:ind w:left="640" w:right="320" w:hanging="4"/>
        <w:spacing w:after="0" w:line="501" w:lineRule="auto"/>
        <w:tabs>
          <w:tab w:leader="none" w:pos="103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Fees and the average daily Stated Amount of Letters of Credit shall be calculated on the basis of a 360-day year for the actual days elapsed. 5.6 </w:t>
      </w:r>
      <w:r>
        <w:rPr>
          <w:rFonts w:ascii="Arial" w:cs="Arial" w:eastAsia="Arial" w:hAnsi="Arial"/>
          <w:sz w:val="18"/>
          <w:szCs w:val="18"/>
          <w:u w:val="single" w:color="auto"/>
          <w:color w:val="auto"/>
        </w:rPr>
        <w:t>Limit on Rate of Interest</w:t>
      </w:r>
      <w:r>
        <w:rPr>
          <w:rFonts w:ascii="Arial" w:cs="Arial" w:eastAsia="Arial" w:hAnsi="Arial"/>
          <w:sz w:val="18"/>
          <w:szCs w:val="18"/>
          <w:color w:val="auto"/>
        </w:rPr>
        <w:t>.</w:t>
      </w:r>
    </w:p>
    <w:p>
      <w:pPr>
        <w:ind w:left="-20" w:right="420" w:firstLine="656"/>
        <w:spacing w:after="0" w:line="264" w:lineRule="auto"/>
        <w:tabs>
          <w:tab w:leader="none" w:pos="1008"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No Payment Shall Exceed Lawful Rate</w:t>
      </w:r>
      <w:r>
        <w:rPr>
          <w:rFonts w:ascii="Arial" w:cs="Arial" w:eastAsia="Arial" w:hAnsi="Arial"/>
          <w:sz w:val="18"/>
          <w:szCs w:val="18"/>
          <w:color w:val="auto"/>
        </w:rPr>
        <w:t>. Notwithstanding any other term of this Agreement, the Borrower shall not be obliged to pay any interest or other amounts under or in connection with this Agreement or otherwise in respect of the Obligations in excess of the amount or rate permitted under or consistent with any applicable law, rule or regulation.</w:t>
      </w:r>
    </w:p>
    <w:p>
      <w:pPr>
        <w:spacing w:after="0" w:line="181" w:lineRule="exact"/>
        <w:rPr>
          <w:rFonts w:ascii="Arial" w:cs="Arial" w:eastAsia="Arial" w:hAnsi="Arial"/>
          <w:sz w:val="18"/>
          <w:szCs w:val="18"/>
          <w:color w:val="auto"/>
        </w:rPr>
      </w:pPr>
    </w:p>
    <w:p>
      <w:pPr>
        <w:ind w:left="-20" w:right="200" w:firstLine="656"/>
        <w:spacing w:after="0" w:line="342" w:lineRule="auto"/>
        <w:tabs>
          <w:tab w:leader="none" w:pos="1018"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Payment at Highest Lawful Rate</w:t>
      </w:r>
      <w:r>
        <w:rPr>
          <w:rFonts w:ascii="Arial" w:cs="Arial" w:eastAsia="Arial" w:hAnsi="Arial"/>
          <w:sz w:val="16"/>
          <w:szCs w:val="16"/>
          <w:color w:val="auto"/>
        </w:rPr>
        <w:t xml:space="preserve">. If the Borrower is not obliged to make a payment that it would otherwise be required to make, as a result of </w:t>
      </w:r>
      <w:r>
        <w:rPr>
          <w:rFonts w:ascii="Arial" w:cs="Arial" w:eastAsia="Arial" w:hAnsi="Arial"/>
          <w:sz w:val="16"/>
          <w:szCs w:val="16"/>
          <w:u w:val="single" w:color="auto"/>
          <w:color w:val="auto"/>
        </w:rPr>
        <w:t>Section 5.6(a)</w:t>
      </w:r>
      <w:r>
        <w:rPr>
          <w:rFonts w:ascii="Arial" w:cs="Arial" w:eastAsia="Arial" w:hAnsi="Arial"/>
          <w:sz w:val="16"/>
          <w:szCs w:val="16"/>
          <w:color w:val="auto"/>
        </w:rPr>
        <w:t>, the Borrower shall make such payment to the maximum extent permitted by or consistent with applicable laws, rules, and regulations.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ectPr>
          <w:pgSz w:w="11900" w:h="16838" w:orient="portrait"/>
          <w:cols w:equalWidth="0" w:num="1">
            <w:col w:w="11400"/>
          </w:cols>
          <w:pgMar w:left="260" w:top="814" w:right="239" w:bottom="1440" w:gutter="0" w:footer="0" w:header="0"/>
        </w:sectPr>
      </w:pPr>
    </w:p>
    <w:bookmarkStart w:id="183" w:name="page184"/>
    <w:bookmarkEnd w:id="183"/>
    <w:p>
      <w:pPr>
        <w:ind w:right="80" w:firstLine="656"/>
        <w:spacing w:after="0" w:line="290" w:lineRule="auto"/>
        <w:tabs>
          <w:tab w:leader="none" w:pos="1028"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Adjustment if Any Payment Exceeds Lawful Rate</w:t>
      </w:r>
      <w:r>
        <w:rPr>
          <w:rFonts w:ascii="Arial" w:cs="Arial" w:eastAsia="Arial" w:hAnsi="Arial"/>
          <w:sz w:val="16"/>
          <w:szCs w:val="16"/>
          <w:color w:val="auto"/>
        </w:rPr>
        <w:t xml:space="preserve">. If any provision of this Agreement or any of the other Credit Documents would obligate the Borrower to make any payment of interest or other amount payable to any Lender in an amount or calculated at a rate that would be prohibited by any applicable law, rule or regulation, then notwithstanding such provision, such amount or rate shall be deemed to have been adjusted with retroactive effect to the maximum amount or rate of interest, as the case may be, as would not be so prohibited by law, such adjustment to be effected, to the extent necessary, by reducing the amount or rate of interest required to be paid by the Borrower to the affected Lender under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lawful, the interest or other amounts that would have been payable but were not payable as a result of the operation of this Section shall be cumulated and the interest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Notwithstanding the foregoing, and after giving effect to all adjustments contemplated thereby, if any Lender shall have received from the Borrower an amount in excess of the maximum permitted by any applicable law, rule or regulation, then the Borrower shall be entitled, by notice in writing to the Administrative Agent to obtain reimbursement from that Lender in an amount equal to such excess, and pending such reimbursement, such amount shall be deemed to be an amount payable by that Lender to the Borrower.</w:t>
      </w:r>
    </w:p>
    <w:p>
      <w:pPr>
        <w:spacing w:after="0" w:line="214"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color w:val="auto"/>
        </w:rPr>
        <w:t>Conditions Precedent to Initial Borrowing</w:t>
      </w:r>
    </w:p>
    <w:p>
      <w:pPr>
        <w:spacing w:after="0" w:line="23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obligation of any Lender to make any Loan hereunder on the Restatement Effective Date is subject to the satisfaction of the following conditions precedent, except as otherwise agreed between the Borrower and the Administrative Agent.</w:t>
      </w:r>
    </w:p>
    <w:p>
      <w:pPr>
        <w:spacing w:after="0" w:line="17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Credit Documents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The Administrative Agent (or its counsel) shall have received the Restatement Agreement, executed and delivered by the Former Agent, each Lender listed on </w:t>
      </w:r>
      <w:r>
        <w:rPr>
          <w:rFonts w:ascii="Arial" w:cs="Arial" w:eastAsia="Arial" w:hAnsi="Arial"/>
          <w:sz w:val="18"/>
          <w:szCs w:val="18"/>
          <w:u w:val="single" w:color="auto"/>
          <w:color w:val="auto"/>
        </w:rPr>
        <w:t>Schedule 1.1(b)</w:t>
      </w:r>
      <w:r>
        <w:rPr>
          <w:rFonts w:ascii="Arial" w:cs="Arial" w:eastAsia="Arial" w:hAnsi="Arial"/>
          <w:sz w:val="18"/>
          <w:szCs w:val="18"/>
          <w:color w:val="auto"/>
        </w:rPr>
        <w:t>, each Letter of Credit Issuer, Holdings, the Borrower and each Guarantor.</w:t>
      </w:r>
    </w:p>
    <w:p>
      <w:pPr>
        <w:spacing w:after="0" w:line="17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Collateral</w:t>
      </w:r>
      <w:r>
        <w:rPr>
          <w:rFonts w:ascii="Arial" w:cs="Arial" w:eastAsia="Arial" w:hAnsi="Arial"/>
          <w:sz w:val="16"/>
          <w:szCs w:val="16"/>
          <w:color w:val="auto"/>
        </w:rPr>
        <w:t>. Except for any items referred to on</w:t>
      </w:r>
      <w:r>
        <w:rPr>
          <w:rFonts w:ascii="Arial" w:cs="Arial" w:eastAsia="Arial" w:hAnsi="Arial"/>
          <w:sz w:val="16"/>
          <w:szCs w:val="16"/>
          <w:u w:val="single" w:color="auto"/>
          <w:color w:val="auto"/>
        </w:rPr>
        <w:t xml:space="preserve"> Schedule 9.14</w:t>
      </w:r>
      <w:r>
        <w:rPr>
          <w:rFonts w:ascii="Arial" w:cs="Arial" w:eastAsia="Arial" w:hAnsi="Arial"/>
          <w:sz w:val="16"/>
          <w:szCs w:val="16"/>
          <w:color w:val="auto"/>
        </w:rPr>
        <w:t>:</w:t>
      </w:r>
    </w:p>
    <w:p>
      <w:pPr>
        <w:spacing w:after="0" w:line="225" w:lineRule="exact"/>
        <w:rPr>
          <w:sz w:val="20"/>
          <w:szCs w:val="20"/>
          <w:color w:val="auto"/>
        </w:rPr>
      </w:pPr>
    </w:p>
    <w:p>
      <w:pPr>
        <w:ind w:left="1680" w:hanging="375"/>
        <w:spacing w:after="0"/>
        <w:tabs>
          <w:tab w:leader="none" w:pos="16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Collateral Agent shall have received updated schedules to the Security Agreement;</w:t>
      </w:r>
    </w:p>
    <w:p>
      <w:pPr>
        <w:spacing w:after="0" w:line="225" w:lineRule="exact"/>
        <w:rPr>
          <w:rFonts w:ascii="Arial" w:cs="Arial" w:eastAsia="Arial" w:hAnsi="Arial"/>
          <w:sz w:val="18"/>
          <w:szCs w:val="18"/>
          <w:color w:val="auto"/>
        </w:rPr>
      </w:pPr>
    </w:p>
    <w:p>
      <w:pPr>
        <w:ind w:left="660" w:right="480" w:firstLine="645"/>
        <w:spacing w:after="0" w:line="342" w:lineRule="auto"/>
        <w:tabs>
          <w:tab w:leader="none" w:pos="168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All outstanding equity interests in whatever form of the Borrower and each Restricted Subsidiary that is directly owned by or on behalf of any Credit Party and required to be pledged pursuant to the Security Documents shall have been pledged pursuant thereto;</w:t>
      </w:r>
    </w:p>
    <w:p>
      <w:pPr>
        <w:spacing w:after="0" w:line="123" w:lineRule="exact"/>
        <w:rPr>
          <w:rFonts w:ascii="Arial" w:cs="Arial" w:eastAsia="Arial" w:hAnsi="Arial"/>
          <w:sz w:val="16"/>
          <w:szCs w:val="16"/>
          <w:color w:val="auto"/>
        </w:rPr>
      </w:pPr>
    </w:p>
    <w:p>
      <w:pPr>
        <w:ind w:left="660" w:firstLine="645"/>
        <w:spacing w:after="0" w:line="259" w:lineRule="auto"/>
        <w:tabs>
          <w:tab w:leader="none" w:pos="168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Collateral Agent shall have received the certificates representing securities of the Borrower and of each Credit Party’s Wholly-Owned Restricted Subsidiaries that are Domestic Subsidiaries to the extent required to be delivered under the Security Documents and pledged under the Security Documents to the extent certificated, accompanied by instruments of transfer and undated stock powers or allonges endorsed in blank; and</w:t>
      </w:r>
    </w:p>
    <w:p>
      <w:pPr>
        <w:spacing w:after="0" w:line="186" w:lineRule="exact"/>
        <w:rPr>
          <w:rFonts w:ascii="Arial" w:cs="Arial" w:eastAsia="Arial" w:hAnsi="Arial"/>
          <w:sz w:val="18"/>
          <w:szCs w:val="18"/>
          <w:color w:val="auto"/>
        </w:rPr>
      </w:pPr>
    </w:p>
    <w:p>
      <w:pPr>
        <w:ind w:left="660" w:right="20" w:firstLine="645"/>
        <w:spacing w:after="0" w:line="264" w:lineRule="auto"/>
        <w:tabs>
          <w:tab w:leader="none" w:pos="168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All Uniform Commercial Code financing statements (and amendments thereto) required to be filed, registered or recorded to create the Liens intended to be created by any Security Document and perfect such Liens to the extent required by such Security Document shall have been delivered to the Collateral Agent, and shall be in proper form, for filing, registration or recording.</w:t>
      </w:r>
    </w:p>
    <w:p>
      <w:pPr>
        <w:spacing w:after="0" w:line="181"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Legal Opinions</w:t>
      </w:r>
      <w:r>
        <w:rPr>
          <w:rFonts w:ascii="Arial" w:cs="Arial" w:eastAsia="Arial" w:hAnsi="Arial"/>
          <w:sz w:val="16"/>
          <w:szCs w:val="16"/>
          <w:color w:val="auto"/>
        </w:rPr>
        <w:t>. The Administrative Agent (or its counsel) shall have received the executed legal opinion, in customary form, of (i) Simpson Thacher &amp; Bartlett LLP, special New York counsel to the Credit Parties and (ii) Kilpatrick Townsend &amp; Stockton LLP, special Georgia counsel to the Credit Parties. Holdings and the Borrower hereby instruct and agree to instruct the other Credit Parties to have such counsel deliver such legal opinions.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-104-</w:t>
      </w:r>
    </w:p>
    <w:p>
      <w:pPr>
        <w:sectPr>
          <w:pgSz w:w="11900" w:h="16838" w:orient="portrait"/>
          <w:cols w:equalWidth="0" w:num="1">
            <w:col w:w="11420"/>
          </w:cols>
          <w:pgMar w:left="240" w:top="814" w:right="239" w:bottom="1440" w:gutter="0" w:footer="0" w:header="0"/>
        </w:sectPr>
      </w:pPr>
    </w:p>
    <w:bookmarkStart w:id="184" w:name="page185"/>
    <w:bookmarkEnd w:id="184"/>
    <w:p>
      <w:pPr>
        <w:ind w:firstLine="648"/>
        <w:spacing w:after="0" w:line="25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Closing Certificates</w:t>
      </w:r>
      <w:r>
        <w:rPr>
          <w:rFonts w:ascii="Arial" w:cs="Arial" w:eastAsia="Arial" w:hAnsi="Arial"/>
          <w:sz w:val="18"/>
          <w:szCs w:val="18"/>
          <w:color w:val="auto"/>
        </w:rPr>
        <w:t xml:space="preserve">. The Administrative Agent (or its counsel) shall have received a certificate of (x) each of Holdings and the Borrower, dated the Restatement Effective Date,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with appropriate insertions, executed by any Authorized Officer (or in the case of Holdings any Director or authorized agent of Holdings) and the Secretary or any Assistant Secretary of Holdings or the Borrower (or in the case of Holdings any Director or authorized agent of Holdings), as applicable, and attaching the documents referred to in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and (y) an Authorized Officer certifying compliance with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6.10</w:t>
      </w:r>
      <w:r>
        <w:rPr>
          <w:rFonts w:ascii="Arial" w:cs="Arial" w:eastAsia="Arial" w:hAnsi="Arial"/>
          <w:sz w:val="18"/>
          <w:szCs w:val="18"/>
          <w:color w:val="auto"/>
        </w:rPr>
        <w:t>.</w:t>
      </w:r>
    </w:p>
    <w:p>
      <w:pPr>
        <w:spacing w:after="0" w:line="18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Authorization of Proceedings of the Credit Parties; Corporate Documents</w:t>
      </w:r>
      <w:r>
        <w:rPr>
          <w:rFonts w:ascii="Arial" w:cs="Arial" w:eastAsia="Arial" w:hAnsi="Arial"/>
          <w:sz w:val="17"/>
          <w:szCs w:val="17"/>
          <w:color w:val="auto"/>
        </w:rPr>
        <w:t>. The Administrative Agent shall have received (i) a copy of the resolutions of the board of directors or other managers of each Credit Party (or a duly authorized committee thereof) authorizing (a) the execution, delivery, and performance of the Credit Documents (and any agreements relating thereto) to which it is a party and (b) in the case of the Borrower, the extensions of credit contemplated hereunder, (ii) the Certificate of Incorporation and By-Laws, Certificate of Formation and Operating Agreement or other comparable organizational documents, as applicable, of each Credit Party, and (iii) signature and incumbency certificates (or other comparable documents evidencing the same) of the Authorized Officers of each Credit Party executing the Credit Documents to which it is a party.</w:t>
      </w:r>
    </w:p>
    <w:p>
      <w:pPr>
        <w:spacing w:after="0" w:line="17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Fees</w:t>
      </w:r>
      <w:r>
        <w:rPr>
          <w:rFonts w:ascii="Arial" w:cs="Arial" w:eastAsia="Arial" w:hAnsi="Arial"/>
          <w:sz w:val="18"/>
          <w:szCs w:val="18"/>
          <w:color w:val="auto"/>
        </w:rPr>
        <w:t>. The Agents and Lenders shall have received, substantially simultaneously with the funding of the Term A Loans, fees and, to the extent invoiced at least three business days prior to the Restatement Effective Date (except as otherwise reasonably agreed by the Borrower) expenses in the amounts previously agreed in writing to be received on the Restatement Effective Date (which amounts may, at the Borrower’s option, be offset against the proceeds of the Term A Loans).</w:t>
      </w:r>
    </w:p>
    <w:p>
      <w:pPr>
        <w:spacing w:after="0" w:line="18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u w:val="single" w:color="auto"/>
          <w:color w:val="auto"/>
        </w:rPr>
        <w:t>Representations and Warranties; No Default</w:t>
      </w:r>
      <w:r>
        <w:rPr>
          <w:rFonts w:ascii="Arial" w:cs="Arial" w:eastAsia="Arial" w:hAnsi="Arial"/>
          <w:sz w:val="16"/>
          <w:szCs w:val="16"/>
          <w:color w:val="auto"/>
        </w:rPr>
        <w:t>. On the Restatement Effective Date, the condition set forth in Section 7.1 shall be satisfied.</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Solvency Certificate</w:t>
      </w:r>
      <w:r>
        <w:rPr>
          <w:rFonts w:ascii="Arial" w:cs="Arial" w:eastAsia="Arial" w:hAnsi="Arial"/>
          <w:sz w:val="18"/>
          <w:szCs w:val="18"/>
          <w:color w:val="auto"/>
        </w:rPr>
        <w:t>. On the Restatement Effective Date, the Administrative Agent shall have received a certificate from the Chief Executive Officer, President, the Chief Financial Officer, the Treasurer, the Vice President-Finance, a Director, a Manager, or any other senior financial officer of Holdings to the effect that after giving effect to the consummation of the Transactions, Holdings on a consolidated basis with the Restricted Subsidiaries is Solvent.</w:t>
      </w:r>
    </w:p>
    <w:p>
      <w:pPr>
        <w:spacing w:after="0" w:line="18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7"/>
          <w:szCs w:val="17"/>
          <w:u w:val="single" w:color="auto"/>
          <w:color w:val="auto"/>
        </w:rPr>
        <w:t>KYC Information</w:t>
      </w:r>
      <w:r>
        <w:rPr>
          <w:rFonts w:ascii="Arial" w:cs="Arial" w:eastAsia="Arial" w:hAnsi="Arial"/>
          <w:sz w:val="17"/>
          <w:szCs w:val="17"/>
          <w:color w:val="auto"/>
        </w:rPr>
        <w:t>.</w:t>
      </w:r>
    </w:p>
    <w:p>
      <w:pPr>
        <w:spacing w:after="0" w:line="225" w:lineRule="exact"/>
        <w:rPr>
          <w:sz w:val="20"/>
          <w:szCs w:val="20"/>
          <w:color w:val="auto"/>
        </w:rPr>
      </w:pPr>
    </w:p>
    <w:p>
      <w:pPr>
        <w:ind w:right="40" w:firstLine="656"/>
        <w:spacing w:after="0" w:line="286" w:lineRule="auto"/>
        <w:tabs>
          <w:tab w:leader="none" w:pos="1028" w:val="left"/>
        </w:tabs>
        <w:numPr>
          <w:ilvl w:val="0"/>
          <w:numId w:val="144"/>
        </w:numPr>
        <w:rPr>
          <w:rFonts w:ascii="Arial" w:cs="Arial" w:eastAsia="Arial" w:hAnsi="Arial"/>
          <w:sz w:val="17"/>
          <w:szCs w:val="17"/>
          <w:color w:val="auto"/>
        </w:rPr>
      </w:pPr>
      <w:r>
        <w:rPr>
          <w:rFonts w:ascii="Arial" w:cs="Arial" w:eastAsia="Arial" w:hAnsi="Arial"/>
          <w:sz w:val="17"/>
          <w:szCs w:val="17"/>
          <w:color w:val="auto"/>
        </w:rPr>
        <w:t>Upon the reasonable request of any Lender made at least ten days prior to the Restatement Effective Date, the Borrower shall have provided to such Lender the documentation and other information so requested in connection with applicable “know your customer” and anti-money-laundering rules and regulations, including the PATRIOT Act, in each case at least three days prior to the Restatement Effective Date.</w:t>
      </w:r>
    </w:p>
    <w:p>
      <w:pPr>
        <w:spacing w:after="0" w:line="165" w:lineRule="exact"/>
        <w:rPr>
          <w:rFonts w:ascii="Arial" w:cs="Arial" w:eastAsia="Arial" w:hAnsi="Arial"/>
          <w:sz w:val="17"/>
          <w:szCs w:val="17"/>
          <w:color w:val="auto"/>
        </w:rPr>
      </w:pPr>
    </w:p>
    <w:p>
      <w:pPr>
        <w:ind w:right="780" w:firstLine="656"/>
        <w:spacing w:after="0" w:line="277" w:lineRule="auto"/>
        <w:tabs>
          <w:tab w:leader="none" w:pos="102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At least three days prior to the Restatement Effective Date, if the Borrower qualifies as a “legal entity customer” under the Beneficial Ownership Regulation, the Borrower shall deliver a Beneficial Ownership Certification in relation to the Borrower.</w:t>
      </w:r>
    </w:p>
    <w:p>
      <w:pPr>
        <w:spacing w:after="0" w:line="17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6"/>
          <w:szCs w:val="16"/>
          <w:u w:val="single" w:color="auto"/>
          <w:color w:val="auto"/>
        </w:rPr>
        <w:t>Refinancing</w:t>
      </w:r>
      <w:r>
        <w:rPr>
          <w:rFonts w:ascii="Arial" w:cs="Arial" w:eastAsia="Arial" w:hAnsi="Arial"/>
          <w:sz w:val="16"/>
          <w:szCs w:val="16"/>
          <w:color w:val="auto"/>
        </w:rPr>
        <w:t>. Substantially simultaneously with the funding of the Term A Loans, the Restatement Date Refinancing shall be consummated.</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Notice of Term Loan Borrowing</w:t>
      </w:r>
      <w:r>
        <w:rPr>
          <w:rFonts w:ascii="Arial" w:cs="Arial" w:eastAsia="Arial" w:hAnsi="Arial"/>
          <w:sz w:val="18"/>
          <w:szCs w:val="18"/>
          <w:color w:val="auto"/>
        </w:rPr>
        <w:t xml:space="preserve">. The Administrative Agent (or its counsel) shall have received a Notice of Borrowing with respect to the Term A Loan meeting the requirements of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70"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 xml:space="preserve">For purposes of determining compliance with the conditions specified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on the Restatement Effective Date, each Lender that has signed the Restatement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Restatement Effective Date specifying its objection thereto.</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-105-</w:t>
      </w:r>
    </w:p>
    <w:p>
      <w:pPr>
        <w:sectPr>
          <w:pgSz w:w="11900" w:h="16838" w:orient="portrait"/>
          <w:cols w:equalWidth="0" w:num="1">
            <w:col w:w="11420"/>
          </w:cols>
          <w:pgMar w:left="240" w:top="814" w:right="239" w:bottom="1440" w:gutter="0" w:footer="0" w:header="0"/>
        </w:sectPr>
      </w:pPr>
    </w:p>
    <w:bookmarkStart w:id="185" w:name="page186"/>
    <w:bookmarkEnd w:id="185"/>
    <w:p>
      <w:pPr>
        <w:spacing w:after="0"/>
        <w:tabs>
          <w:tab w:leader="none" w:pos="196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color w:val="auto"/>
        </w:rPr>
        <w:t>Conditions Precedent to All Credit Events on and after the Restatement Effective Date</w:t>
      </w:r>
    </w:p>
    <w:p>
      <w:pPr>
        <w:spacing w:after="0" w:line="239"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the agreement of each Lender to make any Loan requested to be made by it on any date (excluding (i) Mandatory Borrowings and Revolving Credit Loans required to be made by the Revolving Credit Lenders in respect of Unpaid Drawings pursuant to </w:t>
      </w:r>
      <w:r>
        <w:rPr>
          <w:rFonts w:ascii="Arial" w:cs="Arial" w:eastAsia="Arial" w:hAnsi="Arial"/>
          <w:sz w:val="16"/>
          <w:szCs w:val="16"/>
          <w:u w:val="single" w:color="auto"/>
          <w:color w:val="auto"/>
        </w:rPr>
        <w:t>Sections 3.3</w:t>
      </w:r>
      <w:r>
        <w:rPr>
          <w:rFonts w:ascii="Arial" w:cs="Arial" w:eastAsia="Arial" w:hAnsi="Arial"/>
          <w:sz w:val="16"/>
          <w:szCs w:val="16"/>
          <w:color w:val="auto"/>
        </w:rPr>
        <w:t xml:space="preserve"> and</w:t>
      </w:r>
    </w:p>
    <w:p>
      <w:pPr>
        <w:ind w:right="60"/>
        <w:spacing w:after="0" w:line="261" w:lineRule="auto"/>
        <w:rPr>
          <w:sz w:val="20"/>
          <w:szCs w:val="20"/>
          <w:color w:val="auto"/>
        </w:rPr>
      </w:pPr>
      <w:r>
        <w:rPr>
          <w:rFonts w:ascii="Arial" w:cs="Arial" w:eastAsia="Arial" w:hAnsi="Arial"/>
          <w:sz w:val="18"/>
          <w:szCs w:val="18"/>
          <w:u w:val="single" w:color="auto"/>
          <w:color w:val="auto"/>
        </w:rPr>
        <w:t>3.4</w:t>
      </w:r>
      <w:r>
        <w:rPr>
          <w:rFonts w:ascii="Arial" w:cs="Arial" w:eastAsia="Arial" w:hAnsi="Arial"/>
          <w:sz w:val="18"/>
          <w:szCs w:val="18"/>
          <w:color w:val="auto"/>
        </w:rPr>
        <w:t xml:space="preserve"> and (ii) borrowings under </w:t>
      </w:r>
      <w:r>
        <w:rPr>
          <w:rFonts w:ascii="Arial" w:cs="Arial" w:eastAsia="Arial" w:hAnsi="Arial"/>
          <w:sz w:val="18"/>
          <w:szCs w:val="18"/>
          <w:u w:val="single" w:color="auto"/>
          <w:color w:val="auto"/>
        </w:rPr>
        <w:t>Sections 2.14</w:t>
      </w:r>
      <w:r>
        <w:rPr>
          <w:rFonts w:ascii="Arial" w:cs="Arial" w:eastAsia="Arial" w:hAnsi="Arial"/>
          <w:sz w:val="18"/>
          <w:szCs w:val="18"/>
          <w:color w:val="auto"/>
        </w:rPr>
        <w:t>) and the obligation of the Letter of Credit Issuer to issue Letters of Credit on any date on or after the Restatement Effective Date is subject to the satisfaction (or waiver) of the following conditions precedent:</w:t>
      </w:r>
    </w:p>
    <w:p>
      <w:pPr>
        <w:spacing w:after="0" w:line="184"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Default; Representations and Warranties</w:t>
      </w:r>
      <w:r>
        <w:rPr>
          <w:rFonts w:ascii="Arial" w:cs="Arial" w:eastAsia="Arial" w:hAnsi="Arial"/>
          <w:sz w:val="17"/>
          <w:szCs w:val="17"/>
          <w:color w:val="auto"/>
        </w:rPr>
        <w:t xml:space="preserve">. At the time of each Credit Event and also after giving effect thereto (other than any Credit Event pursuant to any Loan made pursuant to </w:t>
      </w:r>
      <w:r>
        <w:rPr>
          <w:rFonts w:ascii="Arial" w:cs="Arial" w:eastAsia="Arial" w:hAnsi="Arial"/>
          <w:sz w:val="17"/>
          <w:szCs w:val="17"/>
          <w:u w:val="single" w:color="auto"/>
          <w:color w:val="auto"/>
        </w:rPr>
        <w:t>Section 2.14(a)</w:t>
      </w:r>
      <w:r>
        <w:rPr>
          <w:rFonts w:ascii="Arial" w:cs="Arial" w:eastAsia="Arial" w:hAnsi="Arial"/>
          <w:sz w:val="17"/>
          <w:szCs w:val="17"/>
          <w:color w:val="auto"/>
        </w:rPr>
        <w:t xml:space="preserve"> (which shall be subject to the terms of </w:t>
      </w:r>
      <w:r>
        <w:rPr>
          <w:rFonts w:ascii="Arial" w:cs="Arial" w:eastAsia="Arial" w:hAnsi="Arial"/>
          <w:sz w:val="17"/>
          <w:szCs w:val="17"/>
          <w:u w:val="single" w:color="auto"/>
          <w:color w:val="auto"/>
        </w:rPr>
        <w:t>Section 2.14(a)</w:t>
      </w:r>
      <w:r>
        <w:rPr>
          <w:rFonts w:ascii="Arial" w:cs="Arial" w:eastAsia="Arial" w:hAnsi="Arial"/>
          <w:sz w:val="17"/>
          <w:szCs w:val="17"/>
          <w:color w:val="auto"/>
        </w:rPr>
        <w:t xml:space="preserve">) (a) no Default or Event of Default shall have occurred and be continuing and (b) all representations and warranties made by any Credit Party contained herein or in the other Credit Documents shall be true and correct in all material respects (provided that any such representations and warranties which are qualified by materiality, material adverse effect or similar language shall be true and correct in all respects) with the same effect as though such representations and warranties had been made on and as of the date of such Credit Event (except where such representations and warranties expressly relate to an earlier date, in which case such representations and warranties shall have been true and correct in all material respects (provided that any such representations and warranties which are qualified by materiality, material adverse effect or similar language shall be true and correct in all respects) as of such earlier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solely with respect to any Credit event pursuant to any Incremental Term Loan made pursuant to Section 2.14(a), in connection with a Permitted Acquisition or other Investment permitted hereunder, all representations and warranties shall be subject to customary Sungard and “funds certain” provisions as reasonably agreed by the Borrower and the Administrative Agent.</w:t>
      </w:r>
    </w:p>
    <w:p>
      <w:pPr>
        <w:spacing w:after="0" w:line="183"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Notice of Borrowing; Letter of Credit Request</w:t>
      </w:r>
      <w:r>
        <w:rPr>
          <w:rFonts w:ascii="Arial" w:cs="Arial" w:eastAsia="Arial" w:hAnsi="Arial"/>
          <w:sz w:val="16"/>
          <w:szCs w:val="16"/>
          <w:color w:val="auto"/>
        </w:rPr>
        <w:t>.</w:t>
      </w:r>
    </w:p>
    <w:p>
      <w:pPr>
        <w:spacing w:after="0" w:line="225" w:lineRule="exact"/>
        <w:rPr>
          <w:sz w:val="20"/>
          <w:szCs w:val="20"/>
          <w:color w:val="auto"/>
        </w:rPr>
      </w:pPr>
    </w:p>
    <w:p>
      <w:pPr>
        <w:ind w:right="720" w:firstLine="656"/>
        <w:spacing w:after="0" w:line="277" w:lineRule="auto"/>
        <w:tabs>
          <w:tab w:leader="none" w:pos="102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Prior to the making of each Term Loan after the Restatement Effective Date, the Administrative Agent shall have received a Notice of Borrowing meeting the requirements of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656"/>
        <w:spacing w:after="0" w:line="277" w:lineRule="auto"/>
        <w:tabs>
          <w:tab w:leader="none" w:pos="103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Prior to the making of each Revolving Credit Loan (other than any Revolving Credit Loan made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and each Swingline Loan, the Administrative Agent shall have received a Notice of Borrowing meeting the requirements of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320" w:firstLine="656"/>
        <w:spacing w:after="0" w:line="277" w:lineRule="auto"/>
        <w:tabs>
          <w:tab w:leader="none" w:pos="102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Prior to the issuance of each Letter of Credit, the Administrative Agent and the Letter of Credit Issuer shall have received a Letter of Credit Request meeting the requirements of </w:t>
      </w:r>
      <w:r>
        <w:rPr>
          <w:rFonts w:ascii="Arial" w:cs="Arial" w:eastAsia="Arial" w:hAnsi="Arial"/>
          <w:sz w:val="18"/>
          <w:szCs w:val="18"/>
          <w:u w:val="single" w:color="auto"/>
          <w:color w:val="auto"/>
        </w:rPr>
        <w:t>Section 3.2(a)</w:t>
      </w:r>
      <w:r>
        <w:rPr>
          <w:rFonts w:ascii="Arial" w:cs="Arial" w:eastAsia="Arial" w:hAnsi="Arial"/>
          <w:sz w:val="18"/>
          <w:szCs w:val="18"/>
          <w:color w:val="auto"/>
        </w:rPr>
        <w:t>.</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The acceptance of the benefits of each Credit Event shall constitute a representation and warranty by each Credit Party to each of the Lenders that all the applicable conditions specified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above have been satisfied as of that time.</w:t>
      </w:r>
    </w:p>
    <w:p>
      <w:pPr>
        <w:spacing w:after="0" w:line="19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5"/>
          <w:szCs w:val="15"/>
          <w:color w:val="auto"/>
        </w:rPr>
        <w:t>Representations and Warranties</w:t>
      </w:r>
    </w:p>
    <w:p>
      <w:pPr>
        <w:spacing w:after="0" w:line="23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In order to induce the Lenders to enter into this Agreement, to make the Loans and issue or participate in Letters of Credit as provided for herein, Holdings and the Borrower make the following representations and warranties to the Lenders, all of which shall survive the execution and delivery of this Agreement and the making of the Loans and the issuance of the Letters of Credit (it being understood that the following representations and warranties shall be deemed made with respect to any Foreign Subsidiary only to the extent relevant under applicable law):</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-106-</w:t>
      </w:r>
    </w:p>
    <w:p>
      <w:pPr>
        <w:sectPr>
          <w:pgSz w:w="11900" w:h="16838" w:orient="portrait"/>
          <w:cols w:equalWidth="0" w:num="1">
            <w:col w:w="11400"/>
          </w:cols>
          <w:pgMar w:left="240" w:top="841" w:right="259" w:bottom="1440" w:gutter="0" w:footer="0" w:header="0"/>
        </w:sectPr>
      </w:pPr>
    </w:p>
    <w:bookmarkStart w:id="186" w:name="page187"/>
    <w:bookmarkEnd w:id="186"/>
    <w:p>
      <w:pPr>
        <w:ind w:firstLine="648"/>
        <w:spacing w:after="0" w:line="25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Corporate Status</w:t>
      </w:r>
      <w:r>
        <w:rPr>
          <w:rFonts w:ascii="Arial" w:cs="Arial" w:eastAsia="Arial" w:hAnsi="Arial"/>
          <w:sz w:val="18"/>
          <w:szCs w:val="18"/>
          <w:color w:val="auto"/>
        </w:rPr>
        <w:t>. Each Credit Party (a) is a duly organized and validly existing corporation, limited liability company or other entity in good standing (if applicable) under the laws of the jurisdiction of its organization and has the corporate, limited liability company or other organizational power and authority to own its property and assets and to transact the business in which it is engaged and (b) has duly qualified and is authorized to do business and is in good standing (if applicable) in all jurisdictions where it is required to be so qualified, except where the failure to be so qualified would not reasonably be expected to result in a Material Adverse Effect.</w:t>
      </w:r>
    </w:p>
    <w:p>
      <w:pPr>
        <w:spacing w:after="0" w:line="18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Corporate Power and Authority</w:t>
      </w:r>
      <w:r>
        <w:rPr>
          <w:rFonts w:ascii="Arial" w:cs="Arial" w:eastAsia="Arial" w:hAnsi="Arial"/>
          <w:sz w:val="17"/>
          <w:szCs w:val="17"/>
          <w:color w:val="auto"/>
        </w:rPr>
        <w:t>. Each Credit Party has the corporate or other organizational power and authority to execute, deliver and carry out the terms and provisions of the Credit Documents to which it is a party and has taken all necessary corporate or other organizational action to authorize the execution, delivery and performance of the Credit Documents to which it is a party. Each Credit Party has duly executed and delivered each Credit Document to which it is a party and each such Credit Document constitutes the legal, valid, and binding obligation of such Credit Party enforceable in accordance with its terms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the creation and perfection of security interests with respect to Indebtedness, Capital Stock and Stock Equivalents of Foreign Subsidiaries, only to the extent enforceability of such obligation with respect to which Capital Stock and Stock Equivalents of Foreign Subsidiaries is governed by the Uniform Commercial Code), except as the enforceability thereof may be limited by bankruptcy, insolvency or similar laws affecting creditors’ rights generally and subject to general principles of equity.</w:t>
      </w:r>
    </w:p>
    <w:p>
      <w:pPr>
        <w:spacing w:after="0" w:line="1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No Violation</w:t>
      </w:r>
      <w:r>
        <w:rPr>
          <w:rFonts w:ascii="Arial" w:cs="Arial" w:eastAsia="Arial" w:hAnsi="Arial"/>
          <w:sz w:val="17"/>
          <w:szCs w:val="17"/>
          <w:color w:val="auto"/>
        </w:rPr>
        <w:t>. Neither the execution, delivery or performance by any Credit Party of the Credit Documents to which it is a party nor compliance with the terms and provisions thereof and the other transactions contemplated hereby or thereby will (a) contravene any applicable provision of any material law, statute, rule, regulation, order, writ, injunction or decree of any court or governmental instrumentality,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or Permitted Liens) pursuant to, the terms of any material indenture, loan agreement, lease agreement, mortgage, deed of trust, agreement or other material instrument to which such Credit Party or any of the Restricted Subsidiaries is a party or by which it or any of its property or assets is bound (any such term, covenant, condition or provision, a “</w:t>
      </w:r>
      <w:r>
        <w:rPr>
          <w:rFonts w:ascii="Arial" w:cs="Arial" w:eastAsia="Arial" w:hAnsi="Arial"/>
          <w:sz w:val="17"/>
          <w:szCs w:val="17"/>
          <w:b w:val="1"/>
          <w:bCs w:val="1"/>
          <w:color w:val="auto"/>
        </w:rPr>
        <w:t>Contractual Requirement</w:t>
      </w:r>
      <w:r>
        <w:rPr>
          <w:rFonts w:ascii="Arial" w:cs="Arial" w:eastAsia="Arial" w:hAnsi="Arial"/>
          <w:sz w:val="17"/>
          <w:szCs w:val="17"/>
          <w:color w:val="auto"/>
        </w:rPr>
        <w:t>”) other than any such breach, default or Lien that would not reasonably be expected to result in a Material Adverse Effect or (c) violate any provision of the certificate of incorporation, by-laws, articles or other organizational documents of such Credit Party or any of the Restricted Subsidiaries.</w:t>
      </w:r>
    </w:p>
    <w:p>
      <w:pPr>
        <w:spacing w:after="0" w:line="178"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Litigation</w:t>
      </w:r>
      <w:r>
        <w:rPr>
          <w:rFonts w:ascii="Arial" w:cs="Arial" w:eastAsia="Arial" w:hAnsi="Arial"/>
          <w:sz w:val="17"/>
          <w:szCs w:val="17"/>
          <w:color w:val="auto"/>
        </w:rPr>
        <w:t>. There are no actions, suits or proceedings pending or, to the knowledge of Holdings or the Borrower, threatened in writing against Holdings, the Borrower or any of the Restricted Subsidiaries that would reasonably be expected to result in a Material Adverse Effect.</w:t>
      </w:r>
    </w:p>
    <w:p>
      <w:pPr>
        <w:spacing w:after="0" w:line="14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Margin Regulations</w:t>
      </w:r>
      <w:r>
        <w:rPr>
          <w:rFonts w:ascii="Arial" w:cs="Arial" w:eastAsia="Arial" w:hAnsi="Arial"/>
          <w:sz w:val="18"/>
          <w:szCs w:val="18"/>
          <w:color w:val="auto"/>
        </w:rPr>
        <w:t>. Neither the making of any Loan hereunder nor the use of the proceeds thereof will violate the provisions of Regulation T, U or X of the Board.</w:t>
      </w:r>
    </w:p>
    <w:p>
      <w:pPr>
        <w:spacing w:after="0" w:line="170"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The execution, delivery and performance of each Credit Document does not require any consent or approval of, registration or filing with, or other action by, any Governmental Authority, except for (i) such as have been obtained or made and are in full force and effect,</w:t>
      </w:r>
    </w:p>
    <w:p>
      <w:pPr>
        <w:ind w:firstLine="8"/>
        <w:spacing w:after="0" w:line="255" w:lineRule="auto"/>
        <w:tabs>
          <w:tab w:leader="none" w:pos="26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filings, consents, approvals, registrations and recordings in respect of the Liens created pursuant to the Security Documents (and to release existing Liens), and (iii) such licenses, approvals, authorizations, registrations, filings or consents the failure of which to obtain or make would not reasonably be expected to result in a Material Adverse Effect.</w:t>
      </w:r>
    </w:p>
    <w:p>
      <w:pPr>
        <w:spacing w:after="0" w:line="19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None of Holdings, the Borrower, or any other Restricted Subsidiary is an “investment company” within the meaning of the Investment Company Act of 1940, as amended.</w:t>
      </w:r>
    </w:p>
    <w:p>
      <w:pPr>
        <w:spacing w:after="0" w:line="17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u w:val="single" w:color="auto"/>
          <w:color w:val="auto"/>
        </w:rPr>
        <w:t>True and Complete Disclosure</w:t>
      </w:r>
      <w:r>
        <w:rPr>
          <w:rFonts w:ascii="Arial" w:cs="Arial" w:eastAsia="Arial" w:hAnsi="Arial"/>
          <w:sz w:val="16"/>
          <w:szCs w:val="16"/>
          <w:color w:val="auto"/>
        </w:rPr>
        <w:t>.</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-107-</w:t>
      </w:r>
    </w:p>
    <w:p>
      <w:pPr>
        <w:sectPr>
          <w:pgSz w:w="11900" w:h="16838" w:orient="portrait"/>
          <w:cols w:equalWidth="0" w:num="1">
            <w:col w:w="11420"/>
          </w:cols>
          <w:pgMar w:left="240" w:top="814" w:right="239" w:bottom="1440" w:gutter="0" w:footer="0" w:header="0"/>
        </w:sectPr>
      </w:pPr>
    </w:p>
    <w:bookmarkStart w:id="187" w:name="page188"/>
    <w:bookmarkEnd w:id="187"/>
    <w:p>
      <w:pPr>
        <w:ind w:firstLine="656"/>
        <w:spacing w:after="0" w:line="270" w:lineRule="auto"/>
        <w:tabs>
          <w:tab w:leader="none" w:pos="1028"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None of the written factual information and written data (taken as a whole) heretofore or contemporaneously furnished by or on behalf of Holdings, the Borrower, any of the other Restricted Subsidiaries or any of their respective authorized representatives to the Administrative Agent, any Documentation Agent, Syndication Agent, any Joint Lead Arranger and Bookrunner, and/or any Lender on or before the Restatement Effective Date (including all such written information and data contained in (i) the Lender Presentation (as updated prior to the Restatement Effective Date and including all information incorporated by reference therein) and (ii) the Credit Documents) for purposes of or in connection with this Agreement or any transaction contemplated herein contained any untrue statement of any material fact or omitted to state any material fact necessary to make such information and data (taken as a whole) not materially misleading at such time in light of the circumstances under which such information or data was furnished (after giving effect to all supplements and updates), it being understood and agreed that for purposes of this </w:t>
      </w:r>
      <w:r>
        <w:rPr>
          <w:rFonts w:ascii="Arial" w:cs="Arial" w:eastAsia="Arial" w:hAnsi="Arial"/>
          <w:sz w:val="17"/>
          <w:szCs w:val="17"/>
          <w:u w:val="single" w:color="auto"/>
          <w:color w:val="auto"/>
        </w:rPr>
        <w:t>Section 8.8(a)</w:t>
      </w:r>
      <w:r>
        <w:rPr>
          <w:rFonts w:ascii="Arial" w:cs="Arial" w:eastAsia="Arial" w:hAnsi="Arial"/>
          <w:sz w:val="17"/>
          <w:szCs w:val="17"/>
          <w:color w:val="auto"/>
        </w:rPr>
        <w:t xml:space="preserve">, such factual information and data shall not include </w:t>
      </w:r>
      <w:r>
        <w:rPr>
          <w:rFonts w:ascii="Arial" w:cs="Arial" w:eastAsia="Arial" w:hAnsi="Arial"/>
          <w:sz w:val="17"/>
          <w:szCs w:val="17"/>
          <w:u w:val="single" w:color="auto"/>
          <w:color w:val="auto"/>
        </w:rPr>
        <w:t>pro</w:t>
      </w:r>
      <w:r>
        <w:rPr>
          <w:rFonts w:ascii="Arial" w:cs="Arial" w:eastAsia="Arial" w:hAnsi="Arial"/>
          <w:sz w:val="17"/>
          <w:szCs w:val="17"/>
          <w:color w:val="auto"/>
        </w:rPr>
        <w:t xml:space="preserve"> </w:t>
      </w:r>
      <w:r>
        <w:rPr>
          <w:rFonts w:ascii="Arial" w:cs="Arial" w:eastAsia="Arial" w:hAnsi="Arial"/>
          <w:sz w:val="17"/>
          <w:szCs w:val="17"/>
          <w:u w:val="single" w:color="auto"/>
          <w:color w:val="auto"/>
        </w:rPr>
        <w:t>forma</w:t>
      </w:r>
      <w:r>
        <w:rPr>
          <w:rFonts w:ascii="Arial" w:cs="Arial" w:eastAsia="Arial" w:hAnsi="Arial"/>
          <w:sz w:val="17"/>
          <w:szCs w:val="17"/>
          <w:color w:val="auto"/>
        </w:rPr>
        <w:t xml:space="preserve"> financial information, projections, estimates (including financial estimates, forecasts, and other forward-looking information) or other forward looking information and information of a general economic or general industry nature.</w:t>
      </w:r>
    </w:p>
    <w:p>
      <w:pPr>
        <w:spacing w:after="0" w:line="177" w:lineRule="exact"/>
        <w:rPr>
          <w:rFonts w:ascii="Arial" w:cs="Arial" w:eastAsia="Arial" w:hAnsi="Arial"/>
          <w:sz w:val="17"/>
          <w:szCs w:val="17"/>
          <w:color w:val="auto"/>
        </w:rPr>
      </w:pPr>
    </w:p>
    <w:p>
      <w:pPr>
        <w:jc w:val="both"/>
        <w:ind w:right="20" w:firstLine="656"/>
        <w:spacing w:after="0" w:line="259" w:lineRule="auto"/>
        <w:tabs>
          <w:tab w:leader="none" w:pos="103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The projections (including financial estimates, forecasts, and other forward-looking information) contained in the information and data referred to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above were based on good faith estimates and assumptions believed by such Persons to be reasonable at the time made, it being recognized by the Lenders that such projections as to future events are not to be viewed as facts and that actual results during the period or periods covered by any such projections may differ from the projected results and such differences may be material.</w:t>
      </w:r>
    </w:p>
    <w:p>
      <w:pPr>
        <w:spacing w:after="0" w:line="186" w:lineRule="exact"/>
        <w:rPr>
          <w:rFonts w:ascii="Arial" w:cs="Arial" w:eastAsia="Arial" w:hAnsi="Arial"/>
          <w:sz w:val="18"/>
          <w:szCs w:val="18"/>
          <w:color w:val="auto"/>
        </w:rPr>
      </w:pPr>
    </w:p>
    <w:p>
      <w:pPr>
        <w:ind w:left="1020" w:hanging="364"/>
        <w:spacing w:after="0"/>
        <w:tabs>
          <w:tab w:leader="none" w:pos="102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As of the Restatement Effective Date, the information included in the Beneficial Ownership Certification is true and correct in all material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respects.</w:t>
      </w:r>
    </w:p>
    <w:p>
      <w:pPr>
        <w:spacing w:after="0" w:line="21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u w:val="single" w:color="auto"/>
          <w:color w:val="auto"/>
        </w:rPr>
        <w:t>Financial Condition; Financial Statements</w:t>
      </w:r>
      <w:r>
        <w:rPr>
          <w:rFonts w:ascii="Arial" w:cs="Arial" w:eastAsia="Arial" w:hAnsi="Arial"/>
          <w:sz w:val="16"/>
          <w:szCs w:val="16"/>
          <w:color w:val="auto"/>
        </w:rPr>
        <w:t>.</w:t>
      </w:r>
    </w:p>
    <w:p>
      <w:pPr>
        <w:spacing w:after="0" w:line="225" w:lineRule="exact"/>
        <w:rPr>
          <w:sz w:val="20"/>
          <w:szCs w:val="20"/>
          <w:color w:val="auto"/>
        </w:rPr>
      </w:pPr>
    </w:p>
    <w:p>
      <w:pPr>
        <w:ind w:right="60" w:firstLine="656"/>
        <w:spacing w:after="0" w:line="279" w:lineRule="auto"/>
        <w:tabs>
          <w:tab w:leader="none" w:pos="102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(i) The unaudited historical consolidated financial information of Holdings set forth in the Lender Presentation, and (ii) the Historical Financial Statements, in each case present fairly in all material respects the combined financial position of Holdings at the respective dates of said information, statements and results of operations for the respective periods covered thereby. The financial statements referred to in </w:t>
      </w:r>
      <w:r>
        <w:rPr>
          <w:rFonts w:ascii="Arial" w:cs="Arial" w:eastAsia="Arial" w:hAnsi="Arial"/>
          <w:sz w:val="17"/>
          <w:szCs w:val="17"/>
          <w:u w:val="single" w:color="auto"/>
          <w:color w:val="auto"/>
        </w:rPr>
        <w:t>clause (a)(ii)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8.9</w:t>
      </w:r>
      <w:r>
        <w:rPr>
          <w:rFonts w:ascii="Arial" w:cs="Arial" w:eastAsia="Arial" w:hAnsi="Arial"/>
          <w:sz w:val="17"/>
          <w:szCs w:val="17"/>
          <w:color w:val="auto"/>
        </w:rPr>
        <w:t xml:space="preserve"> have been prepared in accordance with GAAP consistently applied except to the extent provided in the notes to said financial statements.</w:t>
      </w:r>
    </w:p>
    <w:p>
      <w:pPr>
        <w:spacing w:after="0" w:line="171" w:lineRule="exact"/>
        <w:rPr>
          <w:rFonts w:ascii="Arial" w:cs="Arial" w:eastAsia="Arial" w:hAnsi="Arial"/>
          <w:sz w:val="17"/>
          <w:szCs w:val="17"/>
          <w:color w:val="auto"/>
        </w:rPr>
      </w:pPr>
    </w:p>
    <w:p>
      <w:pPr>
        <w:ind w:left="1040" w:hanging="384"/>
        <w:spacing w:after="0"/>
        <w:tabs>
          <w:tab w:leader="none" w:pos="10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There has been no Material Adverse Effect since the Restatement Effective Date.</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Each Lender and the Administrative Agent hereby acknowledges and agrees that Holdings and its Subsidiaries may be required to restate historical financial statements as the result of the implementation of changes in GAAP or IFRS, or the respective interpretation thereof, and that such restatements will not result in a Default or an Event of Default under the Credit Documents.</w:t>
      </w:r>
    </w:p>
    <w:p>
      <w:pPr>
        <w:spacing w:after="0" w:line="181"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u w:val="single" w:color="auto"/>
          <w:color w:val="auto"/>
        </w:rPr>
        <w:t>Compliance with Laws; No Default</w:t>
      </w:r>
      <w:r>
        <w:rPr>
          <w:rFonts w:ascii="Arial" w:cs="Arial" w:eastAsia="Arial" w:hAnsi="Arial"/>
          <w:sz w:val="16"/>
          <w:szCs w:val="16"/>
          <w:color w:val="auto"/>
        </w:rPr>
        <w:t>. Each Credit Party is in compliance with all Requirements of Law applicable to it or its property, except where the failure to be in compliance would not reasonably be expected to result in a Material Adverse Effect. No Default has occurred and is continuing.</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-108-</w:t>
      </w:r>
    </w:p>
    <w:p>
      <w:pPr>
        <w:sectPr>
          <w:pgSz w:w="11900" w:h="16838" w:orient="portrait"/>
          <w:cols w:equalWidth="0" w:num="1">
            <w:col w:w="11420"/>
          </w:cols>
          <w:pgMar w:left="240" w:top="814" w:right="239" w:bottom="1440" w:gutter="0" w:footer="0" w:header="0"/>
        </w:sectPr>
      </w:pPr>
    </w:p>
    <w:bookmarkStart w:id="188" w:name="page189"/>
    <w:bookmarkEnd w:id="188"/>
    <w:p>
      <w:pPr>
        <w:ind w:right="200" w:firstLine="648"/>
        <w:spacing w:after="0" w:line="271" w:lineRule="auto"/>
        <w:rPr>
          <w:sz w:val="20"/>
          <w:szCs w:val="20"/>
          <w:color w:val="auto"/>
        </w:rPr>
      </w:pPr>
      <w:r>
        <w:rPr>
          <w:rFonts w:ascii="Arial" w:cs="Arial" w:eastAsia="Arial" w:hAnsi="Arial"/>
          <w:sz w:val="17"/>
          <w:szCs w:val="17"/>
          <w:color w:val="auto"/>
        </w:rPr>
        <w:t xml:space="preserve">8.11 </w:t>
      </w:r>
      <w:r>
        <w:rPr>
          <w:rFonts w:ascii="Arial" w:cs="Arial" w:eastAsia="Arial" w:hAnsi="Arial"/>
          <w:sz w:val="17"/>
          <w:szCs w:val="17"/>
          <w:u w:val="single" w:color="auto"/>
          <w:color w:val="auto"/>
        </w:rPr>
        <w:t>Anti-Corruption, Sanctions and Anti-Money Laundering Compliance</w:t>
      </w:r>
      <w:r>
        <w:rPr>
          <w:rFonts w:ascii="Arial" w:cs="Arial" w:eastAsia="Arial" w:hAnsi="Arial"/>
          <w:sz w:val="17"/>
          <w:szCs w:val="17"/>
          <w:color w:val="auto"/>
        </w:rPr>
        <w:t>. The Credit Parties have instituted and maintained policies and procedures reasonably designed to promote and achieve compliance with Anti-Corruption Laws and Sanctions and each Credit Party, their respective Subsidiaries, and to the knowledge of each Credit Party, their respective Related Parties, are in compliance, in all material respects, with Anti-Corruption Laws, Sanctions, the Trading with the Enemy Act, as amended and Anti-Money Laundering Laws. None of the Credit Parties, their respective Subsidiaries, and to the knowledge of the Credit Parties, their respective Related Parties, is (a) the subject or target of Sanctions, (b) included on List of Specially Designated Nationals by the United States Treasury Department’s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or any similar list enforced by any other relevant sanctions authority or (c) is located, organized or resident in a Designated Jurisdiction. No Borrowing or Letter of Credit, use of proceeds or other transaction contemplated by this Agreement will violate any Anti-Corruption Law or applicable Sanctions.</w:t>
      </w:r>
    </w:p>
    <w:p>
      <w:pPr>
        <w:spacing w:after="0" w:line="17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8.12 </w:t>
      </w:r>
      <w:r>
        <w:rPr>
          <w:rFonts w:ascii="Arial" w:cs="Arial" w:eastAsia="Arial" w:hAnsi="Arial"/>
          <w:sz w:val="16"/>
          <w:szCs w:val="16"/>
          <w:u w:val="single" w:color="auto"/>
          <w:color w:val="auto"/>
        </w:rPr>
        <w:t>Tax Matters</w:t>
      </w:r>
      <w:r>
        <w:rPr>
          <w:rFonts w:ascii="Arial" w:cs="Arial" w:eastAsia="Arial" w:hAnsi="Arial"/>
          <w:sz w:val="16"/>
          <w:szCs w:val="16"/>
          <w:color w:val="auto"/>
        </w:rPr>
        <w:t>. Except as would not reasonably be expected to have a Material Adverse Effect, (a) each of Holdings, the Borrower and each of the other Restricted Subsidiaries has filed all Tax returns required to be filed by it and has timely paid all Taxes payable by it (whether or not shown on a Tax return and including in its capacity as withholding agent) that have become due, other than those being contested in good faith and by proper proceedings if it has maintained adequate reserves (in the good faith judgment of management of Holdings, the Borrower or such Restricted Subsidiary, as applicable) with respect thereto in accordance with GAAP and (b) each of Holdings, the Borrower and each of the Restricted Subsidiaries has paid, or has provided adequate reserves (in the good faith judgment of management of Holdings, the Borrower or such Restricted Subsidiary, as applicable) in accordance with GAAP for the payment of all Taxes not yet due and payable. There is no current or proposed Tax assessment, deficiency or other claim against Holdings, the Borrower or any Restricted Subsidiary that would reasonably be expected to result in a Material Adverse Effect.</w:t>
      </w:r>
    </w:p>
    <w:p>
      <w:pPr>
        <w:spacing w:after="0" w:line="16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6"/>
          <w:szCs w:val="16"/>
          <w:color w:val="auto"/>
        </w:rPr>
        <w:t>Compliance with ERISA.</w:t>
      </w:r>
    </w:p>
    <w:p>
      <w:pPr>
        <w:spacing w:after="0" w:line="225"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Except as would not reasonably be expected to have a Material Adverse Effect, no ERISA Event has occurred or is reasonably expected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occur.</w:t>
      </w:r>
    </w:p>
    <w:p>
      <w:pPr>
        <w:spacing w:after="0" w:line="211"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Except as would not reasonably be expected to have a Material Adverse Effect, no Foreign Plan Event has occurred or is reasonably expected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occur.</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8.14</w:t>
      </w:r>
      <w:r>
        <w:rPr>
          <w:rFonts w:ascii="Arial" w:cs="Arial" w:eastAsia="Arial" w:hAnsi="Arial"/>
          <w:sz w:val="18"/>
          <w:szCs w:val="18"/>
          <w:color w:val="auto"/>
        </w:rPr>
        <w:t xml:space="preserve"> lists each Subsidiary of Holdings and the Borrower (and the direct and indirect ownership interest of Holdings and the Borrower therein), in each case existing on the Restatement Effective Date.</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8.15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Each of Holdings, the Borrower and the other Restricted Subsidiaries owns or has the right to use all Intellectual Property that is used in or otherwise necessary for the operation of their respective businesses as currently conducted, except where the failure of the foregoing would not reasonably be expected to have a Material Adverse Effect. The operation of their respective businesses by each of Holdings, the Borrower, and the other Restricted Subsidiaries does not infringe upon, misappropriate, violate or otherwise conflict with the Intellectual Property of any third party, except as would not reasonably be expected to have a Material Adverse Effect.</w:t>
      </w:r>
    </w:p>
    <w:p>
      <w:pPr>
        <w:spacing w:after="0" w:line="17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8.16</w:t>
      </w:r>
      <w:r>
        <w:rPr>
          <w:sz w:val="20"/>
          <w:szCs w:val="20"/>
          <w:color w:val="auto"/>
        </w:rPr>
        <w:tab/>
      </w:r>
      <w:r>
        <w:rPr>
          <w:rFonts w:ascii="Arial" w:cs="Arial" w:eastAsia="Arial" w:hAnsi="Arial"/>
          <w:sz w:val="16"/>
          <w:szCs w:val="16"/>
          <w:u w:val="single" w:color="auto"/>
          <w:color w:val="auto"/>
        </w:rPr>
        <w:t>Environmental Laws</w:t>
      </w:r>
      <w:r>
        <w:rPr>
          <w:rFonts w:ascii="Arial" w:cs="Arial" w:eastAsia="Arial" w:hAnsi="Arial"/>
          <w:sz w:val="16"/>
          <w:szCs w:val="16"/>
          <w:color w:val="auto"/>
        </w:rPr>
        <w:t>.</w:t>
      </w:r>
    </w:p>
    <w:p>
      <w:pPr>
        <w:spacing w:after="0" w:line="225" w:lineRule="exact"/>
        <w:rPr>
          <w:sz w:val="20"/>
          <w:szCs w:val="20"/>
          <w:color w:val="auto"/>
        </w:rPr>
      </w:pPr>
    </w:p>
    <w:p>
      <w:pPr>
        <w:ind w:right="120" w:firstLine="656"/>
        <w:spacing w:after="0" w:line="255" w:lineRule="auto"/>
        <w:tabs>
          <w:tab w:leader="none" w:pos="102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8.16</w:t>
      </w:r>
      <w:r>
        <w:rPr>
          <w:rFonts w:ascii="Arial" w:cs="Arial" w:eastAsia="Arial" w:hAnsi="Arial"/>
          <w:sz w:val="18"/>
          <w:szCs w:val="18"/>
          <w:color w:val="auto"/>
        </w:rPr>
        <w:t>, or as would not reasonably be expected to have a Material Adverse Effect: (i) each of Holdings, the Borrower, and the other Restricted Subsidiaries and their respective operations and properties are in compliance with all applicable Environmental Laws; (ii) none of Holdings, the Borrower, or any other Restricted Subsidiary has received written notice of any Environmental Claim; (iii) none of Holdings, the Borrower, or any Restricted Subsidiary is conducting any investigation, removal, remedial or other corrective action pursuant to any Environmental Law at any location; and (iv) to the knowledge of the Borrower, no underground or above ground storage tank or related piping, or any impoundment or other disposal area containing Hazardous Materials is located at, on or under any Real Estate currently owned or leased by Holdings, the Borrower or any of the Restricted Subsidiaries.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ectPr>
          <w:pgSz w:w="11900" w:h="16838" w:orient="portrait"/>
          <w:cols w:equalWidth="0" w:num="1">
            <w:col w:w="11420"/>
          </w:cols>
          <w:pgMar w:left="240" w:top="814" w:right="239" w:bottom="1440" w:gutter="0" w:footer="0" w:header="0"/>
        </w:sectPr>
      </w:pPr>
    </w:p>
    <w:bookmarkStart w:id="189" w:name="page190"/>
    <w:bookmarkEnd w:id="189"/>
    <w:p>
      <w:pPr>
        <w:jc w:val="both"/>
        <w:ind w:right="140" w:firstLine="656"/>
        <w:spacing w:after="0" w:line="279" w:lineRule="auto"/>
        <w:tabs>
          <w:tab w:leader="none" w:pos="103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8.16</w:t>
      </w:r>
      <w:r>
        <w:rPr>
          <w:rFonts w:ascii="Arial" w:cs="Arial" w:eastAsia="Arial" w:hAnsi="Arial"/>
          <w:sz w:val="17"/>
          <w:szCs w:val="17"/>
          <w:color w:val="auto"/>
        </w:rPr>
        <w:t>, none of Holdings, the Borrower or any of the Restricted Subsidiaries has treated, stored, transported, Released or arranged for disposal or transport for disposal or treatment of Hazardous Materials at, on, under or from any currently or, formerly owned or operated property nor, to the knowledge of the Borrower, has there been any other Release of Hazardous Materials at, on, under or from any such properties, in each case, in a manner that would reasonably be expected to have a Material Adverse Effect.</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8.17</w:t>
      </w:r>
      <w:r>
        <w:rPr>
          <w:sz w:val="20"/>
          <w:szCs w:val="20"/>
          <w:color w:val="auto"/>
        </w:rPr>
        <w:tab/>
      </w:r>
      <w:r>
        <w:rPr>
          <w:rFonts w:ascii="Arial" w:cs="Arial" w:eastAsia="Arial" w:hAnsi="Arial"/>
          <w:sz w:val="15"/>
          <w:szCs w:val="15"/>
          <w:u w:val="single" w:color="auto"/>
          <w:color w:val="auto"/>
        </w:rPr>
        <w:t>Properties</w:t>
      </w:r>
      <w:r>
        <w:rPr>
          <w:rFonts w:ascii="Arial" w:cs="Arial" w:eastAsia="Arial" w:hAnsi="Arial"/>
          <w:sz w:val="15"/>
          <w:szCs w:val="15"/>
          <w:color w:val="auto"/>
        </w:rPr>
        <w:t>.</w:t>
      </w:r>
    </w:p>
    <w:p>
      <w:pPr>
        <w:spacing w:after="0" w:line="225" w:lineRule="exact"/>
        <w:rPr>
          <w:sz w:val="20"/>
          <w:szCs w:val="20"/>
          <w:color w:val="auto"/>
        </w:rPr>
      </w:pPr>
    </w:p>
    <w:p>
      <w:pPr>
        <w:ind w:right="60" w:firstLine="656"/>
        <w:spacing w:after="0" w:line="293" w:lineRule="auto"/>
        <w:tabs>
          <w:tab w:leader="none" w:pos="102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Each of Holdings, the Borrower, and the other Restricted Subsidiaries has good and valid record title to, valid leasehold interests in, or rights to use, all properties that are necessary for the operation of their respective businesses as currently conducted and as proposed to be conducted, free and clear of all Liens (other than any Liens permitted by this Agreement) and except where the failure to have such good title or interest would not reasonably be expected, individually or in the aggregate, to have a Material Adverse Effect and (b) no Mortgage encumbers improved Real Estate that is located in an area that has been identified by the Secretary of Housing and Urban Development as an area having special flood hazards within the meaning of the National Flood Insurance Act of 1968, as amended, unless flood insurance available under such act has been obtained in accordance with </w:t>
      </w:r>
      <w:r>
        <w:rPr>
          <w:rFonts w:ascii="Arial" w:cs="Arial" w:eastAsia="Arial" w:hAnsi="Arial"/>
          <w:sz w:val="16"/>
          <w:szCs w:val="16"/>
          <w:u w:val="single" w:color="auto"/>
          <w:color w:val="auto"/>
        </w:rPr>
        <w:t>Section 9.3(b)</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right="40" w:firstLine="656"/>
        <w:spacing w:after="0" w:line="277" w:lineRule="auto"/>
        <w:tabs>
          <w:tab w:leader="none" w:pos="103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is a list of each real property owned by any Credit Party as of the Restatement Effective Date having a Fair Market Value in excess of $20,000,000.</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8.18 </w:t>
      </w:r>
      <w:r>
        <w:rPr>
          <w:rFonts w:ascii="Arial" w:cs="Arial" w:eastAsia="Arial" w:hAnsi="Arial"/>
          <w:sz w:val="17"/>
          <w:szCs w:val="17"/>
          <w:u w:val="single" w:color="auto"/>
          <w:color w:val="auto"/>
        </w:rPr>
        <w:t>Solvency</w:t>
      </w:r>
      <w:r>
        <w:rPr>
          <w:rFonts w:ascii="Arial" w:cs="Arial" w:eastAsia="Arial" w:hAnsi="Arial"/>
          <w:sz w:val="17"/>
          <w:szCs w:val="17"/>
          <w:color w:val="auto"/>
        </w:rPr>
        <w:t>. On the Restatement Effective Date (after giving effect to the Transactions) immediately following the making of the Loans and after giving effect to the application of the proceeds of such Loans, Holdings on a consolidated basis with its Subsidiaries will be Solvent.</w:t>
      </w:r>
    </w:p>
    <w:p>
      <w:pPr>
        <w:spacing w:after="0" w:line="14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8.19</w:t>
      </w:r>
      <w:r>
        <w:rPr>
          <w:sz w:val="20"/>
          <w:szCs w:val="20"/>
          <w:color w:val="auto"/>
        </w:rPr>
        <w:tab/>
      </w:r>
      <w:r>
        <w:rPr>
          <w:rFonts w:ascii="Arial" w:cs="Arial" w:eastAsia="Arial" w:hAnsi="Arial"/>
          <w:sz w:val="16"/>
          <w:szCs w:val="16"/>
          <w:u w:val="single" w:color="auto"/>
          <w:color w:val="auto"/>
        </w:rPr>
        <w:t>Patriot Act</w:t>
      </w:r>
      <w:r>
        <w:rPr>
          <w:rFonts w:ascii="Arial" w:cs="Arial" w:eastAsia="Arial" w:hAnsi="Arial"/>
          <w:sz w:val="16"/>
          <w:szCs w:val="16"/>
          <w:color w:val="auto"/>
        </w:rPr>
        <w:t>. On the Restatement Effective Date, the use of proceeds of the Loans will not violate the PATRIOT Act in any material respect.</w:t>
      </w:r>
    </w:p>
    <w:p>
      <w:pPr>
        <w:spacing w:after="0" w:line="252"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color w:val="auto"/>
        </w:rPr>
        <w:t>Affirmative Covenants</w:t>
      </w:r>
    </w:p>
    <w:p>
      <w:pPr>
        <w:spacing w:after="0" w:line="23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Each of Holdings and the Borrower hereby covenants and agrees that on the Restatement Effective Date and thereafter, until the Commitments, the Swingline Commitment and each Letter of Credit have terminated or been collateralized in accordance with the terms of this Agreement and the Loans and Unpaid Drawings, together with interest, Fees and all other Obligations incurred hereunder (other than contingent indemnity obligations, Secured Hedge Obligations and Secured Cash Management Obligations and Letters of Credit collateralized in accordance with the terms of this Agreement), are paid in full:</w:t>
      </w:r>
    </w:p>
    <w:p>
      <w:pPr>
        <w:spacing w:after="0" w:line="15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Information Covenants</w:t>
      </w:r>
      <w:r>
        <w:rPr>
          <w:rFonts w:ascii="Arial" w:cs="Arial" w:eastAsia="Arial" w:hAnsi="Arial"/>
          <w:sz w:val="16"/>
          <w:szCs w:val="16"/>
          <w:color w:val="auto"/>
        </w:rPr>
        <w:t>. The Borrower will furnish to the Administrative Agent (which shall promptly make such information available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Lenders in accordance with its customary practice):</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-110-</w:t>
      </w:r>
    </w:p>
    <w:p>
      <w:pPr>
        <w:sectPr>
          <w:pgSz w:w="11900" w:h="16838" w:orient="portrait"/>
          <w:cols w:equalWidth="0" w:num="1">
            <w:col w:w="11420"/>
          </w:cols>
          <w:pgMar w:left="240" w:top="814" w:right="239" w:bottom="1440" w:gutter="0" w:footer="0" w:header="0"/>
        </w:sectPr>
      </w:pPr>
    </w:p>
    <w:bookmarkStart w:id="190" w:name="page191"/>
    <w:bookmarkEnd w:id="190"/>
    <w:p>
      <w:pPr>
        <w:ind w:left="-540" w:right="20" w:firstLine="645"/>
        <w:spacing w:after="0" w:line="269" w:lineRule="auto"/>
        <w:tabs>
          <w:tab w:leader="none" w:pos="488"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Annual Financial Statements</w:t>
      </w:r>
      <w:r>
        <w:rPr>
          <w:rFonts w:ascii="Arial" w:cs="Arial" w:eastAsia="Arial" w:hAnsi="Arial"/>
          <w:sz w:val="17"/>
          <w:szCs w:val="17"/>
          <w:color w:val="auto"/>
        </w:rPr>
        <w:t>. As soon as available and in any event within five days after the date on which such financial statements are required to be filed with the SEC (after giving effect to any permitted extensions) (or, if such financial statements are not required to be filed with the SEC, on or before the date that is 90 days after the end of each such fiscal year) (commencing with the fiscal year ending December 28, 2019), the consolidated balance sheets of Holdings and the Restricted Subsidiaries as at the end of each fiscal year, and the related consolidated statements of operations and cash flows for such fiscal year, setting forth comparative consolidated and/or combined figures for the preceding fiscal years, all in reasonable detail and prepared in accordance with GAAP, and, in each case, certified by independent certified public accountants of recognized national standing whose opinion shall not be qualified as to the scope of audit or as to the status of Holdings or any of the Material Subsidiaries (or group of Subsidiaries that together would constitute a Material Subsidiary) as a going concern (other than any exception, explanatory paragraph or qualification, that is expressly solely with respect to, or expressly resulting solely from, (i) an upcoming maturity date under any Indebtedness occurring within one year from the time such opinion is delivered or (ii) any potential inability to satisfy a financial maintenance covenant on a future date or in a future period).</w:t>
      </w:r>
    </w:p>
    <w:p>
      <w:pPr>
        <w:spacing w:after="0" w:line="182" w:lineRule="exact"/>
        <w:rPr>
          <w:rFonts w:ascii="Arial" w:cs="Arial" w:eastAsia="Arial" w:hAnsi="Arial"/>
          <w:sz w:val="17"/>
          <w:szCs w:val="17"/>
          <w:color w:val="auto"/>
        </w:rPr>
      </w:pPr>
    </w:p>
    <w:p>
      <w:pPr>
        <w:ind w:left="-540" w:firstLine="645"/>
        <w:spacing w:after="0" w:line="268" w:lineRule="auto"/>
        <w:tabs>
          <w:tab w:leader="none" w:pos="498"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Quarterly Financial Statements</w:t>
      </w:r>
      <w:r>
        <w:rPr>
          <w:rFonts w:ascii="Arial" w:cs="Arial" w:eastAsia="Arial" w:hAnsi="Arial"/>
          <w:sz w:val="17"/>
          <w:szCs w:val="17"/>
          <w:color w:val="auto"/>
        </w:rPr>
        <w:t>. As soon as available and in any event within five days after the date on which such financial statements are required to be filed with the SEC (after giving effect to any permitted extensions) with respect to each of the first three quarterly accounting periods in each fiscal year of Holdings (or, if such financial statements are not required to be filed with the SEC, on or before the date that is 45 days after the end of each such quarterly accounting period), the consolidated balance sheets of Holdings and the Restricted Subsidiaries as at the end of such quarterly period and the related consolidated statements of operations for such quarterly accounting period and for the elapsed portion of the fiscal year ended with the last day of such quarterly period, and the related consolidated statement of cash flows for the elapsed portion of the fiscal year ended with the last day of the applicable quarterly period, and commencing with the quarter ending September 30, 2019 setting forth comparative consolidated and/or combined figures for the related periods in the prior fiscal year or, in the case of such consolidated balance sheet, for the last day of the related period in the prior fiscal year, all of which shall be certified by an Authorized Officer of Holdings as fairly presenting in all material respects the financial condition, results of operations and cash flows of Holdings and its Restricted Subsidiaries in accordance with GAAP (except as noted therein), subject to changes resulting from normal year-end adjustments and the absence of footnotes, and, with respect to fiscal 2014 reporting periods, subject to finalization of the purchase price allocation to the fair value of assets acquired and liabilities assumed in the Transactions, as required by GAAP.</w:t>
      </w:r>
    </w:p>
    <w:p>
      <w:pPr>
        <w:spacing w:after="0" w:line="187" w:lineRule="exact"/>
        <w:rPr>
          <w:rFonts w:ascii="Arial" w:cs="Arial" w:eastAsia="Arial" w:hAnsi="Arial"/>
          <w:sz w:val="17"/>
          <w:szCs w:val="17"/>
          <w:color w:val="auto"/>
        </w:rPr>
      </w:pPr>
    </w:p>
    <w:p>
      <w:pPr>
        <w:ind w:left="-540" w:right="120" w:firstLine="645"/>
        <w:spacing w:after="0" w:line="289" w:lineRule="auto"/>
        <w:tabs>
          <w:tab w:leader="none" w:pos="488"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Budgets</w:t>
      </w:r>
      <w:r>
        <w:rPr>
          <w:rFonts w:ascii="Arial" w:cs="Arial" w:eastAsia="Arial" w:hAnsi="Arial"/>
          <w:sz w:val="16"/>
          <w:szCs w:val="16"/>
          <w:color w:val="auto"/>
        </w:rPr>
        <w:t xml:space="preserve">. In the event that Holdings (or any Parent Entity) ceases to provide public guidance or provides public guidance that is substantially less in scope than the most recent annual guidance provided by National Vision Holdings, Inc. prior to the Restatement Effective Date, within 90 days after the commencement of each fiscal year of Holdings, a budget of Holdings in reasonable detail on an annual basis for such fiscal year as customarily prepared by management of Holdings for its internal use consistent in scope with the financial statements provided pursuant to </w:t>
      </w:r>
      <w:r>
        <w:rPr>
          <w:rFonts w:ascii="Arial" w:cs="Arial" w:eastAsia="Arial" w:hAnsi="Arial"/>
          <w:sz w:val="16"/>
          <w:szCs w:val="16"/>
          <w:u w:val="single" w:color="auto"/>
          <w:color w:val="auto"/>
        </w:rPr>
        <w:t>Section 9.1(a)</w:t>
      </w:r>
      <w:r>
        <w:rPr>
          <w:rFonts w:ascii="Arial" w:cs="Arial" w:eastAsia="Arial" w:hAnsi="Arial"/>
          <w:sz w:val="16"/>
          <w:szCs w:val="16"/>
          <w:color w:val="auto"/>
        </w:rPr>
        <w:t>, setting forth the principal assumptions upon which such budget is based (collectively, the “</w:t>
      </w:r>
      <w:r>
        <w:rPr>
          <w:rFonts w:ascii="Arial" w:cs="Arial" w:eastAsia="Arial" w:hAnsi="Arial"/>
          <w:sz w:val="16"/>
          <w:szCs w:val="16"/>
          <w:b w:val="1"/>
          <w:bCs w:val="1"/>
          <w:color w:val="auto"/>
        </w:rPr>
        <w:t>Projections</w:t>
      </w:r>
      <w:r>
        <w:rPr>
          <w:rFonts w:ascii="Arial" w:cs="Arial" w:eastAsia="Arial" w:hAnsi="Arial"/>
          <w:sz w:val="16"/>
          <w:szCs w:val="16"/>
          <w:color w:val="auto"/>
        </w:rPr>
        <w:t>”), which Projections shall in each case be accompanied by a certificate of an Authorized Officer of Holdings or the Borrower stating that such Projections have been prepared in good faith on the basis of the assumptions stated therein, which assumptions were believed to be reasonable at the time of preparation of such Projections, it being understood and agreed that such Projections and assumptions as to future events are not to be viewed as facts and that actual results during the period or periods covered by any such Projections may differ from the projected results and such differences may be material.</w:t>
      </w:r>
    </w:p>
    <w:p>
      <w:pPr>
        <w:spacing w:after="0" w:line="200" w:lineRule="exact"/>
        <w:rPr>
          <w:sz w:val="20"/>
          <w:szCs w:val="20"/>
          <w:color w:val="auto"/>
        </w:rPr>
      </w:pPr>
    </w:p>
    <w:p>
      <w:pPr>
        <w:spacing w:after="0" w:line="207"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-111-</w:t>
      </w:r>
    </w:p>
    <w:p>
      <w:pPr>
        <w:sectPr>
          <w:pgSz w:w="11900" w:h="16838" w:orient="portrait"/>
          <w:cols w:equalWidth="0" w:num="1">
            <w:col w:w="10220"/>
          </w:cols>
          <w:pgMar w:left="1440" w:top="814" w:right="239" w:bottom="1440" w:gutter="0" w:footer="0" w:header="0"/>
        </w:sectPr>
      </w:pPr>
    </w:p>
    <w:bookmarkStart w:id="191" w:name="page192"/>
    <w:bookmarkEnd w:id="191"/>
    <w:p>
      <w:pPr>
        <w:ind w:firstLine="645"/>
        <w:spacing w:after="0" w:line="269" w:lineRule="auto"/>
        <w:tabs>
          <w:tab w:leader="none" w:pos="1038"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Officer’s Certificates</w:t>
      </w:r>
      <w:r>
        <w:rPr>
          <w:rFonts w:ascii="Arial" w:cs="Arial" w:eastAsia="Arial" w:hAnsi="Arial"/>
          <w:sz w:val="17"/>
          <w:szCs w:val="17"/>
          <w:color w:val="auto"/>
        </w:rPr>
        <w:t xml:space="preserve">. Not later than five days after the delivery of the financial statements provided for in </w:t>
      </w:r>
      <w:r>
        <w:rPr>
          <w:rFonts w:ascii="Arial" w:cs="Arial" w:eastAsia="Arial" w:hAnsi="Arial"/>
          <w:sz w:val="17"/>
          <w:szCs w:val="17"/>
          <w:u w:val="single" w:color="auto"/>
          <w:color w:val="auto"/>
        </w:rPr>
        <w:t>Sections 9.1(a)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 certificate of an Authorized Officer of Holdings or the Borrower to the effect that no Default or Event of Default exists or, if any Default or Event of Default does exist, specifying the nature and extent thereof, as the case may be, which certificate shall set forth (i) a specification of any change in the identity of the Restricted Subsidiaries and Unrestricted Subsidiaries as at the end of such fiscal year or period, as the case may be, from the Restricted Subsidiaries and Unrestricted Subsidiaries, respectively, provided to the Lenders on the Restatement Effective Date or the most recent fiscal year or period, as the case may be and (ii) the then applicable status and underlying calculations in connection therewith. At the time of the delivery of the financial statements provided for in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a certificate of an Authorized Officer of Holdings or the Borrower setting forth changes to the legal name, jurisdiction of formation, type of entity and organizational number (or equivalent) to the Person organized in a jurisdiction where an organizational identification number is required to be included in a Uniform Commercial Code financing statement, in each case for each Credit Party or confirming that there has been no change in such information since the Restatement Effective Date or the date of the most recent certificate delivered pursuant to this </w:t>
      </w:r>
      <w:r>
        <w:rPr>
          <w:rFonts w:ascii="Arial" w:cs="Arial" w:eastAsia="Arial" w:hAnsi="Arial"/>
          <w:sz w:val="17"/>
          <w:szCs w:val="17"/>
          <w:u w:val="single" w:color="auto"/>
          <w:color w:val="auto"/>
        </w:rPr>
        <w:t>clause (d)</w:t>
      </w:r>
      <w:r>
        <w:rPr>
          <w:rFonts w:ascii="Arial" w:cs="Arial" w:eastAsia="Arial" w:hAnsi="Arial"/>
          <w:sz w:val="17"/>
          <w:szCs w:val="17"/>
          <w:color w:val="auto"/>
        </w:rPr>
        <w:t>, as the case may be.</w:t>
      </w:r>
    </w:p>
    <w:p>
      <w:pPr>
        <w:spacing w:after="0" w:line="182" w:lineRule="exact"/>
        <w:rPr>
          <w:rFonts w:ascii="Arial" w:cs="Arial" w:eastAsia="Arial" w:hAnsi="Arial"/>
          <w:sz w:val="17"/>
          <w:szCs w:val="17"/>
          <w:color w:val="auto"/>
        </w:rPr>
      </w:pPr>
    </w:p>
    <w:p>
      <w:pPr>
        <w:ind w:right="60" w:firstLine="645"/>
        <w:spacing w:after="0" w:line="257" w:lineRule="auto"/>
        <w:tabs>
          <w:tab w:leader="none" w:pos="1028"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Notice of Default or Litigation</w:t>
      </w:r>
      <w:r>
        <w:rPr>
          <w:rFonts w:ascii="Arial" w:cs="Arial" w:eastAsia="Arial" w:hAnsi="Arial"/>
          <w:sz w:val="18"/>
          <w:szCs w:val="18"/>
          <w:color w:val="auto"/>
        </w:rPr>
        <w:t>. Promptly after an Authorized Officer of Holdings or any of the Restricted Subsidiaries obtains knowledge thereof, notice of (i) the occurrence of any event that constitutes a Default or Event of Default, which notice shall specify the nature thereof, the period of existence thereof and what action Holdings proposes to take with respect thereto and (ii) any litigation or governmental proceeding pending against Holdings or any of the Subsidiaries that would reasonably be expected to be determined adversely and, if so determined, to result in a Material Adverse Effect.</w:t>
      </w:r>
    </w:p>
    <w:p>
      <w:pPr>
        <w:spacing w:after="0" w:line="188" w:lineRule="exact"/>
        <w:rPr>
          <w:rFonts w:ascii="Arial" w:cs="Arial" w:eastAsia="Arial" w:hAnsi="Arial"/>
          <w:sz w:val="18"/>
          <w:szCs w:val="18"/>
          <w:color w:val="auto"/>
        </w:rPr>
      </w:pPr>
    </w:p>
    <w:p>
      <w:pPr>
        <w:ind w:right="60" w:firstLine="645"/>
        <w:spacing w:after="0" w:line="264" w:lineRule="auto"/>
        <w:tabs>
          <w:tab w:leader="none" w:pos="1008"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Environmental Matters</w:t>
      </w:r>
      <w:r>
        <w:rPr>
          <w:rFonts w:ascii="Arial" w:cs="Arial" w:eastAsia="Arial" w:hAnsi="Arial"/>
          <w:sz w:val="18"/>
          <w:szCs w:val="18"/>
          <w:color w:val="auto"/>
        </w:rPr>
        <w:t>. Promptly after an Authorized Officer of Holdings or any of the Restricted Subsidiaries obtains knowledge of any one or more of the following environmental matters, unless such environmental matters would not reasonably be expected to result in a Material Adverse Effect, notice of:</w:t>
      </w:r>
    </w:p>
    <w:p>
      <w:pPr>
        <w:spacing w:after="0" w:line="181" w:lineRule="exact"/>
        <w:rPr>
          <w:rFonts w:ascii="Arial" w:cs="Arial" w:eastAsia="Arial" w:hAnsi="Arial"/>
          <w:sz w:val="18"/>
          <w:szCs w:val="18"/>
          <w:color w:val="auto"/>
        </w:rPr>
      </w:pPr>
    </w:p>
    <w:p>
      <w:pPr>
        <w:ind w:left="1880" w:hanging="344"/>
        <w:spacing w:after="0"/>
        <w:tabs>
          <w:tab w:leader="none" w:pos="188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pending or threatened Environmental Claim against any Credit Party or any Real Estate; and</w:t>
      </w:r>
    </w:p>
    <w:p>
      <w:pPr>
        <w:spacing w:after="0" w:line="225" w:lineRule="exact"/>
        <w:rPr>
          <w:rFonts w:ascii="Arial" w:cs="Arial" w:eastAsia="Arial" w:hAnsi="Arial"/>
          <w:sz w:val="18"/>
          <w:szCs w:val="18"/>
          <w:color w:val="auto"/>
        </w:rPr>
      </w:pPr>
    </w:p>
    <w:p>
      <w:pPr>
        <w:ind w:left="640" w:right="220" w:firstLine="896"/>
        <w:spacing w:after="0" w:line="308" w:lineRule="auto"/>
        <w:tabs>
          <w:tab w:leader="none" w:pos="1931"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the conduct of any investigation, or any removal, remedial or other corrective action in response to the actual or alleged presence, Release or threatened Release of any Hazardous Material on, at, under or from any Real Estate.</w:t>
      </w:r>
    </w:p>
    <w:p>
      <w:pPr>
        <w:spacing w:after="0" w:line="14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All such notices shall describe in reasonable detail the nature of the claim, investigation or removal, remedial or other corrective action in response thereto. The term “</w:t>
      </w:r>
      <w:r>
        <w:rPr>
          <w:rFonts w:ascii="Arial" w:cs="Arial" w:eastAsia="Arial" w:hAnsi="Arial"/>
          <w:sz w:val="17"/>
          <w:szCs w:val="17"/>
          <w:b w:val="1"/>
          <w:bCs w:val="1"/>
          <w:color w:val="auto"/>
        </w:rPr>
        <w:t>Real Estate</w:t>
      </w:r>
      <w:r>
        <w:rPr>
          <w:rFonts w:ascii="Arial" w:cs="Arial" w:eastAsia="Arial" w:hAnsi="Arial"/>
          <w:sz w:val="17"/>
          <w:szCs w:val="17"/>
          <w:color w:val="auto"/>
        </w:rPr>
        <w:t>” shall mean land, buildings, facilities and improvements owned or leased by any Credit Party.</w:t>
      </w:r>
    </w:p>
    <w:p>
      <w:pPr>
        <w:spacing w:after="0" w:line="387"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-112-</w:t>
      </w:r>
    </w:p>
    <w:p>
      <w:pPr>
        <w:sectPr>
          <w:pgSz w:w="11900" w:h="16838" w:orient="portrait"/>
          <w:cols w:equalWidth="0" w:num="1">
            <w:col w:w="10760"/>
          </w:cols>
          <w:pgMar w:left="900" w:top="814" w:right="239" w:bottom="1440" w:gutter="0" w:footer="0" w:header="0"/>
        </w:sectPr>
      </w:pPr>
    </w:p>
    <w:bookmarkStart w:id="192" w:name="page193"/>
    <w:bookmarkEnd w:id="192"/>
    <w:p>
      <w:pPr>
        <w:ind w:left="660" w:firstLine="645"/>
        <w:spacing w:after="0" w:line="268" w:lineRule="auto"/>
        <w:tabs>
          <w:tab w:leader="none" w:pos="1698"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Other Information</w:t>
      </w:r>
      <w:r>
        <w:rPr>
          <w:rFonts w:ascii="Arial" w:cs="Arial" w:eastAsia="Arial" w:hAnsi="Arial"/>
          <w:sz w:val="17"/>
          <w:szCs w:val="17"/>
          <w:color w:val="auto"/>
        </w:rPr>
        <w:t xml:space="preserve">. Promptly upon filing thereof, copies of any filings (including on Form 10-K, 10-Q or 8-K) or registration statements (other than drafts of pre-effective versions of registration statements) with, and reports to, the SEC or any analogous Governmental Authority in any relevant jurisdiction by Holdings or any of the Restricted Subsidiaries (other than amendments to any registration statement (to the extent such registration statement, in the form it becomes effective, is delivered to the Administrative Agent), exhibits to any registration statement and, if applicable, any registration statements on Form S-8) and copies of all financial statements, proxy statements, notices, and reports that Holdings or any of the Restricted Subsidiaries shall send to the holders of any publicly issued debt of Holdings and/or any of the Restricted Subsidiaries, in their capacity as such holders, lenders or agents (in each case to the extent not theretofore delivered to the Administrative Agent pursuant to this Agreement) and, with reasonable promptness, such other information (financial or otherwise) as the Administrative Agent on its own behalf or on behalf of any Lender (acting through the Administrative Agent) may reasonably request in writing from time to time (including, without limitation, information and documentation reasonably requested by the Administrative Agent or any Lender for purposes of compliance with applicable “know your customer” requirements under the PATRIOT Act or other applicable anti-money laundering laws); </w:t>
      </w:r>
      <w:r>
        <w:rPr>
          <w:rFonts w:ascii="Arial" w:cs="Arial" w:eastAsia="Arial" w:hAnsi="Arial"/>
          <w:sz w:val="17"/>
          <w:szCs w:val="17"/>
          <w:u w:val="single" w:color="auto"/>
          <w:color w:val="auto"/>
        </w:rPr>
        <w:t>provided</w:t>
      </w:r>
      <w:r>
        <w:rPr>
          <w:rFonts w:ascii="Arial" w:cs="Arial" w:eastAsia="Arial" w:hAnsi="Arial"/>
          <w:sz w:val="17"/>
          <w:szCs w:val="17"/>
          <w:color w:val="auto"/>
        </w:rPr>
        <w:t>, that none of Holdings, the Borrower nor any other Restricted Subsidiary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contractors) is prohibited by law, or any binding agreement or (iii) that is subject to attorney client or similar privilege or constitutes attorney work product.</w:t>
      </w:r>
    </w:p>
    <w:p>
      <w:pPr>
        <w:spacing w:after="0" w:line="183" w:lineRule="exact"/>
        <w:rPr>
          <w:rFonts w:ascii="Arial" w:cs="Arial" w:eastAsia="Arial" w:hAnsi="Arial"/>
          <w:sz w:val="17"/>
          <w:szCs w:val="17"/>
          <w:color w:val="auto"/>
        </w:rPr>
      </w:pPr>
    </w:p>
    <w:p>
      <w:pPr>
        <w:ind w:left="660" w:right="60" w:firstLine="645"/>
        <w:spacing w:after="0" w:line="286" w:lineRule="auto"/>
        <w:tabs>
          <w:tab w:leader="none" w:pos="1698" w:val="left"/>
        </w:tabs>
        <w:numPr>
          <w:ilvl w:val="0"/>
          <w:numId w:val="154"/>
        </w:numPr>
        <w:rPr>
          <w:rFonts w:ascii="Arial" w:cs="Arial" w:eastAsia="Arial" w:hAnsi="Arial"/>
          <w:sz w:val="17"/>
          <w:szCs w:val="17"/>
          <w:color w:val="auto"/>
        </w:rPr>
      </w:pPr>
      <w:r>
        <w:rPr>
          <w:rFonts w:ascii="Arial" w:cs="Arial" w:eastAsia="Arial" w:hAnsi="Arial"/>
          <w:sz w:val="17"/>
          <w:szCs w:val="17"/>
          <w:color w:val="auto"/>
        </w:rPr>
        <w:t>Patriot Act/Beneficial Ownership Regulation. Promptly following any request therefor, information and documentation reasonably requested by the Administrative Agent or any Lender for purposes of compliance with applicable “know your customer” and anti-money-laundering rules and regulations, including, without limitation, the PATRIOT Act and the Beneficial Ownership Regulation.</w:t>
      </w:r>
    </w:p>
    <w:p>
      <w:pPr>
        <w:spacing w:after="0" w:line="166"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 xml:space="preserve">Notwithstanding the foregoing, the obligations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may be satisfied with respect to financial information of Holdings and the Restricted Subsidiaries by furnishing (A) the applicable financial statements of the Borrower or any direct or indirect parent of Holdings or</w:t>
      </w:r>
    </w:p>
    <w:p>
      <w:pPr>
        <w:ind w:right="100" w:firstLine="8"/>
        <w:spacing w:after="0" w:line="254" w:lineRule="auto"/>
        <w:tabs>
          <w:tab w:leader="none" w:pos="28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Holdings’ (or any direct or indirect parent thereof), as applicable, Form 10-K or 10-Q, as applicable, filed with the SEC;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each of </w:t>
      </w:r>
      <w:r>
        <w:rPr>
          <w:rFonts w:ascii="Arial" w:cs="Arial" w:eastAsia="Arial" w:hAnsi="Arial"/>
          <w:sz w:val="18"/>
          <w:szCs w:val="18"/>
          <w:u w:val="single" w:color="auto"/>
          <w:color w:val="auto"/>
        </w:rPr>
        <w:t>subclauses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paragraph, to the extent such information relates to a parent of Holdings, such information is accompanied by consolidating or other information that explains in reasonable detail the differences between the information relating to such parent, on the one hand, and the information relating to Holdings and the Restricted Subsidiaries on a standalone basis, on the other hand.</w:t>
      </w:r>
    </w:p>
    <w:p>
      <w:pPr>
        <w:spacing w:after="0" w:line="19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(to the extent any such documents are included in materials otherwise filed with the SEC) may be delivered electronically and if so delivered, shall be deemed to have been delivered on the earliest date on which (i) Holdings posts such documents, or provides a link thereto on Holdings’ website on the Internet; (ii) such documents are posted on Holdings’ behalf on IntraLinks/IntraAgency or another website, if any, to which each Lender and the Administrative Agent have access (whether a commercial, third-party website or whether sponsored by the Administrative Agent), or (iii) such financial statements and/or other documents are posted on the SEC’s website on the internet at www.sec.gov; </w:t>
      </w:r>
      <w:r>
        <w:rPr>
          <w:rFonts w:ascii="Arial" w:cs="Arial" w:eastAsia="Arial" w:hAnsi="Arial"/>
          <w:sz w:val="17"/>
          <w:szCs w:val="17"/>
          <w:u w:val="single" w:color="auto"/>
          <w:color w:val="auto"/>
        </w:rPr>
        <w:t>provided</w:t>
      </w:r>
      <w:r>
        <w:rPr>
          <w:rFonts w:ascii="Arial" w:cs="Arial" w:eastAsia="Arial" w:hAnsi="Arial"/>
          <w:sz w:val="17"/>
          <w:szCs w:val="17"/>
          <w:color w:val="auto"/>
        </w:rPr>
        <w:t>, that, (A) the Borrower shall, at the request of the Administrative Agent, continue to deliver copies (which delivery may be by electronic transmission ) of such documents to the Administrative Agent and (B) the Borrower shall notify (which notification may be by facsimile or electronic transmission) the Administrative Agent of the posting of any such documents on any website described in this paragraph. Each Lender shall be solely responsible for timely accessing posted documents or requesting delivery of paper copies of such documents from the Administrative Agent and maintaining its copies of such documents.</w:t>
      </w:r>
    </w:p>
    <w:p>
      <w:pPr>
        <w:spacing w:after="0" w:line="178"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 xml:space="preserve">Each Credit Party hereby acknowledges and agrees that, unless the Borrower notifies the Administrative Agent in advance, all financial statements and certificates furnished pursuant to </w:t>
      </w:r>
      <w:r>
        <w:rPr>
          <w:rFonts w:ascii="Arial" w:cs="Arial" w:eastAsia="Arial" w:hAnsi="Arial"/>
          <w:sz w:val="17"/>
          <w:szCs w:val="17"/>
          <w:u w:val="single" w:color="auto"/>
          <w:color w:val="auto"/>
        </w:rPr>
        <w:t>Sections 9.1(a)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are hereby deemed to be suitable for distribution, and to be made available, to all Lenders and may be treated by the Administrative Agent and the Lenders as not containing any material nonpublic information.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-113-</w:t>
      </w:r>
    </w:p>
    <w:p>
      <w:pPr>
        <w:sectPr>
          <w:pgSz w:w="11900" w:h="16838" w:orient="portrait"/>
          <w:cols w:equalWidth="0" w:num="1">
            <w:col w:w="11400"/>
          </w:cols>
          <w:pgMar w:left="240" w:top="814" w:right="259" w:bottom="1440" w:gutter="0" w:footer="0" w:header="0"/>
        </w:sectPr>
      </w:pPr>
    </w:p>
    <w:bookmarkStart w:id="193" w:name="page194"/>
    <w:bookmarkEnd w:id="193"/>
    <w:p>
      <w:pPr>
        <w:ind w:firstLine="648"/>
        <w:spacing w:after="0" w:line="285"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Books, Records, and Inspections</w:t>
      </w:r>
      <w:r>
        <w:rPr>
          <w:rFonts w:ascii="Arial" w:cs="Arial" w:eastAsia="Arial" w:hAnsi="Arial"/>
          <w:sz w:val="16"/>
          <w:szCs w:val="16"/>
          <w:color w:val="auto"/>
        </w:rPr>
        <w:t xml:space="preserve">. Holdings will, and will cause each Restricted Subsidiary to, permit officers and designated representatives of the Administrative Agent or the Required Lenders to visit and inspect any of the properties or assets of Holdings and any such Subsidiary in whomsoever’s possession to the extent that it is within such party’s control to permit such inspection (and shall use commercially reasonable efforts to cause such inspection to be permitted to the extent that it is not within such party’s control to permit such inspection), and to examine the books and records of Holdings and any such Subsidiary and discuss the affairs, finances and accounts of Holdings and of any such Subsidiary with, and be advised as to the same by, its and their officers and independent accountants, all at such reasonable times and intervals and to such reasonable extent as the Administrative Agent or the Required Lenders may desire (and subject, in the case of any such meetings or advice from such independent accountants, to such accountants’ customary policies and procedures);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excluding any such visits and inspections during the continuation of an Event of Default, (a) only the Administrative Agent on behalf of the Required Lenders may exercise rights of the Administrative Agent and the Lenders under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(b) the Administrative Agent shall not exercise such rights more than one time in any calendar year, which such visit will be at Holdings’ expense, and (c) notwithstanding anything to the contrary in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none of Holdings or any of the Restricted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law or any agreement binding on a third-party or (iii) is subject to attorney-client or similar privilege or constitutes attorney work product;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when an Event of Default exists, the Administrative Agent (or any of its respective representatives or independent contractors) or any representative of the Required Lenders may do any of the foregoing at the expense of Holdings at any time during normal business hours and upon reasonable advance notice. The Administrative Agent and the Required Lenders shall give Holdings the opportunity to participate in any discussions with Holdings’ independent public accountants.</w:t>
      </w:r>
    </w:p>
    <w:p>
      <w:pPr>
        <w:spacing w:after="0" w:line="39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Maintenance of Insurance</w:t>
      </w:r>
      <w:r>
        <w:rPr>
          <w:rFonts w:ascii="Arial" w:cs="Arial" w:eastAsia="Arial" w:hAnsi="Arial"/>
          <w:sz w:val="16"/>
          <w:szCs w:val="16"/>
          <w:color w:val="auto"/>
        </w:rPr>
        <w:t>. (a) Holdings will, and will cause each Material Subsidiary to, at all times maintain in full force and effect, pursuant to self-insurance arrangements or 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the availability of insurance on a cost-effective basis) and against at least such risks (and with such risk retentions) as Holdings believes (in the good faith judgment of management of Holdings) is reasonable and prudent in light of the size and nature of its business and the availability of insurance on a cost-effective basis; and will furnish to the Administrative Agent, promptly following written request from the Administrative Agent, information presented in reasonable detail as to the insurance so carried and (b) with respect to each Mortgaged Property, Holdings will obtain flood insurance in such total amount as may reasonably be required by the Collateral Agent but in any event in the minimum amount as required by law, if at any time the area in which any improvements located on any Mortgaged Property is designated a “special flood hazard area” in any Flood Insurance Rate Map published by the Federal Emergency Management Agency (or any successor agency), and otherwise comply with the National Flood Insurance Program as set forth in the Flood Disaster Protection Act of 1973, as amended from time to time. Each such policy of insurance shall (i) name the Collateral Agent, on behalf of the Secured Parties as an additional insured thereunder as its interests may appear and (ii) in the case of each casualty insurance policy, contain a loss payable clause or endorsement that names the Collateral Agent, on behalf of the Secured Parties as the loss payee thereunder.</w:t>
      </w:r>
    </w:p>
    <w:p>
      <w:pPr>
        <w:spacing w:after="0" w:line="17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Payment of Taxes</w:t>
      </w:r>
      <w:r>
        <w:rPr>
          <w:rFonts w:ascii="Arial" w:cs="Arial" w:eastAsia="Arial" w:hAnsi="Arial"/>
          <w:sz w:val="17"/>
          <w:szCs w:val="17"/>
          <w:color w:val="auto"/>
        </w:rPr>
        <w:t xml:space="preserve">. Holdings will pay and discharge, and will cause each of the Restricted Subsidiaries to pay and discharge, all material Taxes imposed upon it (including in its capacity as a withholding agent) or upon its income or profits, or upon any properties belonging to it, prior to the date on which material penalties attach thereto, and all lawful material claims in respect of any Taxes imposed, assessed or levied that, if unpaid, would reasonably be expected to become a material Lien upon any properties of Holdings or any of the Restricted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Holdings nor any of the Restricted Subsidiaries shall be required to pay any such Tax that is being contested in good faith and by proper proceedings if it has maintained adequate reserves (in the good faith judgment of management of Holdings) with respect thereto in accordance with GAAP and the failure to pay would not reasonably be expected to result in a Material Adverse Effect.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-114-</w:t>
      </w:r>
    </w:p>
    <w:p>
      <w:pPr>
        <w:sectPr>
          <w:pgSz w:w="11900" w:h="16838" w:orient="portrait"/>
          <w:cols w:equalWidth="0" w:num="1">
            <w:col w:w="11400"/>
          </w:cols>
          <w:pgMar w:left="240" w:top="814" w:right="259" w:bottom="1440" w:gutter="0" w:footer="0" w:header="0"/>
        </w:sectPr>
      </w:pPr>
    </w:p>
    <w:bookmarkStart w:id="194" w:name="page195"/>
    <w:bookmarkEnd w:id="194"/>
    <w:p>
      <w:pPr>
        <w:ind w:firstLine="648"/>
        <w:spacing w:after="0" w:line="276"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Preservation of Existence; Consolidated Corporate Franchises</w:t>
      </w:r>
      <w:r>
        <w:rPr>
          <w:rFonts w:ascii="Arial" w:cs="Arial" w:eastAsia="Arial" w:hAnsi="Arial"/>
          <w:sz w:val="17"/>
          <w:szCs w:val="17"/>
          <w:color w:val="auto"/>
        </w:rPr>
        <w:t xml:space="preserve">. Holdings and the Borrower will, and will cause each Material Subsidiary to, take all actions necessary (a) to preserve and keep in full force and effect its existence, organizational rights and authority and (b) to maintain its rights, privileges (including its good standing (if applicable)), permits, licenses and franchises necessary in the normal conduct of its business, in each case, except to the extent that the failure to do so would not reasonably be expected to have a Material Adverse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Holdings and its Subsidiaries may consummate any transaction permitted under Permitted Investments and </w:t>
      </w:r>
      <w:r>
        <w:rPr>
          <w:rFonts w:ascii="Arial" w:cs="Arial" w:eastAsia="Arial" w:hAnsi="Arial"/>
          <w:sz w:val="17"/>
          <w:szCs w:val="17"/>
          <w:u w:val="single" w:color="auto"/>
          <w:color w:val="auto"/>
        </w:rPr>
        <w:t>Sections 10.2</w:t>
      </w:r>
      <w:r>
        <w:rPr>
          <w:rFonts w:ascii="Arial" w:cs="Arial" w:eastAsia="Arial" w:hAnsi="Arial"/>
          <w:sz w:val="17"/>
          <w:szCs w:val="17"/>
          <w:color w:val="auto"/>
        </w:rPr>
        <w:t xml:space="preserve">, </w:t>
      </w:r>
      <w:r>
        <w:rPr>
          <w:rFonts w:ascii="Arial" w:cs="Arial" w:eastAsia="Arial" w:hAnsi="Arial"/>
          <w:sz w:val="17"/>
          <w:szCs w:val="17"/>
          <w:u w:val="single" w:color="auto"/>
          <w:color w:val="auto"/>
        </w:rPr>
        <w:t>10.3</w:t>
      </w:r>
      <w:r>
        <w:rPr>
          <w:rFonts w:ascii="Arial" w:cs="Arial" w:eastAsia="Arial" w:hAnsi="Arial"/>
          <w:sz w:val="17"/>
          <w:szCs w:val="17"/>
          <w:color w:val="auto"/>
        </w:rPr>
        <w:t xml:space="preserve">, </w:t>
      </w:r>
      <w:r>
        <w:rPr>
          <w:rFonts w:ascii="Arial" w:cs="Arial" w:eastAsia="Arial" w:hAnsi="Arial"/>
          <w:sz w:val="17"/>
          <w:szCs w:val="17"/>
          <w:u w:val="single" w:color="auto"/>
          <w:color w:val="auto"/>
        </w:rPr>
        <w:t>10.4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10.5</w:t>
      </w:r>
      <w:r>
        <w:rPr>
          <w:rFonts w:ascii="Arial" w:cs="Arial" w:eastAsia="Arial" w:hAnsi="Arial"/>
          <w:sz w:val="17"/>
          <w:szCs w:val="17"/>
          <w:color w:val="auto"/>
        </w:rPr>
        <w:t>.</w:t>
      </w:r>
    </w:p>
    <w:p>
      <w:pPr>
        <w:spacing w:after="0" w:line="173"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Compliance with Statutes, Regulations, Etc.</w:t>
      </w:r>
      <w:r>
        <w:rPr>
          <w:rFonts w:ascii="Arial" w:cs="Arial" w:eastAsia="Arial" w:hAnsi="Arial"/>
          <w:sz w:val="16"/>
          <w:szCs w:val="16"/>
          <w:color w:val="auto"/>
        </w:rPr>
        <w:t xml:space="preserve"> Holdings will, and will cause each Restricted Subsidiary to, (a) comply with all applicable laws, rules, regulations, and orders applicable to it or its property, including, without limitation, applicable Sanctions and Anti-Corruption Laws, as amended, and the rules and regulations promulgated thereunder, and all governmental approvals or authorizations required to conduct its business, and to maintain all such governmental approvals or authorizations in full force and effect, (b) comply with, and use commercially reasonable efforts to ensure compliance by all tenants and subtenants, if any, with, all Environmental Laws, and obtain and comply with and maintain, and use commercially reasonable efforts to ensure that all tenants and subtenants obtain and comply with and maintain, any and all licenses, approvals, notifications, registrations or permits required by Environmental Laws, and (c) conduct and complete all investigations, studies, sampling and testing, and all remedial, removal, and other actions required under Environmental Laws and promptly comply with all lawful orders and directives of all Governmental Authorities regarding Environmental Laws, other than such orders and directives which are being timely contested in good faith by proper proceedings, except in each case of </w:t>
      </w:r>
      <w:r>
        <w:rPr>
          <w:rFonts w:ascii="Arial" w:cs="Arial" w:eastAsia="Arial" w:hAnsi="Arial"/>
          <w:sz w:val="16"/>
          <w:szCs w:val="16"/>
          <w:u w:val="single" w:color="auto"/>
          <w:color w:val="auto"/>
        </w:rPr>
        <w:t>(a)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9.6</w:t>
      </w:r>
      <w:r>
        <w:rPr>
          <w:rFonts w:ascii="Arial" w:cs="Arial" w:eastAsia="Arial" w:hAnsi="Arial"/>
          <w:sz w:val="16"/>
          <w:szCs w:val="16"/>
          <w:color w:val="auto"/>
        </w:rPr>
        <w:t>, where the failure to do so would not reasonably be expected to result in a Material Adverse Effect.</w:t>
      </w:r>
    </w:p>
    <w:p>
      <w:pPr>
        <w:spacing w:after="0" w:line="16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ERISA</w:t>
      </w:r>
      <w:r>
        <w:rPr>
          <w:rFonts w:ascii="Arial" w:cs="Arial" w:eastAsia="Arial" w:hAnsi="Arial"/>
          <w:sz w:val="16"/>
          <w:szCs w:val="16"/>
          <w:color w:val="auto"/>
        </w:rPr>
        <w:t xml:space="preserve">. (a) Holdings will furnish to the Administrative Agent promptly following receipt thereof, copies of any documents described in Sections 101(k) or 101(l) of ERISA that any Credit Party or any of its Subsidiaries may request with respect to any Multiemployer Plan to which a Credit Party or any of its Subsidiaries is obligated to contribute;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Credit Parties or any of their Subsidiaries have not requested such documents or notices from the administrator or sponsor of the applicable Multiemployer Plan, then, upon reasonable request of the Administrative Agent, the Credit Parties shall promptly make a request for such documents or notices from such administrator or sponsor and the Borrower shall provide copies of such documents and notices to the Administrative Agent promptly after receipt thereof; and further provided, that the rights granted to the Administrative Agent in this Section shall be exercised not more than once during a 12-month period, and (b) Holdings will notify the Administrative Agent promptly following the occurrence of any ERISA Event or Foreign Plan Event that, alone or together with any other ERISA Events or Foreign Plan Events that have occurred, would reasonably be expected to result in liability of any Credit Party that would reasonably be expected to have a Material Adverse Effect.</w:t>
      </w:r>
    </w:p>
    <w:p>
      <w:pPr>
        <w:spacing w:after="0" w:line="16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Holdings will, and will cause each of the Restricted Subsidiaries to, keep and maintain all property material to the conduct of its business in good working order and condition, ordinary wear and tear, casualty, and condemnation excepted, except to the extent that the failure to do so would not reasonably be expected to have a Material Adverse Effect.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-115-</w:t>
      </w:r>
    </w:p>
    <w:p>
      <w:pPr>
        <w:sectPr>
          <w:pgSz w:w="11900" w:h="16838" w:orient="portrait"/>
          <w:cols w:equalWidth="0" w:num="1">
            <w:col w:w="11400"/>
          </w:cols>
          <w:pgMar w:left="240" w:top="814" w:right="259" w:bottom="1440" w:gutter="0" w:footer="0" w:header="0"/>
        </w:sectPr>
      </w:pPr>
    </w:p>
    <w:bookmarkStart w:id="195" w:name="page196"/>
    <w:bookmarkEnd w:id="195"/>
    <w:p>
      <w:pPr>
        <w:ind w:firstLine="648"/>
        <w:spacing w:after="0" w:line="283"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Holdings will conduct, and cause each of the Restricted Subsidiaries to conduct, all transactions with any of its Affiliates (other than Holdings and the Restricted Subsidiaries) involving aggregate payments or consideration in excess of $2,500,000 for any individual transaction or series of related transactions on terms that are at least substantially as favorable to Holdings or such Restricted Subsidiary as it would obtain in a comparable arm’s-length transaction with a Person that is not an Affiliate, as determined by the board of directors of Holdings or such Restricted Subsidiary in good faith;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restrictions shall not apply to (a) the payment of fees for management, consulting, and financial services rendered to Holdings and the Restricted Subsidiaries and customary investment banking fees for services rendered to Holdings and the Subsidiaries in connection with divestitures, acquisitions, financings and other transactions which payments are approved by a majority of the board of directors of Holdings in good faith, (b) transactions permitted by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(c) consummation of the Transactions and the payment of the Transaction Expenses, (d) the issuance of Capital Stock or Stock Equivalents of Holdings (or any direct or indirect parent thereof) or any of its Subsidiaries not otherwise prohibited by the Credit Documents, (e) loans, advances and other transactions between or among Holdings, any Restricted Subsidiary or any joint venture (regardless of the form of legal entity) in which Holdings or any Subsidiary has invested (and which Subsidiary or joint venture would not be an Affiliate of Holdings but for Holdings’ or a Subsidiary’s ownership of Capital Stock or Stock Equivalents in such joint venture or Subsidiary) to the extent permitted under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(f) employment and severance arrangements between Holdings and the Restricted Subsidiaries and their respective officers, employees or consultants (including management and employee benefit plans or agreements, stock option plans and other compensatory arrangements) in the ordinary course of business (including loans and advances in connection therewith), (g) payments by Holdings (and any direct or indirect parent thereof) and the Subsidiaries pursuant to the tax sharing agreements among Holdings (and any such parent) and the Subsidiaries that are permitted under </w:t>
      </w:r>
      <w:r>
        <w:rPr>
          <w:rFonts w:ascii="Arial" w:cs="Arial" w:eastAsia="Arial" w:hAnsi="Arial"/>
          <w:sz w:val="16"/>
          <w:szCs w:val="16"/>
          <w:u w:val="single" w:color="auto"/>
          <w:color w:val="auto"/>
        </w:rPr>
        <w:t>Section 10.5(b)(15)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the amount of such payments in any fiscal year does not exceed the amount that Holdings, the Restricted Subsidiaries and the Unrestricted Subsidiaries (to the extent of the amount received from Unrestricted Subsidiaries) would have been required to pay in respect of such foreign, federal, state and/or local taxes for such fiscal year had Holdings, the Restricted Subsidiaries and the Unrestricted Subsidiaries (to the extent described above) paid such taxes separately from any such direct or indirect parent company of Holdings, (h) the payment of customary fees and reasonable out of pocket costs to, and indemnities provided on behalf of, directors, managers, consultants, officers, employees of Holdings (or any direct or indirect parent thereof) and the Subsidiaries in the ordinary course of business to the extent attributable to the ownership or operation of Holdings and the Subsidiaries, (i) transactions undertaken pursuant to membership in a purchasing consortium, (j) transactions pursuant to any agreement or arrangement as in effect as of the Restatement Effective Date, or any amendment, modification, supplement or replacement thereto (so long as any such amendment, modification, supplement or replacement is not disadvantageous in any material respect to the Lenders when taken as a whole as compared to the applicable agreement as in effect on the Restatement Effective Date as determined by the Borrower in good faith), (k) customary payments by Holdings (or any direct or indirect parent) and any Restricted Subsidiaries to the Sponsor made for any financial advisory, consulting, financing, underwriting or placement services or in respect of other investment banking activities (including in connection with acquisitions or divestitures), (l) the existence and performance of agreements and transactions with any Unrestricted Subsidiary that were entered into prior to the designation of a Restricted Subsidiary as such Unrestricted Subsidiary to the extent that the transaction was permitted at the time that it was entered into with such Restricted Subsidiary and transactions entered into by an Unrestricted Subsidiary with an Affiliate prior to the redesignation of any such Unrestricted Subsidiary as a Restricted Subsidiary; provided that such transaction was not entered into in contemplation of such designation or redesignation, as applicable, (m) Affiliate repurchases of the Loans or Commitments to the extent permitted hereunder and the holding of such Loans or Commitments and the payments and other transactions contemplated herein in respect thereof, and (n) any customary transactions with a Receivables Subsidiary effected as part of a Receivables Facility.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-116-</w:t>
      </w:r>
    </w:p>
    <w:p>
      <w:pPr>
        <w:sectPr>
          <w:pgSz w:w="11900" w:h="16838" w:orient="portrait"/>
          <w:cols w:equalWidth="0" w:num="1">
            <w:col w:w="11420"/>
          </w:cols>
          <w:pgMar w:left="240" w:top="814" w:right="239" w:bottom="1440" w:gutter="0" w:footer="0" w:header="0"/>
        </w:sectPr>
      </w:pPr>
    </w:p>
    <w:bookmarkStart w:id="196" w:name="page197"/>
    <w:bookmarkEnd w:id="196"/>
    <w:p>
      <w:pPr>
        <w:ind w:right="20" w:firstLine="648"/>
        <w:spacing w:after="0" w:line="273"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End of Fiscal Years</w:t>
      </w:r>
      <w:r>
        <w:rPr>
          <w:rFonts w:ascii="Arial" w:cs="Arial" w:eastAsia="Arial" w:hAnsi="Arial"/>
          <w:sz w:val="17"/>
          <w:szCs w:val="17"/>
          <w:color w:val="auto"/>
        </w:rPr>
        <w:t xml:space="preserve">. Holdings will, for financial reporting purposes, cause each of its, and each of the Restricted Subsidiaries’, fiscal years to end on dates consistent with past practice;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Holdings may, upon written notice to the Administrative Agent change the financial reporting convention specified above to (x) align the dates of such fiscal year and for any Restricted Subsidiary whose fiscal years end on dates different from those of Holdings or (y) any other financial reporting convention (including a change of fiscal year) reasonably acceptable (such consent not to be unreasonably withheld or delayed) to the Administrative Agent, in which case Holdings and the Administrative Agent will, and are hereby authorized by the Lenders to, make any adjustments to this Agreement that are necessary in order to reflect such change in financial reporting.</w:t>
      </w:r>
    </w:p>
    <w:p>
      <w:pPr>
        <w:spacing w:after="0" w:line="17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Additional Guarantors and Grantors</w:t>
      </w:r>
      <w:r>
        <w:rPr>
          <w:rFonts w:ascii="Arial" w:cs="Arial" w:eastAsia="Arial" w:hAnsi="Arial"/>
          <w:sz w:val="16"/>
          <w:szCs w:val="16"/>
          <w:color w:val="auto"/>
        </w:rPr>
        <w:t xml:space="preserve">. Subject to any applicable limitations set forth in the Security Documents, Holdings will cause each direct or indirect Subsidiary (other than any Excluded Subsidiary) formed or otherwise purchased or acquired after the Restatement Effective Date (including pursuant to a Permitted Acquisition), and each other Subsidiary that ceases to constitute an Excluded Subsidiary, within 60 days from the date of such formation, acquisition or cessation, as applicable (or such longer period as the Administrative Agent may agree in its reasonable discretion), and Holdings may at its option cause any Subsidiary, to execute a supplement to each of the Guarantee, the Pledge Agreement and the Security Agreement in order to become a Guarantor under the Guarantee and a grantor under such Security Documents or, to the extent reasonably requested by the Collateral Agent, enter into a new Security Document substantially consistent with the analogous existing Security Documents and otherwise in form and substance reasonably satisfactory to the Collateral Agent and take all other action reasonably requested by the Collateral Agent to grant a perfected security interest in its assets to substantially the same extent as created and perfected by the Credit Parties on the Restatement Effective Date and pursuant to </w:t>
      </w:r>
      <w:r>
        <w:rPr>
          <w:rFonts w:ascii="Arial" w:cs="Arial" w:eastAsia="Arial" w:hAnsi="Arial"/>
          <w:sz w:val="16"/>
          <w:szCs w:val="16"/>
          <w:u w:val="single" w:color="auto"/>
          <w:color w:val="auto"/>
        </w:rPr>
        <w:t>Section 9.14(d)</w:t>
      </w:r>
      <w:r>
        <w:rPr>
          <w:rFonts w:ascii="Arial" w:cs="Arial" w:eastAsia="Arial" w:hAnsi="Arial"/>
          <w:sz w:val="16"/>
          <w:szCs w:val="16"/>
          <w:color w:val="auto"/>
        </w:rPr>
        <w:t xml:space="preserve"> in the case of such Credit Parties. For the avoidance of doubt, no Credit Party or any Restricted Subsidiary that is a Domestic Subsidiary shall be required to take any action outside the United States to perfect any security interest in the Collateral (including the execution of any agreement, document or other instrument governed by the law of any jurisdiction other than the United States, any State thereof or the District of Columbia).</w:t>
      </w:r>
    </w:p>
    <w:p>
      <w:pPr>
        <w:spacing w:after="0" w:line="16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9.12 </w:t>
      </w:r>
      <w:r>
        <w:rPr>
          <w:rFonts w:ascii="Arial" w:cs="Arial" w:eastAsia="Arial" w:hAnsi="Arial"/>
          <w:sz w:val="17"/>
          <w:szCs w:val="17"/>
          <w:u w:val="single" w:color="auto"/>
          <w:color w:val="auto"/>
        </w:rPr>
        <w:t>Pledge of Additional Stock and Evidence of Indebtedness</w:t>
      </w:r>
      <w:r>
        <w:rPr>
          <w:rFonts w:ascii="Arial" w:cs="Arial" w:eastAsia="Arial" w:hAnsi="Arial"/>
          <w:sz w:val="17"/>
          <w:szCs w:val="17"/>
          <w:color w:val="auto"/>
        </w:rPr>
        <w:t xml:space="preserve">. Subject to any applicable limitations set forth in the Security Documents and other than (x) when in the reasonable determination of the Administrative Agent and the Borrower (as agreed to in writing), the cost or other consequences of doing so would be excessive in view of the benefits to be obtained by the Lenders therefrom or (y) to the extent doing so would result in material adverse tax consequences as reasonably determined by the Borrower in consultation with the Administrative Agent, Holdings will cause (i) all certificates representing Capital Stock and Stock Equivalents of any Restricted Subsidiary (other than any Excluded Stock and Stock Equivalents) held directly by Holdings or any other Credit Party, (ii) all evidences of Indebtedness in excess of $10,000,000 received by Holdings or any of the Guarantors in connection with any disposition of assets pursuant to </w:t>
      </w:r>
      <w:r>
        <w:rPr>
          <w:rFonts w:ascii="Arial" w:cs="Arial" w:eastAsia="Arial" w:hAnsi="Arial"/>
          <w:sz w:val="17"/>
          <w:szCs w:val="17"/>
          <w:u w:val="single" w:color="auto"/>
          <w:color w:val="auto"/>
        </w:rPr>
        <w:t>Section 10.4(b)</w:t>
      </w:r>
      <w:r>
        <w:rPr>
          <w:rFonts w:ascii="Arial" w:cs="Arial" w:eastAsia="Arial" w:hAnsi="Arial"/>
          <w:sz w:val="17"/>
          <w:szCs w:val="17"/>
          <w:color w:val="auto"/>
        </w:rPr>
        <w:t>, and (iii) any promissory notes executed after the Restatement Effective Date evidencing Indebtedness in excess of $10,000,000 of Holdings or any Subsidiary that is owing to Holdings or any other Credit Party, in each case, to be delivered to the Collateral Agent as security for the Obligations accompanied by undated instruments of transfer executed in blank pursuant to the terms of the Security Documents. Notwithstanding the foregoing any promissory note among Holdings and/or its Subsidiaries need not be delivered to the Collateral Agent so long as (i) a global intercompany note superseding such promissory note has been delivered to the Collateral Agent, (ii) such promissory note is not delivered to any other party other than Holdings or any other Credit Party, in each case, owed money thereunder, and (iii) such promissory note indicates on its face that it is subject to the security interest of the Collateral Agent.</w:t>
      </w:r>
    </w:p>
    <w:p>
      <w:pPr>
        <w:spacing w:after="0" w:line="18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5"/>
          <w:szCs w:val="15"/>
          <w:u w:val="single" w:color="auto"/>
          <w:color w:val="auto"/>
        </w:rPr>
        <w:t>Use of Proceeds</w:t>
      </w:r>
      <w:r>
        <w:rPr>
          <w:rFonts w:ascii="Arial" w:cs="Arial" w:eastAsia="Arial" w:hAnsi="Arial"/>
          <w:sz w:val="15"/>
          <w:szCs w:val="15"/>
          <w:color w:val="auto"/>
        </w:rPr>
        <w:t>.</w:t>
      </w:r>
    </w:p>
    <w:p>
      <w:pPr>
        <w:spacing w:after="0" w:line="225" w:lineRule="exact"/>
        <w:rPr>
          <w:sz w:val="20"/>
          <w:szCs w:val="20"/>
          <w:color w:val="auto"/>
        </w:rPr>
      </w:pPr>
    </w:p>
    <w:p>
      <w:pPr>
        <w:ind w:right="120" w:firstLine="656"/>
        <w:spacing w:after="0" w:line="277" w:lineRule="auto"/>
        <w:tabs>
          <w:tab w:leader="none" w:pos="102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Borrower will use Letters of Credit, Revolving Loans and Swingline Loans for working capital and general corporate purposes (including any transaction not prohibited by the Credit Documents).</w:t>
      </w:r>
    </w:p>
    <w:p>
      <w:pPr>
        <w:spacing w:after="0" w:line="170" w:lineRule="exact"/>
        <w:rPr>
          <w:rFonts w:ascii="Arial" w:cs="Arial" w:eastAsia="Arial" w:hAnsi="Arial"/>
          <w:sz w:val="18"/>
          <w:szCs w:val="18"/>
          <w:color w:val="auto"/>
        </w:rPr>
      </w:pPr>
    </w:p>
    <w:p>
      <w:pPr>
        <w:ind w:right="360" w:firstLine="656"/>
        <w:spacing w:after="0" w:line="264" w:lineRule="auto"/>
        <w:tabs>
          <w:tab w:leader="none" w:pos="103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On the Restatement Effective Date, the Borrower will use the proceeds of the Term A Loans and cash on hand to effect the transactions contemplated by the Restatement Agreement, including the prepayment of all amounts outstanding (other than contingent obligations) under the Original Credit Agreement immediately prior the Restatement Effective Date.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-117-</w:t>
      </w:r>
    </w:p>
    <w:p>
      <w:pPr>
        <w:sectPr>
          <w:pgSz w:w="11900" w:h="16838" w:orient="portrait"/>
          <w:cols w:equalWidth="0" w:num="1">
            <w:col w:w="11400"/>
          </w:cols>
          <w:pgMar w:left="240" w:top="814" w:right="259" w:bottom="1440" w:gutter="0" w:footer="0" w:header="0"/>
        </w:sectPr>
      </w:pPr>
    </w:p>
    <w:bookmarkStart w:id="197" w:name="page198"/>
    <w:bookmarkEnd w:id="197"/>
    <w:p>
      <w:pPr>
        <w:ind w:left="-8" w:right="600" w:firstLine="656"/>
        <w:spacing w:after="0" w:line="277" w:lineRule="auto"/>
        <w:tabs>
          <w:tab w:leader="none" w:pos="10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Borrower shall not use the proceeds of any Loan in any manner that would make the representations described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untrue.</w:t>
      </w:r>
    </w:p>
    <w:p>
      <w:pPr>
        <w:spacing w:after="0" w:line="170" w:lineRule="exact"/>
        <w:rPr>
          <w:sz w:val="20"/>
          <w:szCs w:val="20"/>
          <w:color w:val="auto"/>
        </w:rPr>
      </w:pPr>
    </w:p>
    <w:p>
      <w:pPr>
        <w:ind w:left="652"/>
        <w:spacing w:after="0"/>
        <w:tabs>
          <w:tab w:leader="none" w:pos="1132"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15"/>
          <w:szCs w:val="15"/>
          <w:u w:val="single" w:color="auto"/>
          <w:color w:val="auto"/>
        </w:rPr>
        <w:t>Further Assurances.</w:t>
      </w:r>
    </w:p>
    <w:p>
      <w:pPr>
        <w:spacing w:after="0" w:line="225" w:lineRule="exact"/>
        <w:rPr>
          <w:sz w:val="20"/>
          <w:szCs w:val="20"/>
          <w:color w:val="auto"/>
        </w:rPr>
      </w:pPr>
    </w:p>
    <w:p>
      <w:pPr>
        <w:ind w:left="-8" w:right="120" w:firstLine="656"/>
        <w:spacing w:after="0" w:line="297" w:lineRule="auto"/>
        <w:tabs>
          <w:tab w:leader="none" w:pos="102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 xml:space="preserve">Subject to the terms of </w:t>
      </w:r>
      <w:r>
        <w:rPr>
          <w:rFonts w:ascii="Arial" w:cs="Arial" w:eastAsia="Arial" w:hAnsi="Arial"/>
          <w:sz w:val="16"/>
          <w:szCs w:val="16"/>
          <w:u w:val="single" w:color="auto"/>
          <w:color w:val="auto"/>
        </w:rPr>
        <w:t>Sections 9.11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9.12</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9.14</w:t>
      </w:r>
      <w:r>
        <w:rPr>
          <w:rFonts w:ascii="Arial" w:cs="Arial" w:eastAsia="Arial" w:hAnsi="Arial"/>
          <w:sz w:val="16"/>
          <w:szCs w:val="16"/>
          <w:color w:val="auto"/>
        </w:rPr>
        <w:t xml:space="preserve"> and the Security Documents, Holdings will, and will cause each other Credit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or that the Collateral Agent or the Required Lenders may reasonably request, in order to grant, preserve, protect, and perfect the validity and priority of the security interests created or intended to be created by the applicable Security Documents, all at the expense of Holdings and the Restricted Subsidiaries.</w:t>
      </w:r>
    </w:p>
    <w:p>
      <w:pPr>
        <w:spacing w:after="0" w:line="158" w:lineRule="exact"/>
        <w:rPr>
          <w:rFonts w:ascii="Arial" w:cs="Arial" w:eastAsia="Arial" w:hAnsi="Arial"/>
          <w:sz w:val="16"/>
          <w:szCs w:val="16"/>
          <w:color w:val="auto"/>
        </w:rPr>
      </w:pPr>
    </w:p>
    <w:p>
      <w:pPr>
        <w:ind w:left="-8" w:right="40" w:firstLine="656"/>
        <w:spacing w:after="0" w:line="268" w:lineRule="auto"/>
        <w:tabs>
          <w:tab w:leader="none" w:pos="103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 xml:space="preserve">Subject to any applicable limitations set forth in the Security Documents and other than (x) when in the reasonable determination of the Administrative Agent and the Borrower (as agreed to in writing), the cost or other consequences of doing so would be excessive in view of the benefits to be obtained by the Lenders therefrom or (y) to the extent doing so would result in material adverse tax consequences as reasonably determined by the Borrower in consultation with the Administrative Agent, if any assets (other than Excluded Property) (including any real estate or improvements thereto or any interest therein but excluding Capital Stock and Stock Equivalents of any Subsidiary and excluding any real estate which the Borrower or applicable Credit Party intends to dispose of pursuant to a Permitted Sale Leaseback so long as actually disposed of within 270 days of acquisition (or such longer period as the Administrative Agent may reasonably agree)) with a book value in excess of $20,000,000 (at the time of acquisition) are acquired by Holdings or any other Credit Party after the Restatement Effective Date (other than assets constituting Collateral under a Security Document that become subject to the Lien of the applicable Security Document upon acquisition thereof) that are of a nature secured by a Security Document or that constitute a fee interest in real property in the United States, Holdings will notify the Collateral Agent, and, if requested by the Collateral Agent, Holdings will cause such assets to be subjected to a Lien securing the Obligations and will take, and cause the other applicable Credit Parties to take, such actions as shall be necessary or reasonably requested by the Collateral Agent, as soon as commercially reasonable but in no event later than 90 days, unless extended by the Administrative Agent in its sole discretion, to grant and perfect such Liens consistent with the applicable requirements of the Security Documents, including actions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9.14</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ind w:left="-8" w:firstLine="656"/>
        <w:spacing w:after="0" w:line="283" w:lineRule="auto"/>
        <w:tabs>
          <w:tab w:leader="none" w:pos="101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 xml:space="preserve">Any Mortgage delivered to the Administrative Agent in accordance with the preceding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if requested by the Collateral Agent, be received as soon as commercially reasonable but in no event later than 90 days (except as set forth in the preceding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unless extended by the Administrative Agent acting reasonably and accompanied by (x) a policy or policies (or an unconditional binding commitment therefor to be replaced by a final title policy) of title insurance issued by a nationally recognized title insurance company, in such amounts as reasonably acceptable to the Administrative Agent not to exceed the Fair Market Value of the applicable Mortgaged Property, insuring the Lien of each Mortgage as a valid first Lien on the Mortgaged Property described therein, free of any other Liens except as expressly permitted by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or as otherwise permitted by the Administrative Agent and otherwise in form and substance reasonably acceptable to the Administrative Agent and the Borrower, together with such endorsements, coinsurance and reinsurance as the Administrative Agent may reasonably request but only to the extent such endorsements are (i) available in the relevant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no event shall the Administrative Agent request a creditors’ rights endorsement) and (ii) available at commercially reasonable rates, (y) an opinion of local counsel to the applicable Credit Party in form and substance reasonably acceptable to the Administrative Agent, (z) a completed “Life-of-Loan” Federal Emergency Management Agency Standard Flood Hazard Determination, and if any improvements on such Mortgaged Property are located in a special flood hazard area, (i) a notice about special flood hazard area status and flood disaster assistance duly executed by the applicable Credit Parties and</w:t>
      </w:r>
    </w:p>
    <w:p>
      <w:pPr>
        <w:spacing w:after="0" w:line="3" w:lineRule="exact"/>
        <w:rPr>
          <w:rFonts w:ascii="Arial" w:cs="Arial" w:eastAsia="Arial" w:hAnsi="Arial"/>
          <w:sz w:val="16"/>
          <w:szCs w:val="16"/>
          <w:color w:val="auto"/>
        </w:rPr>
      </w:pPr>
    </w:p>
    <w:p>
      <w:pPr>
        <w:ind w:left="272" w:hanging="272"/>
        <w:spacing w:after="0"/>
        <w:tabs>
          <w:tab w:leader="none" w:pos="27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certificates of insurance evidencing the insurance required by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in form and substance reasonably satisfactory to the Administrative Agent, and</w:t>
      </w:r>
    </w:p>
    <w:p>
      <w:pPr>
        <w:spacing w:after="0" w:line="32" w:lineRule="exact"/>
        <w:rPr>
          <w:rFonts w:ascii="Arial" w:cs="Arial" w:eastAsia="Arial" w:hAnsi="Arial"/>
          <w:sz w:val="16"/>
          <w:szCs w:val="16"/>
          <w:color w:val="auto"/>
        </w:rPr>
      </w:pPr>
    </w:p>
    <w:p>
      <w:pPr>
        <w:ind w:left="-8" w:right="60" w:firstLine="8"/>
        <w:spacing w:after="0" w:line="302" w:lineRule="auto"/>
        <w:tabs>
          <w:tab w:leader="none" w:pos="317"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an ALTA survey in a form and substance reasonably acceptable to the Collateral Agent or such existing survey together with a no-change affidavit sufficient for the title company to remove all standard survey exceptions from the title policy related to such Mortgaged Property and issue the endorsements required in (x)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Mortgage shall be executed and delivered until each Lender has received the documents stipulated in </w:t>
      </w:r>
      <w:r>
        <w:rPr>
          <w:rFonts w:ascii="Arial" w:cs="Arial" w:eastAsia="Arial" w:hAnsi="Arial"/>
          <w:sz w:val="16"/>
          <w:szCs w:val="16"/>
          <w:u w:val="single" w:color="auto"/>
          <w:color w:val="auto"/>
        </w:rPr>
        <w:t>clause (z)</w:t>
      </w:r>
      <w:r>
        <w:rPr>
          <w:rFonts w:ascii="Arial" w:cs="Arial" w:eastAsia="Arial" w:hAnsi="Arial"/>
          <w:sz w:val="16"/>
          <w:szCs w:val="16"/>
          <w:color w:val="auto"/>
        </w:rPr>
        <w:t xml:space="preserve"> above.</w:t>
      </w:r>
    </w:p>
    <w:p>
      <w:pPr>
        <w:spacing w:after="0" w:line="396"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-118-</w:t>
      </w:r>
    </w:p>
    <w:p>
      <w:pPr>
        <w:sectPr>
          <w:pgSz w:w="11900" w:h="16838" w:orient="portrait"/>
          <w:cols w:equalWidth="0" w:num="1">
            <w:col w:w="11412"/>
          </w:cols>
          <w:pgMar w:left="248" w:top="814" w:right="239" w:bottom="1440" w:gutter="0" w:footer="0" w:header="0"/>
        </w:sectPr>
      </w:pPr>
    </w:p>
    <w:bookmarkStart w:id="198" w:name="page199"/>
    <w:bookmarkEnd w:id="198"/>
    <w:p>
      <w:pPr>
        <w:ind w:right="80" w:firstLine="656"/>
        <w:spacing w:after="0" w:line="264" w:lineRule="auto"/>
        <w:tabs>
          <w:tab w:leader="none" w:pos="1038"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Post-Closing Covenant</w:t>
      </w:r>
      <w:r>
        <w:rPr>
          <w:rFonts w:ascii="Arial" w:cs="Arial" w:eastAsia="Arial" w:hAnsi="Arial"/>
          <w:sz w:val="18"/>
          <w:szCs w:val="18"/>
          <w:color w:val="auto"/>
        </w:rPr>
        <w:t xml:space="preserve">. Holdings agrees that it will, or will cause its relevant Subsidiaries to, complete each of the actions described on </w:t>
      </w:r>
      <w:r>
        <w:rPr>
          <w:rFonts w:ascii="Arial" w:cs="Arial" w:eastAsia="Arial" w:hAnsi="Arial"/>
          <w:sz w:val="18"/>
          <w:szCs w:val="18"/>
          <w:u w:val="single" w:color="auto"/>
          <w:color w:val="auto"/>
        </w:rPr>
        <w:t>Schedule 9.14</w:t>
      </w:r>
      <w:r>
        <w:rPr>
          <w:rFonts w:ascii="Arial" w:cs="Arial" w:eastAsia="Arial" w:hAnsi="Arial"/>
          <w:sz w:val="18"/>
          <w:szCs w:val="18"/>
          <w:color w:val="auto"/>
        </w:rPr>
        <w:t xml:space="preserve"> as soon as commercially reasonable and by no later than the date set forth in </w:t>
      </w:r>
      <w:r>
        <w:rPr>
          <w:rFonts w:ascii="Arial" w:cs="Arial" w:eastAsia="Arial" w:hAnsi="Arial"/>
          <w:sz w:val="18"/>
          <w:szCs w:val="18"/>
          <w:u w:val="single" w:color="auto"/>
          <w:color w:val="auto"/>
        </w:rPr>
        <w:t>Schedule 9.14</w:t>
      </w:r>
      <w:r>
        <w:rPr>
          <w:rFonts w:ascii="Arial" w:cs="Arial" w:eastAsia="Arial" w:hAnsi="Arial"/>
          <w:sz w:val="18"/>
          <w:szCs w:val="18"/>
          <w:color w:val="auto"/>
        </w:rPr>
        <w:t xml:space="preserve"> with respect to such action or such later date as the Administrative Agent may reasonably agree.</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9.15 </w:t>
      </w:r>
      <w:r>
        <w:rPr>
          <w:rFonts w:ascii="Arial" w:cs="Arial" w:eastAsia="Arial" w:hAnsi="Arial"/>
          <w:sz w:val="17"/>
          <w:szCs w:val="17"/>
          <w:u w:val="single" w:color="auto"/>
          <w:color w:val="auto"/>
        </w:rPr>
        <w:t>Lines of Business</w:t>
      </w:r>
      <w:r>
        <w:rPr>
          <w:rFonts w:ascii="Arial" w:cs="Arial" w:eastAsia="Arial" w:hAnsi="Arial"/>
          <w:sz w:val="17"/>
          <w:szCs w:val="17"/>
          <w:color w:val="auto"/>
        </w:rPr>
        <w:t>. Holdings and the Restricted Subsidiaries, taken as a whole, will not fundamentally and substantively alter the character of their business, taken as a whole, from the business conducted by Holdings and the Subsidiaries, taken as a whole, on the Restatement Effective Date and other business activities which are extensions thereof or otherwise incidental, synergistic, reasonably related, or ancillary to any of the foregoing (and non-core incidental businesses acquired in connection with any Permitted Acquisition or permitted Investment).</w:t>
      </w:r>
    </w:p>
    <w:p>
      <w:pPr>
        <w:spacing w:after="0" w:line="198"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color w:val="auto"/>
        </w:rPr>
        <w:t>Negative Covenants</w:t>
      </w:r>
    </w:p>
    <w:p>
      <w:pPr>
        <w:spacing w:after="0" w:line="23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Each of Holdings and the Borrower hereby covenants and agrees that on the Restatement Effective Date (immediately after consummation of the Acquisition) and thereafter, until the Commitments, the Swingline Commitment and each Letter of Credit have terminated or been collateralized in accordance with the terms of this Agreement and the Loans and Unpaid Drawings, together with interest, Fees, and all other Obligations incurred hereunder (other than contingent indemnity obligations, Secured Hedge Obligations and Secured Cash Management Obligations and Letters of Credit, collateralized in accordance with the terms of this Agreement), are paid in full:</w:t>
      </w:r>
    </w:p>
    <w:p>
      <w:pPr>
        <w:spacing w:after="0" w:line="18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Limitation on Indebtedness</w:t>
      </w:r>
      <w:r>
        <w:rPr>
          <w:rFonts w:ascii="Arial" w:cs="Arial" w:eastAsia="Arial" w:hAnsi="Arial"/>
          <w:sz w:val="17"/>
          <w:szCs w:val="17"/>
          <w:color w:val="auto"/>
        </w:rPr>
        <w:t>. Holdings will not, and will not permit any Restricted Subsidiary to create, incur, issue, assume, guarantee or otherwise become liable, contingently or otherwise (collectively, “</w:t>
      </w:r>
      <w:r>
        <w:rPr>
          <w:rFonts w:ascii="Arial" w:cs="Arial" w:eastAsia="Arial" w:hAnsi="Arial"/>
          <w:sz w:val="17"/>
          <w:szCs w:val="17"/>
          <w:b w:val="1"/>
          <w:bCs w:val="1"/>
          <w:color w:val="auto"/>
        </w:rPr>
        <w:t>incur</w:t>
      </w:r>
      <w:r>
        <w:rPr>
          <w:rFonts w:ascii="Arial" w:cs="Arial" w:eastAsia="Arial" w:hAnsi="Arial"/>
          <w:sz w:val="17"/>
          <w:szCs w:val="17"/>
          <w:color w:val="auto"/>
        </w:rPr>
        <w:t>” and collectively, an “</w:t>
      </w:r>
      <w:r>
        <w:rPr>
          <w:rFonts w:ascii="Arial" w:cs="Arial" w:eastAsia="Arial" w:hAnsi="Arial"/>
          <w:sz w:val="17"/>
          <w:szCs w:val="17"/>
          <w:b w:val="1"/>
          <w:bCs w:val="1"/>
          <w:color w:val="auto"/>
        </w:rPr>
        <w:t>incurrence</w:t>
      </w:r>
      <w:r>
        <w:rPr>
          <w:rFonts w:ascii="Arial" w:cs="Arial" w:eastAsia="Arial" w:hAnsi="Arial"/>
          <w:sz w:val="17"/>
          <w:szCs w:val="17"/>
          <w:color w:val="auto"/>
        </w:rPr>
        <w:t xml:space="preserve">”) with respect to any Indebtedness (including Acquired Indebtedness) and Holdings will not issue any shares of Disqualified Stock and will not permit any Restricted Subsidiary to issue any shares of Disqualified Stock or, in the case of Restricted Subsidiaries that are not Guarantors, preferred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Holdings may incur Indebtedness (including Acquired Indebtedness) or issue shares of Disqualified Stock, and any Restricted Subsidiary may incur Indebtedness (including Acquired Indebtedness), issue shares of Disqualified Stock and issue shares of preferred stock, if, after giving effect thereto, the Fixed Charge Coverage Ratio of Holdings and the Restricted Subsidiaries would be at least 2.00 to 1.00;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amount of Indebtedness (other than Acquired Indebtedness), Disqualified Stock and preferred stock that may be incurred pursuant to the foregoing together with any amounts incurred under </w:t>
      </w:r>
      <w:r>
        <w:rPr>
          <w:rFonts w:ascii="Arial" w:cs="Arial" w:eastAsia="Arial" w:hAnsi="Arial"/>
          <w:sz w:val="17"/>
          <w:szCs w:val="17"/>
          <w:u w:val="single" w:color="auto"/>
          <w:color w:val="auto"/>
        </w:rPr>
        <w:t>Section 10.1(n)(x)</w:t>
      </w:r>
      <w:r>
        <w:rPr>
          <w:rFonts w:ascii="Arial" w:cs="Arial" w:eastAsia="Arial" w:hAnsi="Arial"/>
          <w:sz w:val="17"/>
          <w:szCs w:val="17"/>
          <w:color w:val="auto"/>
        </w:rPr>
        <w:t xml:space="preserve"> by Restricted Subsidiaries that are not Guarantors shall not exceed the greater of (x) $35,000,000 and (y) 30.0% of Consolidated EBITDA for the most recently ended Test Period (calculated on a Pro Forma Basis) at any one time outstanding.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limitations will not apply to:</w:t>
      </w:r>
    </w:p>
    <w:p>
      <w:pPr>
        <w:spacing w:after="0" w:line="225" w:lineRule="exact"/>
        <w:rPr>
          <w:sz w:val="20"/>
          <w:szCs w:val="20"/>
          <w:color w:val="auto"/>
        </w:rPr>
      </w:pPr>
    </w:p>
    <w:p>
      <w:pPr>
        <w:ind w:left="1680" w:hanging="375"/>
        <w:spacing w:after="0"/>
        <w:tabs>
          <w:tab w:leader="none" w:pos="16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Indebtedness arising under the Credit Documents;</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660" w:right="160" w:firstLine="645"/>
        <w:spacing w:after="0" w:line="264" w:lineRule="auto"/>
        <w:tabs>
          <w:tab w:leader="none" w:pos="168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(i) Indebtedness (including any unused commitment) outstanding on the Restatement Effective Date listed on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and (ii) intercompany Indebtedness (including any unused commitment) outstanding on the Restatement Effective Date listed on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(other than intercompany Indebtedness owed by a Credit Party to another Credit Party);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-119-</w:t>
      </w:r>
    </w:p>
    <w:p>
      <w:pPr>
        <w:sectPr>
          <w:pgSz w:w="11900" w:h="16838" w:orient="portrait"/>
          <w:cols w:equalWidth="0" w:num="1">
            <w:col w:w="11400"/>
          </w:cols>
          <w:pgMar w:left="240" w:top="814" w:right="259" w:bottom="1440" w:gutter="0" w:footer="0" w:header="0"/>
        </w:sectPr>
      </w:pPr>
    </w:p>
    <w:bookmarkStart w:id="199" w:name="page200"/>
    <w:bookmarkEnd w:id="199"/>
    <w:p>
      <w:pPr>
        <w:ind w:left="-540" w:firstLine="645"/>
        <w:spacing w:after="0" w:line="268" w:lineRule="auto"/>
        <w:tabs>
          <w:tab w:leader="none" w:pos="49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Indebtedness (including Capitalized Lease Obligations), Disqualified Stock and preferred stock incurred by Holdings or any Restricted Subsidiary, to finance the purchase, lease, construction, installation, maintenance, replacement or improvement of property (real or personal) or equipment that is used or useful in a Similar Business, whether through the direct purchase of assets or the Capital Stock of any Person owning such assets and Indebtedness arising from the conversion of the obligations of Holdings or any Restricted Subsidiary under or pursuant to any “synthetic lease” transactions to on-balance sheet Indebtedness of Holdings or such Restricted Subsidiary, in an aggregate principal amount which, when aggregated with the principal amount of all other Indebtedness, Disqualified Stock and preferred stock then outstanding and incurred pursuant to this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and all Refinancing Indebtedness incurred to refinance any other Indebtedness, Disqualified Stock and preferred stock incurred pursuant to this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does not exceed the greater of (x) $35,000,000 and (y) 35.0% of Consolidated EBITDA for the most recently ended Test Period (calculated on a Pro Forma Basis) at the time of incurrence;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Capitalized Lease Obligations incurred by Holdings or any Restricted Subsidiary pursuant to this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in connection with a Permitted Sale Leaseback shall not be subject to the foregoing limitation so long as the proceeds of such Permitted Sale Leaseback are used by Holdings or such Restricted Subsidiary to permanently repay outstanding Term Loans or other Indebtedness secured by a Lien on the assets subject to such Permitted Sale Leaseback (excluding any Lien ranking junior to the Lien securing the Obligations);</w:t>
      </w:r>
    </w:p>
    <w:p>
      <w:pPr>
        <w:spacing w:after="0" w:line="187" w:lineRule="exact"/>
        <w:rPr>
          <w:rFonts w:ascii="Arial" w:cs="Arial" w:eastAsia="Arial" w:hAnsi="Arial"/>
          <w:sz w:val="17"/>
          <w:szCs w:val="17"/>
          <w:color w:val="auto"/>
        </w:rPr>
      </w:pPr>
    </w:p>
    <w:p>
      <w:pPr>
        <w:ind w:left="-540" w:right="220" w:firstLine="645"/>
        <w:spacing w:after="0" w:line="297" w:lineRule="auto"/>
        <w:tabs>
          <w:tab w:leader="none" w:pos="488"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Indebtedness incurred by Holdings or any Restricted Subsidiary (including letter of credit obligations consistent with past practice constituting reimbursement obligations with respect to letters of credit issued in the ordinary course of business), in respect of workers’ compensation claims, performance or surety bonds, health, disability or other employee benefits or property, casualty or liability insurance or self-insurance or other Indebtedness with respect to reimbursement or indemnification type obligations regarding workers’ compensation claims, performance or surety bonds, health, disability or other employee benefits or property, casualty or liability insurance or self-insurance;</w:t>
      </w:r>
    </w:p>
    <w:p>
      <w:pPr>
        <w:spacing w:after="0" w:line="158" w:lineRule="exact"/>
        <w:rPr>
          <w:rFonts w:ascii="Arial" w:cs="Arial" w:eastAsia="Arial" w:hAnsi="Arial"/>
          <w:sz w:val="16"/>
          <w:szCs w:val="16"/>
          <w:color w:val="auto"/>
        </w:rPr>
      </w:pPr>
    </w:p>
    <w:p>
      <w:pPr>
        <w:ind w:left="-540" w:right="180" w:firstLine="645"/>
        <w:spacing w:after="0" w:line="293" w:lineRule="auto"/>
        <w:tabs>
          <w:tab w:leader="none" w:pos="468"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Indebtedness arising from agreements of Holdings or a Restricted Subsidiary providing for indemnification, adjustment of purchase price, earnout or similar obligations, in each case, incurred or assumed in connection with the acquisition or disposition of any business, assets or a Subsidiary or other Person, other than guarantees of Indebtedness incurred by any Person acquiring all or any portion of such business, assets or a Subsidiary for the purpose of financing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is not reflected on the balance sheet of Holdings or any Restricted Subsidiary (contingent obligations referred to in a footnote to financial statements and not otherwise reflected on the balance sheet will not be deemed to be reflected as Indebtedness on such balance sheet for purposes of this </w:t>
      </w:r>
      <w:r>
        <w:rPr>
          <w:rFonts w:ascii="Arial" w:cs="Arial" w:eastAsia="Arial" w:hAnsi="Arial"/>
          <w:sz w:val="16"/>
          <w:szCs w:val="16"/>
          <w:u w:val="single" w:color="auto"/>
          <w:color w:val="auto"/>
        </w:rPr>
        <w:t>clause (f)</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jc w:val="both"/>
        <w:ind w:left="-540" w:right="20" w:firstLine="645"/>
        <w:spacing w:after="0" w:line="257" w:lineRule="auto"/>
        <w:tabs>
          <w:tab w:leader="none" w:pos="49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Indebtedness of Holdings to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Indebtedness owing to a Restricted Subsidiary that is not the Borrower or a Guarantor is subordinated in right of payment to Holdings’ Guarantee;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subsequent issuance or transfer of any Capital Stock or any other event which results in any such Restricted Subsidiary ceasing to be a Restricted Subsidiary or any other subsequent transfer of any such Indebtedness (except to another Borrower or another Restricted Subsidiary) shall be deemed, in each case to be an incurrence of such Indebtedness not permitted by this clause;</w:t>
      </w:r>
    </w:p>
    <w:p>
      <w:pPr>
        <w:spacing w:after="0" w:line="188" w:lineRule="exact"/>
        <w:rPr>
          <w:rFonts w:ascii="Arial" w:cs="Arial" w:eastAsia="Arial" w:hAnsi="Arial"/>
          <w:sz w:val="18"/>
          <w:szCs w:val="18"/>
          <w:color w:val="auto"/>
        </w:rPr>
      </w:pPr>
    </w:p>
    <w:p>
      <w:pPr>
        <w:ind w:left="-540" w:right="220" w:firstLine="645"/>
        <w:spacing w:after="0" w:line="257" w:lineRule="auto"/>
        <w:tabs>
          <w:tab w:leader="none" w:pos="49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Indebtedness of a Restricted Subsidiary owing to Holdings or another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or a Guarantor incurs such Indebtedness owing to a Restricted Subsidiary that is not the Borrower or a Guarantor, such Indebtedness is subordinated in right of payment to the Guarantee of such Guarantor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subsequent transfer of any such Indebtedness (except to Holdings or another Restricted Subsidiary) shall be deemed, in each case to be an incurrence of such Indebtedness not permitted by this clause;</w:t>
      </w:r>
    </w:p>
    <w:p>
      <w:pPr>
        <w:spacing w:after="0" w:line="200" w:lineRule="exact"/>
        <w:rPr>
          <w:sz w:val="20"/>
          <w:szCs w:val="20"/>
          <w:color w:val="auto"/>
        </w:rPr>
      </w:pPr>
    </w:p>
    <w:p>
      <w:pPr>
        <w:spacing w:after="0" w:line="229"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-120-</w:t>
      </w:r>
    </w:p>
    <w:p>
      <w:pPr>
        <w:sectPr>
          <w:pgSz w:w="11900" w:h="16838" w:orient="portrait"/>
          <w:cols w:equalWidth="0" w:num="1">
            <w:col w:w="10220"/>
          </w:cols>
          <w:pgMar w:left="1440" w:top="814" w:right="239" w:bottom="1440" w:gutter="0" w:footer="0" w:header="0"/>
        </w:sectPr>
      </w:pPr>
    </w:p>
    <w:bookmarkStart w:id="200" w:name="page201"/>
    <w:bookmarkEnd w:id="200"/>
    <w:p>
      <w:pPr>
        <w:jc w:val="both"/>
        <w:ind w:left="-540" w:right="100" w:firstLine="645"/>
        <w:spacing w:after="0" w:line="259" w:lineRule="auto"/>
        <w:tabs>
          <w:tab w:leader="none" w:pos="45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shares of preferred stock of a Restricted Subsidiary issued to Holdings or another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subsequent issuance or transfer of any Capital Stock or any other event which results in any such Restricted Subsidiary ceasing to be a Restricted Subsidiary or any other subsequent transfer of any such shares of preferred stock (except to Holdings or another Restricted Subsidiary) shall be deemed in each case to be an issuance of such shares of preferred stock not permitted by this clause;</w:t>
      </w:r>
    </w:p>
    <w:p>
      <w:pPr>
        <w:spacing w:after="0" w:line="186" w:lineRule="exact"/>
        <w:rPr>
          <w:rFonts w:ascii="Arial" w:cs="Arial" w:eastAsia="Arial" w:hAnsi="Arial"/>
          <w:sz w:val="18"/>
          <w:szCs w:val="18"/>
          <w:color w:val="auto"/>
        </w:rPr>
      </w:pPr>
    </w:p>
    <w:p>
      <w:pPr>
        <w:ind w:left="460" w:hanging="355"/>
        <w:spacing w:after="0"/>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Hedging Obligations (excluding Hedging Obligations entered into for speculative purposes);</w:t>
      </w:r>
    </w:p>
    <w:p>
      <w:pPr>
        <w:spacing w:after="0" w:line="225" w:lineRule="exact"/>
        <w:rPr>
          <w:rFonts w:ascii="Arial" w:cs="Arial" w:eastAsia="Arial" w:hAnsi="Arial"/>
          <w:sz w:val="18"/>
          <w:szCs w:val="18"/>
          <w:color w:val="auto"/>
        </w:rPr>
      </w:pPr>
    </w:p>
    <w:p>
      <w:pPr>
        <w:ind w:left="-540" w:right="60" w:firstLine="645"/>
        <w:spacing w:after="0" w:line="264" w:lineRule="auto"/>
        <w:tabs>
          <w:tab w:leader="none" w:pos="49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obligations in respect of self-insurance, performance, bid, appeal, and surety bonds and completion guarantees and similar obligations provided by Holdings or any Restricted Subsidiary or obligations in respect of letters of credit, bank guarantees or similar instruments related thereto, in each case, in the ordinary course of business or consistent with past practice;</w:t>
      </w:r>
    </w:p>
    <w:p>
      <w:pPr>
        <w:spacing w:after="0" w:line="181" w:lineRule="exact"/>
        <w:rPr>
          <w:rFonts w:ascii="Arial" w:cs="Arial" w:eastAsia="Arial" w:hAnsi="Arial"/>
          <w:sz w:val="18"/>
          <w:szCs w:val="18"/>
          <w:color w:val="auto"/>
        </w:rPr>
      </w:pPr>
    </w:p>
    <w:p>
      <w:pPr>
        <w:ind w:left="-540" w:firstLine="645"/>
        <w:spacing w:after="0" w:line="286" w:lineRule="auto"/>
        <w:tabs>
          <w:tab w:leader="none" w:pos="458"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(i) Indebtedness, Disqualified Stock and preferred stock of Holdings or any Restricted Subsidiary in an aggregate principal amount or liquidation preference up to 100% of the net cash proceeds received by Holdings since immediately after the Restatement Effective Date from the issue or sale of Equity Interests of Holdings or cash contributed to the capital of Holdings (in each case, other than Excluded Contributions, any Cure Amount or proceeds of Disqualified Stock or sales of Equity Interests to Holdings or any of its Subsidiaries) as determined in accordance with </w:t>
      </w:r>
      <w:r>
        <w:rPr>
          <w:rFonts w:ascii="Arial" w:cs="Arial" w:eastAsia="Arial" w:hAnsi="Arial"/>
          <w:sz w:val="16"/>
          <w:szCs w:val="16"/>
          <w:u w:val="single" w:color="auto"/>
          <w:color w:val="auto"/>
        </w:rPr>
        <w:t>Sections 10.5(a)(iii)(B)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10.5(a)(iii)(C)</w:t>
      </w:r>
      <w:r>
        <w:rPr>
          <w:rFonts w:ascii="Arial" w:cs="Arial" w:eastAsia="Arial" w:hAnsi="Arial"/>
          <w:sz w:val="16"/>
          <w:szCs w:val="16"/>
          <w:color w:val="auto"/>
        </w:rPr>
        <w:t xml:space="preserve"> to the extent such net cash proceeds or cash have not been applied pursuant to such clauses to make Restricted Payments or to make other Investments, payments or exchanges pursuant to </w:t>
      </w:r>
      <w:r>
        <w:rPr>
          <w:rFonts w:ascii="Arial" w:cs="Arial" w:eastAsia="Arial" w:hAnsi="Arial"/>
          <w:sz w:val="16"/>
          <w:szCs w:val="16"/>
          <w:u w:val="single" w:color="auto"/>
          <w:color w:val="auto"/>
        </w:rPr>
        <w:t>Section 10.5(b)</w:t>
      </w:r>
      <w:r>
        <w:rPr>
          <w:rFonts w:ascii="Arial" w:cs="Arial" w:eastAsia="Arial" w:hAnsi="Arial"/>
          <w:sz w:val="16"/>
          <w:szCs w:val="16"/>
          <w:color w:val="auto"/>
        </w:rPr>
        <w:t xml:space="preserve"> or to make Permitted Investments (other than Permitted Investments specified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the definition thereof) and (ii) Indebtedness, Disqualified Stock or preferred stock of Holdings or any Restricted Subsidiary not otherwise permitted hereunder in an aggregate principal amount or liquidation preference, which when aggregated with the principal amount and liquidation preference of all other Indebtedness, Disqualified Stock and preferred stock then outstanding and incurred pursuant to this </w:t>
      </w:r>
      <w:r>
        <w:rPr>
          <w:rFonts w:ascii="Arial" w:cs="Arial" w:eastAsia="Arial" w:hAnsi="Arial"/>
          <w:sz w:val="16"/>
          <w:szCs w:val="16"/>
          <w:u w:val="single" w:color="auto"/>
          <w:color w:val="auto"/>
        </w:rPr>
        <w:t>clause (l)(ii)</w:t>
      </w:r>
      <w:r>
        <w:rPr>
          <w:rFonts w:ascii="Arial" w:cs="Arial" w:eastAsia="Arial" w:hAnsi="Arial"/>
          <w:sz w:val="16"/>
          <w:szCs w:val="16"/>
          <w:color w:val="auto"/>
        </w:rPr>
        <w:t xml:space="preserve">, does not at any one time outstanding exceed the greater of (x) $45,000,000 and (y) 40.0% of Consolidated EBITDA for the most recently ended Test Period (calculated on a Pro Forma Basis) at the time of incurrence (it being understood that any Indebtedness, Disqualified Stock or preferred stock incurred pursuant to this </w:t>
      </w:r>
      <w:r>
        <w:rPr>
          <w:rFonts w:ascii="Arial" w:cs="Arial" w:eastAsia="Arial" w:hAnsi="Arial"/>
          <w:sz w:val="16"/>
          <w:szCs w:val="16"/>
          <w:u w:val="single" w:color="auto"/>
          <w:color w:val="auto"/>
        </w:rPr>
        <w:t>clause (l)(ii)</w:t>
      </w:r>
      <w:r>
        <w:rPr>
          <w:rFonts w:ascii="Arial" w:cs="Arial" w:eastAsia="Arial" w:hAnsi="Arial"/>
          <w:sz w:val="16"/>
          <w:szCs w:val="16"/>
          <w:color w:val="auto"/>
        </w:rPr>
        <w:t xml:space="preserve"> shall cease to be deemed incurred or outstanding for purposes of this </w:t>
      </w:r>
      <w:r>
        <w:rPr>
          <w:rFonts w:ascii="Arial" w:cs="Arial" w:eastAsia="Arial" w:hAnsi="Arial"/>
          <w:sz w:val="16"/>
          <w:szCs w:val="16"/>
          <w:u w:val="single" w:color="auto"/>
          <w:color w:val="auto"/>
        </w:rPr>
        <w:t>clause (l)(ii)</w:t>
      </w:r>
      <w:r>
        <w:rPr>
          <w:rFonts w:ascii="Arial" w:cs="Arial" w:eastAsia="Arial" w:hAnsi="Arial"/>
          <w:sz w:val="16"/>
          <w:szCs w:val="16"/>
          <w:color w:val="auto"/>
        </w:rPr>
        <w:t xml:space="preserve"> but shall be deemed incurred for the purposes of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from and after the first date on which Holdings or such Restricted Subsidiary could have incurred such Indebtedness, Disqualified Stock or preferred stock under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without reliance on this </w:t>
      </w:r>
      <w:r>
        <w:rPr>
          <w:rFonts w:ascii="Arial" w:cs="Arial" w:eastAsia="Arial" w:hAnsi="Arial"/>
          <w:sz w:val="16"/>
          <w:szCs w:val="16"/>
          <w:u w:val="single" w:color="auto"/>
          <w:color w:val="auto"/>
        </w:rPr>
        <w:t>clause (l)(ii)</w:t>
      </w:r>
      <w:r>
        <w:rPr>
          <w:rFonts w:ascii="Arial" w:cs="Arial" w:eastAsia="Arial" w:hAnsi="Arial"/>
          <w:sz w:val="16"/>
          <w:szCs w:val="16"/>
          <w:color w:val="auto"/>
        </w:rPr>
        <w:t>);</w:t>
      </w:r>
    </w:p>
    <w:p>
      <w:pPr>
        <w:spacing w:after="0" w:line="200" w:lineRule="exact"/>
        <w:rPr>
          <w:sz w:val="20"/>
          <w:szCs w:val="20"/>
          <w:color w:val="auto"/>
        </w:rPr>
      </w:pPr>
    </w:p>
    <w:p>
      <w:pPr>
        <w:spacing w:after="0" w:line="209"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-121-</w:t>
      </w:r>
    </w:p>
    <w:p>
      <w:pPr>
        <w:sectPr>
          <w:pgSz w:w="11900" w:h="16838" w:orient="portrait"/>
          <w:cols w:equalWidth="0" w:num="1">
            <w:col w:w="10200"/>
          </w:cols>
          <w:pgMar w:left="1440" w:top="814" w:right="259" w:bottom="1440" w:gutter="0" w:footer="0" w:header="0"/>
        </w:sectPr>
      </w:pPr>
    </w:p>
    <w:bookmarkStart w:id="201" w:name="page202"/>
    <w:bookmarkEnd w:id="201"/>
    <w:p>
      <w:pPr>
        <w:ind w:left="4" w:right="60" w:firstLine="645"/>
        <w:spacing w:after="0" w:line="283" w:lineRule="auto"/>
        <w:tabs>
          <w:tab w:leader="none" w:pos="1092" w:val="left"/>
        </w:tabs>
        <w:numPr>
          <w:ilvl w:val="1"/>
          <w:numId w:val="165"/>
        </w:numPr>
        <w:rPr>
          <w:rFonts w:ascii="Arial" w:cs="Arial" w:eastAsia="Arial" w:hAnsi="Arial"/>
          <w:sz w:val="16"/>
          <w:szCs w:val="16"/>
          <w:color w:val="auto"/>
        </w:rPr>
      </w:pPr>
      <w:r>
        <w:rPr>
          <w:rFonts w:ascii="Arial" w:cs="Arial" w:eastAsia="Arial" w:hAnsi="Arial"/>
          <w:sz w:val="16"/>
          <w:szCs w:val="16"/>
          <w:color w:val="auto"/>
        </w:rPr>
        <w:t xml:space="preserve">the incurrence or issuance by Holdings or any Restricted Subsidiary of Indebtedness, Disqualified Stock or preferred stock which serves to refinance any Indebtedness, Disqualified Stock or preferred stock incurred as permitted under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clause (l)(i)</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clause (m)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 (n)</w:t>
      </w:r>
      <w:r>
        <w:rPr>
          <w:rFonts w:ascii="Arial" w:cs="Arial" w:eastAsia="Arial" w:hAnsi="Arial"/>
          <w:sz w:val="16"/>
          <w:szCs w:val="16"/>
          <w:color w:val="auto"/>
        </w:rPr>
        <w:t xml:space="preserve"> below or any Indebtedness, Disqualified Stock or preferred stock issued to so refinance, replace, refund, extend, renew, defease, restructure, amend, restate or otherwise modify (collectively, “</w:t>
      </w:r>
      <w:r>
        <w:rPr>
          <w:rFonts w:ascii="Arial" w:cs="Arial" w:eastAsia="Arial" w:hAnsi="Arial"/>
          <w:sz w:val="16"/>
          <w:szCs w:val="16"/>
          <w:b w:val="1"/>
          <w:bCs w:val="1"/>
          <w:color w:val="auto"/>
        </w:rPr>
        <w:t>refinance</w:t>
      </w:r>
      <w:r>
        <w:rPr>
          <w:rFonts w:ascii="Arial" w:cs="Arial" w:eastAsia="Arial" w:hAnsi="Arial"/>
          <w:sz w:val="16"/>
          <w:szCs w:val="16"/>
          <w:color w:val="auto"/>
        </w:rPr>
        <w:t>”) such Indebtedness, Disqualified Stock or preferred stock (the “</w:t>
      </w:r>
      <w:r>
        <w:rPr>
          <w:rFonts w:ascii="Arial" w:cs="Arial" w:eastAsia="Arial" w:hAnsi="Arial"/>
          <w:sz w:val="16"/>
          <w:szCs w:val="16"/>
          <w:b w:val="1"/>
          <w:bCs w:val="1"/>
          <w:color w:val="auto"/>
        </w:rPr>
        <w:t>Refinancing Indebtedness</w:t>
      </w:r>
      <w:r>
        <w:rPr>
          <w:rFonts w:ascii="Arial" w:cs="Arial" w:eastAsia="Arial" w:hAnsi="Arial"/>
          <w:sz w:val="16"/>
          <w:szCs w:val="16"/>
          <w:color w:val="auto"/>
        </w:rPr>
        <w:t xml:space="preserve">”) prior to its respective maturity; </w:t>
      </w:r>
      <w:r>
        <w:rPr>
          <w:rFonts w:ascii="Arial" w:cs="Arial" w:eastAsia="Arial" w:hAnsi="Arial"/>
          <w:sz w:val="16"/>
          <w:szCs w:val="16"/>
          <w:u w:val="single" w:color="auto"/>
          <w:color w:val="auto"/>
        </w:rPr>
        <w:t>provided</w:t>
      </w:r>
      <w:r>
        <w:rPr>
          <w:rFonts w:ascii="Arial" w:cs="Arial" w:eastAsia="Arial" w:hAnsi="Arial"/>
          <w:sz w:val="16"/>
          <w:szCs w:val="16"/>
          <w:color w:val="auto"/>
        </w:rPr>
        <w:t>, that such Refinancing Indebtedness (1) has a weighted average life to maturity at the time such Refinancing Indebtedness is incurred which is not less than the remaining weighted average life to maturity of the Indebtedness, Disqualified Stock or preferred stock being refinanced, (2) to the extent such Refinancing Indebtedness refinances (i) Indebtedness that is unsecured or secured by a Lien ranking junior to the Liens securing the Obligations, such Refinancing Indebtedness is unsecured or secured by a Lien ranking junior to the Liens securing the Obligations, (ii) Disqualified Stock or preferred stock, such Refinancing Indebtedness must be Disqualified Stock or preferred stock, respectively, and (iii) Indebtedness subordinated to the Obligations, such Refinancing Indebtedness is subordinated to the Obligations at least to the same extent as the Indebtedness being refinanced and</w:t>
      </w:r>
    </w:p>
    <w:p>
      <w:pPr>
        <w:spacing w:after="0" w:line="4" w:lineRule="exact"/>
        <w:rPr>
          <w:rFonts w:ascii="Arial" w:cs="Arial" w:eastAsia="Arial" w:hAnsi="Arial"/>
          <w:sz w:val="16"/>
          <w:szCs w:val="16"/>
          <w:color w:val="auto"/>
        </w:rPr>
      </w:pPr>
    </w:p>
    <w:p>
      <w:pPr>
        <w:ind w:left="4" w:right="360" w:hanging="4"/>
        <w:spacing w:after="0" w:line="261" w:lineRule="auto"/>
        <w:tabs>
          <w:tab w:leader="none" w:pos="25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shall not include Indebtedness, Disqualified Stock or preferred stock of a Subsidiary of Holdings that is not the Borrower or a Guarantor that refinances Indebtedness, Disqualified Stock or preferred stock of the Borrower or a Guarantor;</w:t>
      </w:r>
    </w:p>
    <w:p>
      <w:pPr>
        <w:spacing w:after="0" w:line="183" w:lineRule="exact"/>
        <w:rPr>
          <w:rFonts w:ascii="Arial" w:cs="Arial" w:eastAsia="Arial" w:hAnsi="Arial"/>
          <w:sz w:val="18"/>
          <w:szCs w:val="18"/>
          <w:color w:val="auto"/>
        </w:rPr>
      </w:pPr>
    </w:p>
    <w:p>
      <w:pPr>
        <w:ind w:left="4" w:firstLine="645"/>
        <w:spacing w:after="0" w:line="288" w:lineRule="auto"/>
        <w:tabs>
          <w:tab w:leader="none" w:pos="1042" w:val="left"/>
        </w:tabs>
        <w:numPr>
          <w:ilvl w:val="1"/>
          <w:numId w:val="166"/>
        </w:numPr>
        <w:rPr>
          <w:rFonts w:ascii="Arial" w:cs="Arial" w:eastAsia="Arial" w:hAnsi="Arial"/>
          <w:sz w:val="16"/>
          <w:szCs w:val="16"/>
          <w:color w:val="auto"/>
        </w:rPr>
      </w:pPr>
      <w:r>
        <w:rPr>
          <w:rFonts w:ascii="Arial" w:cs="Arial" w:eastAsia="Arial" w:hAnsi="Arial"/>
          <w:sz w:val="16"/>
          <w:szCs w:val="16"/>
          <w:color w:val="auto"/>
        </w:rPr>
        <w:t xml:space="preserve">Indebtedness, Disqualified Stock or preferred stock of (x) Holdings or a Restricted Subsidiary incurred or issued to finance an acquisition, merger, or consolidation;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Indebtedness (other than Acquired Indebtedness), Disqualified Stock and preferred stock that may be incurred pursuant to the foregoing, together with any amounts incurred under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by Restricted Subsidiaries that are not Guarantors shall not exceed the greater of (x) $30,000,000 and (y) 30.0% of Consolidated EBITDA for the most recently ended Test Period (calculated on a Pro Forma Basis) at any one time outstanding, or (y) Persons that are acquired by Holdings or any Restricted Subsidiary or merged into or consolidated with Holdings or a Restricted Subsidiary in accordance with the terms hereof (including designating an Unrestricted Subsidiary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such acquisition, merger, consolidation or designation described in this </w:t>
      </w:r>
      <w:r>
        <w:rPr>
          <w:rFonts w:ascii="Arial" w:cs="Arial" w:eastAsia="Arial" w:hAnsi="Arial"/>
          <w:sz w:val="16"/>
          <w:szCs w:val="16"/>
          <w:u w:val="single" w:color="auto"/>
          <w:color w:val="auto"/>
        </w:rPr>
        <w:t>clause (n)</w:t>
      </w:r>
      <w:r>
        <w:rPr>
          <w:rFonts w:ascii="Arial" w:cs="Arial" w:eastAsia="Arial" w:hAnsi="Arial"/>
          <w:sz w:val="16"/>
          <w:szCs w:val="16"/>
          <w:color w:val="auto"/>
        </w:rPr>
        <w:t xml:space="preserve">, either: (1) Holdings would be permitted to incur at least $1.00 of additional Indebtedness pursuant to the Fixed Charge Coverage Ratio test set forth in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or (2) the Fixed Charge Coverage Ratio of Holdings and the Restricted Subsidiaries is equal to or greater than that immediately prior to such acquisition, merger, consolidation or designation;</w:t>
      </w:r>
    </w:p>
    <w:p>
      <w:pPr>
        <w:spacing w:after="0" w:line="169" w:lineRule="exact"/>
        <w:rPr>
          <w:rFonts w:ascii="Arial" w:cs="Arial" w:eastAsia="Arial" w:hAnsi="Arial"/>
          <w:sz w:val="16"/>
          <w:szCs w:val="16"/>
          <w:color w:val="auto"/>
        </w:rPr>
      </w:pPr>
    </w:p>
    <w:p>
      <w:pPr>
        <w:ind w:left="4" w:right="260" w:firstLine="645"/>
        <w:spacing w:after="0" w:line="277" w:lineRule="auto"/>
        <w:tabs>
          <w:tab w:leader="none" w:pos="1042"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Indebtedness arising from the honoring by a bank or other financial institution of a check, draft or similar instrument drawn against insufficient funds in the ordinary course of business;</w:t>
      </w:r>
    </w:p>
    <w:p>
      <w:pPr>
        <w:spacing w:after="0" w:line="170" w:lineRule="exact"/>
        <w:rPr>
          <w:rFonts w:ascii="Arial" w:cs="Arial" w:eastAsia="Arial" w:hAnsi="Arial"/>
          <w:sz w:val="18"/>
          <w:szCs w:val="18"/>
          <w:color w:val="auto"/>
        </w:rPr>
      </w:pPr>
    </w:p>
    <w:p>
      <w:pPr>
        <w:ind w:left="4" w:right="20" w:firstLine="645"/>
        <w:spacing w:after="0" w:line="257" w:lineRule="auto"/>
        <w:tabs>
          <w:tab w:leader="none" w:pos="1042" w:val="left"/>
        </w:tabs>
        <w:numPr>
          <w:ilvl w:val="1"/>
          <w:numId w:val="166"/>
        </w:numPr>
        <w:rPr>
          <w:rFonts w:ascii="Arial" w:cs="Arial" w:eastAsia="Arial" w:hAnsi="Arial"/>
          <w:sz w:val="18"/>
          <w:szCs w:val="18"/>
          <w:color w:val="auto"/>
        </w:rPr>
      </w:pPr>
      <w:r>
        <w:rPr>
          <w:rFonts w:ascii="Arial" w:cs="Arial" w:eastAsia="Arial" w:hAnsi="Arial"/>
          <w:sz w:val="18"/>
          <w:szCs w:val="18"/>
          <w:color w:val="auto"/>
        </w:rPr>
        <w:t xml:space="preserve">(i) Indebtedness of Holdings or any Restricted Subsidiary supported by a letter of credit, in a principal amount not in excess of the stated amount of such letter of credit so long as such letter of credit is otherwise permitted to be incurred pursuant to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or (ii) obligations in respect of letters of support, guarantees or similar obligations issued, made or incurred for the benefit of any Subsidiary of Holdings to the extent required by law or in connection with any statutory filing or the delivery of audit opinions performed in jurisdictions other than within the United States;</w:t>
      </w:r>
    </w:p>
    <w:p>
      <w:pPr>
        <w:spacing w:after="0" w:line="188" w:lineRule="exact"/>
        <w:rPr>
          <w:rFonts w:ascii="Arial" w:cs="Arial" w:eastAsia="Arial" w:hAnsi="Arial"/>
          <w:sz w:val="18"/>
          <w:szCs w:val="18"/>
          <w:color w:val="auto"/>
        </w:rPr>
      </w:pPr>
    </w:p>
    <w:p>
      <w:pPr>
        <w:jc w:val="both"/>
        <w:ind w:left="4" w:right="60" w:firstLine="645"/>
        <w:spacing w:after="0" w:line="312" w:lineRule="auto"/>
        <w:tabs>
          <w:tab w:leader="none" w:pos="1042" w:val="left"/>
        </w:tabs>
        <w:numPr>
          <w:ilvl w:val="1"/>
          <w:numId w:val="166"/>
        </w:numPr>
        <w:rPr>
          <w:rFonts w:ascii="Arial" w:cs="Arial" w:eastAsia="Arial" w:hAnsi="Arial"/>
          <w:sz w:val="16"/>
          <w:szCs w:val="16"/>
          <w:color w:val="auto"/>
        </w:rPr>
      </w:pPr>
      <w:r>
        <w:rPr>
          <w:rFonts w:ascii="Arial" w:cs="Arial" w:eastAsia="Arial" w:hAnsi="Arial"/>
          <w:sz w:val="16"/>
          <w:szCs w:val="16"/>
          <w:color w:val="auto"/>
        </w:rPr>
        <w:t>(1) any guarantee by Holdings or a Restricted Subsidiary of Indebtedness or other obligations of any Restricted Subsidiary so long as in the case of a guarantee of Indebtedness by a Restricted Subsidiary that is not a Guarantor, such Indebtedness could have been incurred directly by the Restricted Subsidiary providing such guarantee or (2) any guarantee by a Restricted Subsidiary of Indebtedness of Holdings;</w:t>
      </w:r>
    </w:p>
    <w:p>
      <w:pPr>
        <w:spacing w:after="0" w:line="387" w:lineRule="exact"/>
        <w:rPr>
          <w:sz w:val="20"/>
          <w:szCs w:val="20"/>
          <w:color w:val="auto"/>
        </w:rPr>
      </w:pPr>
    </w:p>
    <w:p>
      <w:pPr>
        <w:ind w:left="4844"/>
        <w:spacing w:after="0"/>
        <w:rPr>
          <w:sz w:val="20"/>
          <w:szCs w:val="20"/>
          <w:color w:val="auto"/>
        </w:rPr>
      </w:pPr>
      <w:r>
        <w:rPr>
          <w:rFonts w:ascii="Arial" w:cs="Arial" w:eastAsia="Arial" w:hAnsi="Arial"/>
          <w:sz w:val="20"/>
          <w:szCs w:val="20"/>
          <w:color w:val="auto"/>
        </w:rPr>
        <w:t>-122-</w:t>
      </w:r>
    </w:p>
    <w:p>
      <w:pPr>
        <w:sectPr>
          <w:pgSz w:w="11900" w:h="16838" w:orient="portrait"/>
          <w:cols w:equalWidth="0" w:num="1">
            <w:col w:w="10744"/>
          </w:cols>
          <w:pgMar w:left="896" w:top="814" w:right="259" w:bottom="1440" w:gutter="0" w:footer="0" w:header="0"/>
        </w:sectPr>
      </w:pPr>
    </w:p>
    <w:bookmarkStart w:id="202" w:name="page203"/>
    <w:bookmarkEnd w:id="202"/>
    <w:p>
      <w:pPr>
        <w:ind w:left="660" w:right="60" w:firstLine="645"/>
        <w:spacing w:after="0" w:line="297" w:lineRule="auto"/>
        <w:tabs>
          <w:tab w:leader="none" w:pos="1668"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Indebtedness of Restricted Subsidiaries that are not Guarantors in an amount not to exceed, in the aggregate at any one time outstanding, the greater of (x) $15,000,000 and (y) 10.0% of Consolidated EBITDA for the most recently ended Test Period (calculated on a Pro Forma Basis) (it being understood that any Indebtedness incurred pursuant to this </w:t>
      </w:r>
      <w:r>
        <w:rPr>
          <w:rFonts w:ascii="Arial" w:cs="Arial" w:eastAsia="Arial" w:hAnsi="Arial"/>
          <w:sz w:val="16"/>
          <w:szCs w:val="16"/>
          <w:u w:val="single" w:color="auto"/>
          <w:color w:val="auto"/>
        </w:rPr>
        <w:t>clause (r)</w:t>
      </w:r>
      <w:r>
        <w:rPr>
          <w:rFonts w:ascii="Arial" w:cs="Arial" w:eastAsia="Arial" w:hAnsi="Arial"/>
          <w:sz w:val="16"/>
          <w:szCs w:val="16"/>
          <w:color w:val="auto"/>
        </w:rPr>
        <w:t xml:space="preserve"> shall cease to be deemed incurred or outstanding for purposes of this </w:t>
      </w:r>
      <w:r>
        <w:rPr>
          <w:rFonts w:ascii="Arial" w:cs="Arial" w:eastAsia="Arial" w:hAnsi="Arial"/>
          <w:sz w:val="16"/>
          <w:szCs w:val="16"/>
          <w:u w:val="single" w:color="auto"/>
          <w:color w:val="auto"/>
        </w:rPr>
        <w:t>clause (r)</w:t>
      </w:r>
      <w:r>
        <w:rPr>
          <w:rFonts w:ascii="Arial" w:cs="Arial" w:eastAsia="Arial" w:hAnsi="Arial"/>
          <w:sz w:val="16"/>
          <w:szCs w:val="16"/>
          <w:color w:val="auto"/>
        </w:rPr>
        <w:t xml:space="preserve"> but shall be deemed incurred for the purposes of the first paragraph of this covenant from and after the first date on which such Restricted Subsidiary could have incurred such Indebtedness under the first paragraph of this covenant without reliance on this </w:t>
      </w:r>
      <w:r>
        <w:rPr>
          <w:rFonts w:ascii="Arial" w:cs="Arial" w:eastAsia="Arial" w:hAnsi="Arial"/>
          <w:sz w:val="16"/>
          <w:szCs w:val="16"/>
          <w:u w:val="single" w:color="auto"/>
          <w:color w:val="auto"/>
        </w:rPr>
        <w:t>clause (r))</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left="660" w:right="40" w:firstLine="645"/>
        <w:spacing w:after="0" w:line="308" w:lineRule="auto"/>
        <w:tabs>
          <w:tab w:leader="none" w:pos="1678"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Indebtedness of Holdings or any of the Restricted Subsidiaries consisting of (i) the financing of insurance premiums or (ii) take or pay obligations contained in supply arrangements in each case, incurred in the ordinary course of business or consistent with past practice;</w:t>
      </w:r>
    </w:p>
    <w:p>
      <w:pPr>
        <w:spacing w:after="0" w:line="146" w:lineRule="exact"/>
        <w:rPr>
          <w:rFonts w:ascii="Arial" w:cs="Arial" w:eastAsia="Arial" w:hAnsi="Arial"/>
          <w:sz w:val="17"/>
          <w:szCs w:val="17"/>
          <w:color w:val="auto"/>
        </w:rPr>
      </w:pPr>
    </w:p>
    <w:p>
      <w:pPr>
        <w:ind w:left="660" w:right="140" w:firstLine="645"/>
        <w:spacing w:after="0" w:line="264" w:lineRule="auto"/>
        <w:tabs>
          <w:tab w:leader="none" w:pos="165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Indebtedness of Holdings or any of the Restricted Subsidiaries undertaken in connection with cash management and related activities with respect to any Subsidiary or joint venture in the ordinary course of business, including with respect to financial accommodations of the type described in the definition of “Cash Management Services”;</w:t>
      </w:r>
    </w:p>
    <w:p>
      <w:pPr>
        <w:spacing w:after="0" w:line="181" w:lineRule="exact"/>
        <w:rPr>
          <w:rFonts w:ascii="Arial" w:cs="Arial" w:eastAsia="Arial" w:hAnsi="Arial"/>
          <w:sz w:val="18"/>
          <w:szCs w:val="18"/>
          <w:color w:val="auto"/>
        </w:rPr>
      </w:pPr>
    </w:p>
    <w:p>
      <w:pPr>
        <w:ind w:left="660" w:right="20" w:firstLine="645"/>
        <w:spacing w:after="0" w:line="312" w:lineRule="auto"/>
        <w:tabs>
          <w:tab w:leader="none" w:pos="1698"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Indebtedness consisting of Indebtedness issued by Holdings or any of the Restricted Subsidiaries to future, current or former officers, directors, managers and employees thereof, their respective estates, spouses or former spouses, in each case to finance the purchase or redemption of Equity Interests of Holdings or any direct or indirect parent company of Holdings to the extent described in </w:t>
      </w:r>
      <w:r>
        <w:rPr>
          <w:rFonts w:ascii="Arial" w:cs="Arial" w:eastAsia="Arial" w:hAnsi="Arial"/>
          <w:sz w:val="16"/>
          <w:szCs w:val="16"/>
          <w:u w:val="single" w:color="auto"/>
          <w:color w:val="auto"/>
        </w:rPr>
        <w:t>clause (4)</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10.5(b)</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left="1700" w:hanging="395"/>
        <w:spacing w:after="0"/>
        <w:tabs>
          <w:tab w:leader="none" w:pos="17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the extent constituting Indebtedness, obligations pursuant to the Wal-Mart Agreements;</w:t>
      </w:r>
    </w:p>
    <w:p>
      <w:pPr>
        <w:spacing w:after="0" w:line="225" w:lineRule="exact"/>
        <w:rPr>
          <w:rFonts w:ascii="Arial" w:cs="Arial" w:eastAsia="Arial" w:hAnsi="Arial"/>
          <w:sz w:val="18"/>
          <w:szCs w:val="18"/>
          <w:color w:val="auto"/>
        </w:rPr>
      </w:pPr>
    </w:p>
    <w:p>
      <w:pPr>
        <w:ind w:left="660" w:firstLine="645"/>
        <w:spacing w:after="0" w:line="273" w:lineRule="auto"/>
        <w:tabs>
          <w:tab w:leader="none" w:pos="1738"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Indebtedness in respect of (i) Permitted Other Indebtedness to the extent that the Net Cash Proceeds therefrom are applied to the prepayment of Term Loans in the manner set forth in </w:t>
      </w:r>
      <w:r>
        <w:rPr>
          <w:rFonts w:ascii="Arial" w:cs="Arial" w:eastAsia="Arial" w:hAnsi="Arial"/>
          <w:sz w:val="17"/>
          <w:szCs w:val="17"/>
          <w:u w:val="single" w:color="auto"/>
          <w:color w:val="auto"/>
        </w:rPr>
        <w:t>Section 5.2(a)(i)</w:t>
      </w:r>
      <w:r>
        <w:rPr>
          <w:rFonts w:ascii="Arial" w:cs="Arial" w:eastAsia="Arial" w:hAnsi="Arial"/>
          <w:sz w:val="17"/>
          <w:szCs w:val="17"/>
          <w:color w:val="auto"/>
        </w:rPr>
        <w:t xml:space="preserve">; and (ii) any refinancing, refunding, renewal or extension of any Indebtedness specified in </w:t>
      </w:r>
      <w:r>
        <w:rPr>
          <w:rFonts w:ascii="Arial" w:cs="Arial" w:eastAsia="Arial" w:hAnsi="Arial"/>
          <w:sz w:val="17"/>
          <w:szCs w:val="17"/>
          <w:u w:val="single" w:color="auto"/>
          <w:color w:val="auto"/>
        </w:rPr>
        <w:t>subclause (i)</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and (y) such Indebtedness otherwise complies with the definition of “Permitted Other Indebtedness”; and</w:t>
      </w:r>
    </w:p>
    <w:p>
      <w:pPr>
        <w:spacing w:after="0" w:line="178" w:lineRule="exact"/>
        <w:rPr>
          <w:rFonts w:ascii="Arial" w:cs="Arial" w:eastAsia="Arial" w:hAnsi="Arial"/>
          <w:sz w:val="17"/>
          <w:szCs w:val="17"/>
          <w:color w:val="auto"/>
        </w:rPr>
      </w:pPr>
    </w:p>
    <w:p>
      <w:pPr>
        <w:ind w:left="660" w:right="40" w:firstLine="645"/>
        <w:spacing w:after="0" w:line="272" w:lineRule="auto"/>
        <w:tabs>
          <w:tab w:leader="none" w:pos="1698"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Indebtedness in respect of (i) Permitted Other Indebtedness; provided that the aggregate principal amount of all such Permitted Other Indebtedness issued or incurred pursuant to this clause (i), when aggregated with the amount of Incremental Term Loans and New Revolving Commitments established shall not exceed the Maximum Incremental Facilities Amount and (ii) any refinancing, refunding, renewal or extension of any Indebtedness specified in subclause (i) above; provided that (x)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and (y) such Indebtedness otherwise complies with the definition of “Permitted Other Indebtedness”.</w:t>
      </w:r>
    </w:p>
    <w:p>
      <w:pPr>
        <w:spacing w:after="0" w:line="17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For purposes of determining compliance with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(i) in the event that an item of Indebtedness, Disqualified Stock or preferred stock (or any portion thereof) meets the criteria of more than one of the categories of permitted Indebtedness, Disqualified Stock or preferred stock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(x</w:t>
      </w:r>
      <w:r>
        <w:rPr>
          <w:rFonts w:ascii="Arial" w:cs="Arial" w:eastAsia="Arial" w:hAnsi="Arial"/>
          <w:sz w:val="16"/>
          <w:szCs w:val="16"/>
          <w:color w:val="auto"/>
        </w:rPr>
        <w:t xml:space="preserve">) above or is entitled to be incurred pursuant to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Holdings, in its sole discretion, will classify and may reclassify such item of Indebtedness, Disqualified Stock or preferred stock (or any portion thereof) and will only be required to include the amount and type of such Indebtedness, Disqualified Stock or preferred stock in one of the above clauses or paragraphs; and (ii) at the time of incurrence, Holdings will be entitled to divide and classify an item of Indebtedness in more than one of the types of Indebtedness described in this </w:t>
      </w:r>
      <w:r>
        <w:rPr>
          <w:rFonts w:ascii="Arial" w:cs="Arial" w:eastAsia="Arial" w:hAnsi="Arial"/>
          <w:sz w:val="16"/>
          <w:szCs w:val="16"/>
          <w:u w:val="single" w:color="auto"/>
          <w:color w:val="auto"/>
        </w:rPr>
        <w:t>Section 10.1</w:t>
      </w:r>
      <w:r>
        <w:rPr>
          <w:rFonts w:ascii="Arial" w:cs="Arial" w:eastAsia="Arial" w:hAnsi="Arial"/>
          <w:sz w:val="16"/>
          <w:szCs w:val="16"/>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-123-</w:t>
      </w:r>
    </w:p>
    <w:p>
      <w:pPr>
        <w:sectPr>
          <w:pgSz w:w="11900" w:h="16838" w:orient="portrait"/>
          <w:cols w:equalWidth="0" w:num="1">
            <w:col w:w="11380"/>
          </w:cols>
          <w:pgMar w:left="240" w:top="814" w:right="279" w:bottom="1440" w:gutter="0" w:footer="0" w:header="0"/>
        </w:sectPr>
      </w:pPr>
    </w:p>
    <w:bookmarkStart w:id="203" w:name="page204"/>
    <w:bookmarkEnd w:id="203"/>
    <w:p>
      <w:pPr>
        <w:ind w:right="160" w:firstLine="648"/>
        <w:spacing w:after="0" w:line="297" w:lineRule="auto"/>
        <w:rPr>
          <w:sz w:val="20"/>
          <w:szCs w:val="20"/>
          <w:color w:val="auto"/>
        </w:rPr>
      </w:pPr>
      <w:r>
        <w:rPr>
          <w:rFonts w:ascii="Arial" w:cs="Arial" w:eastAsia="Arial" w:hAnsi="Arial"/>
          <w:sz w:val="16"/>
          <w:szCs w:val="16"/>
          <w:color w:val="auto"/>
        </w:rPr>
        <w:t xml:space="preserve">Accrual of interest or dividends, the accretion of accreted value, the accretion or amortization of original issue discount and the payment of interest or dividends in the form of additional Indebtedness, Disqualified Stock or preferred stock will not be deemed to be an incurrence of Indebtedness, Disqualified Stock or preferred stock for purposes of this covenant. Any Refinancing Indebtedness and any Indebtedness incurred to refinance Indebtedness incurred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(l)(i)</w:t>
      </w:r>
      <w:r>
        <w:rPr>
          <w:rFonts w:ascii="Arial" w:cs="Arial" w:eastAsia="Arial" w:hAnsi="Arial"/>
          <w:sz w:val="16"/>
          <w:szCs w:val="16"/>
          <w:color w:val="auto"/>
        </w:rPr>
        <w:t xml:space="preserve"> above shall be deemed to include additional Indebtedness, Disqualified Stock or preferred stock incurred to pay premiums (including reasonable tender premiums), defeasance costs, fees, and expenses in connection with such refinancing.</w:t>
      </w:r>
    </w:p>
    <w:p>
      <w:pPr>
        <w:spacing w:after="0" w:line="1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For purposes of determining compliance with any Dollar-denominated restriction on the incurrence of Indebtedness, the principal amount of Indebtedness denominated in another currency shall be calculated based on the relevant currency exchange rate in effect on the date such Indebtedness was incurred, in the case of term debt, or first committed, in the case of revolving credit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Indebtedness is incurred to refinance other Indebtedness denominated in another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principal amount of such Indebtedness being refinanced plus (ii) the aggregate amount of fees, underwriting discounts, premiums, and other costs and expenses and accrued and unpaid interest incurred in connection with such refinancing.</w:t>
      </w:r>
    </w:p>
    <w:p>
      <w:pPr>
        <w:spacing w:after="0" w:line="192"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spacing w:after="0" w:line="181"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This Agreement will not treat (1) unsecured Indebtedness as subordinated or junior to secured Indebtedness merely because it is unsecured or (2) senior Indebtedness as subordinated or junior to any other senior Indebtedness merely because it has a junior priority with respect to the same collateral.</w:t>
      </w:r>
    </w:p>
    <w:p>
      <w:pPr>
        <w:spacing w:after="0" w:line="12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Limitation on Liens</w:t>
      </w:r>
      <w:r>
        <w:rPr>
          <w:rFonts w:ascii="Arial" w:cs="Arial" w:eastAsia="Arial" w:hAnsi="Arial"/>
          <w:sz w:val="16"/>
          <w:szCs w:val="16"/>
          <w:color w:val="auto"/>
        </w:rPr>
        <w:t>.</w:t>
      </w:r>
    </w:p>
    <w:p>
      <w:pPr>
        <w:spacing w:after="0" w:line="225" w:lineRule="exact"/>
        <w:rPr>
          <w:sz w:val="20"/>
          <w:szCs w:val="20"/>
          <w:color w:val="auto"/>
        </w:rPr>
      </w:pPr>
    </w:p>
    <w:p>
      <w:pPr>
        <w:ind w:right="140" w:firstLine="656"/>
        <w:spacing w:after="0" w:line="312" w:lineRule="auto"/>
        <w:tabs>
          <w:tab w:leader="none" w:pos="1028" w:val="left"/>
        </w:tabs>
        <w:numPr>
          <w:ilvl w:val="0"/>
          <w:numId w:val="168"/>
        </w:numPr>
        <w:rPr>
          <w:rFonts w:ascii="Arial" w:cs="Arial" w:eastAsia="Arial" w:hAnsi="Arial"/>
          <w:sz w:val="16"/>
          <w:szCs w:val="16"/>
          <w:color w:val="auto"/>
        </w:rPr>
      </w:pPr>
      <w:r>
        <w:rPr>
          <w:rFonts w:ascii="Arial" w:cs="Arial" w:eastAsia="Arial" w:hAnsi="Arial"/>
          <w:sz w:val="16"/>
          <w:szCs w:val="16"/>
          <w:color w:val="auto"/>
        </w:rPr>
        <w:t>Holdings will not, and will not permit any of the Restricted Subsidiaries to, create, incur, assume or suffer to exist any Lien upon any property or assets of any kind (real or personal, tangible or intangible) of Holdings or any Restricted Subsidiary, whether now owned or hereafter acquired (each, a “</w:t>
      </w:r>
      <w:r>
        <w:rPr>
          <w:rFonts w:ascii="Arial" w:cs="Arial" w:eastAsia="Arial" w:hAnsi="Arial"/>
          <w:sz w:val="16"/>
          <w:szCs w:val="16"/>
          <w:b w:val="1"/>
          <w:bCs w:val="1"/>
          <w:color w:val="auto"/>
        </w:rPr>
        <w:t>Subject Lien</w:t>
      </w:r>
      <w:r>
        <w:rPr>
          <w:rFonts w:ascii="Arial" w:cs="Arial" w:eastAsia="Arial" w:hAnsi="Arial"/>
          <w:sz w:val="16"/>
          <w:szCs w:val="16"/>
          <w:color w:val="auto"/>
        </w:rPr>
        <w:t>”) that secures obligations under any Indebtedness on any asset or property of Holdings or any Restricted Subsidiary, except:</w:t>
      </w:r>
    </w:p>
    <w:p>
      <w:pPr>
        <w:spacing w:after="0" w:line="146" w:lineRule="exact"/>
        <w:rPr>
          <w:rFonts w:ascii="Arial" w:cs="Arial" w:eastAsia="Arial" w:hAnsi="Arial"/>
          <w:sz w:val="16"/>
          <w:szCs w:val="16"/>
          <w:color w:val="auto"/>
        </w:rPr>
      </w:pPr>
    </w:p>
    <w:p>
      <w:pPr>
        <w:ind w:left="1900" w:hanging="352"/>
        <w:spacing w:after="0"/>
        <w:tabs>
          <w:tab w:leader="none" w:pos="19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in the case of Subject Liens on any Collateral, if such Subject Lien is a Permitted Lien;</w:t>
      </w:r>
    </w:p>
    <w:p>
      <w:pPr>
        <w:spacing w:after="0" w:line="225" w:lineRule="exact"/>
        <w:rPr>
          <w:rFonts w:ascii="Arial" w:cs="Arial" w:eastAsia="Arial" w:hAnsi="Arial"/>
          <w:sz w:val="18"/>
          <w:szCs w:val="18"/>
          <w:color w:val="auto"/>
        </w:rPr>
      </w:pPr>
    </w:p>
    <w:p>
      <w:pPr>
        <w:ind w:left="660" w:right="380" w:firstLine="888"/>
        <w:spacing w:after="0" w:line="264" w:lineRule="auto"/>
        <w:tabs>
          <w:tab w:leader="none" w:pos="1951"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in the case of any other asset or property, any Subject Lien if (i) the Obligations are equally and ratably secured with (or on a senior basis to, in the case such Subject Lien secures any Junior Debt) the obligations secured by such Subject Lien or (ii) such Subject Lien is a Permitted Lien; and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-124-</w:t>
      </w:r>
    </w:p>
    <w:p>
      <w:pPr>
        <w:sectPr>
          <w:pgSz w:w="11900" w:h="16838" w:orient="portrait"/>
          <w:cols w:equalWidth="0" w:num="1">
            <w:col w:w="11420"/>
          </w:cols>
          <w:pgMar w:left="240" w:top="814" w:right="239" w:bottom="1440" w:gutter="0" w:footer="0" w:header="0"/>
        </w:sectPr>
      </w:pPr>
    </w:p>
    <w:bookmarkStart w:id="204" w:name="page205"/>
    <w:bookmarkEnd w:id="204"/>
    <w:p>
      <w:pPr>
        <w:ind w:left="660" w:right="220" w:firstLine="888"/>
        <w:spacing w:after="0" w:line="283" w:lineRule="auto"/>
        <w:tabs>
          <w:tab w:leader="none" w:pos="2001" w:val="left"/>
        </w:tabs>
        <w:numPr>
          <w:ilvl w:val="1"/>
          <w:numId w:val="169"/>
        </w:numPr>
        <w:rPr>
          <w:rFonts w:ascii="Arial" w:cs="Arial" w:eastAsia="Arial" w:hAnsi="Arial"/>
          <w:sz w:val="16"/>
          <w:szCs w:val="16"/>
          <w:color w:val="auto"/>
        </w:rPr>
      </w:pPr>
      <w:r>
        <w:rPr>
          <w:rFonts w:ascii="Arial" w:cs="Arial" w:eastAsia="Arial" w:hAnsi="Arial"/>
          <w:sz w:val="16"/>
          <w:szCs w:val="16"/>
          <w:color w:val="auto"/>
        </w:rPr>
        <w:t xml:space="preserve">any other Subject Lien (without duplication of Liens permitted under clauses (i) and (ii) of this </w:t>
      </w:r>
      <w:r>
        <w:rPr>
          <w:rFonts w:ascii="Arial" w:cs="Arial" w:eastAsia="Arial" w:hAnsi="Arial"/>
          <w:sz w:val="16"/>
          <w:szCs w:val="16"/>
          <w:u w:val="single" w:color="auto"/>
          <w:color w:val="auto"/>
        </w:rPr>
        <w:t>Section 10.2(a))</w:t>
      </w:r>
      <w:r>
        <w:rPr>
          <w:rFonts w:ascii="Arial" w:cs="Arial" w:eastAsia="Arial" w:hAnsi="Arial"/>
          <w:sz w:val="16"/>
          <w:szCs w:val="16"/>
          <w:color w:val="auto"/>
        </w:rPr>
        <w:t xml:space="preserve"> if (x) the obligations secured by such Subject Lien (“Junior Lien Indebtedness”) are junior to the Obligations and (y) the assets or property secured by such Subject Lien are on Collateral (or immediately upon incurring such Junior Lien Indebtedness such assets or property become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case of Junior Lien Indebtedness that constitutes debt for borrowed money, such Junior Lien Indebtedness complies with clauses (a), (b), and (c) of the definition of “Permitted Other Indebtedness” and (ii) in the case of Junior Lien Indebtedness that constitutes debt for borrowed money, the applicable holders of such Junior Lien Indebtedness (or a representative thereof on behalf of such holders) shall enter into security documents with terms and conditions not materially more restrictive to the Credit Parties, taken as a whole, than the terms and conditions of the Security Documents and shall (A) in the case of the first such issuance of such Junior Lien Indebtedness, the Collateral Agent, the Administrative Agent and the representative of the holders of such Junior Lien Indebtedness shall have entered into the Second Lien Intercreditor Agreement and</w:t>
      </w:r>
    </w:p>
    <w:p>
      <w:pPr>
        <w:spacing w:after="0" w:line="6" w:lineRule="exact"/>
        <w:rPr>
          <w:rFonts w:ascii="Arial" w:cs="Arial" w:eastAsia="Arial" w:hAnsi="Arial"/>
          <w:sz w:val="16"/>
          <w:szCs w:val="16"/>
          <w:color w:val="auto"/>
        </w:rPr>
      </w:pPr>
    </w:p>
    <w:p>
      <w:pPr>
        <w:ind w:left="660" w:right="240" w:hanging="4"/>
        <w:spacing w:after="0" w:line="254" w:lineRule="auto"/>
        <w:tabs>
          <w:tab w:leader="none" w:pos="94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the case of subsequent issuances of such Junior Lien Indebtedness, the representative for the holders of such Junior Lien Indebtedness shall have become a party to the Second Lien Intercreditor Agreement in accordance with the terms thereof; and without any further consent of the Lenders, the Administrative Agent and the Collateral Agent shall be authorized to execute and deliver on behalf of the Secured Parties the Second Lien Intercreditor Agreement contemplated by this clause (ii).</w:t>
      </w:r>
    </w:p>
    <w:p>
      <w:pPr>
        <w:spacing w:after="0" w:line="190" w:lineRule="exact"/>
        <w:rPr>
          <w:sz w:val="20"/>
          <w:szCs w:val="20"/>
          <w:color w:val="auto"/>
        </w:rPr>
      </w:pPr>
    </w:p>
    <w:p>
      <w:pPr>
        <w:ind w:right="180" w:firstLine="656"/>
        <w:spacing w:after="0" w:line="264" w:lineRule="auto"/>
        <w:tabs>
          <w:tab w:leader="none" w:pos="102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Lien created for the benefit of the Secured Parties pursuant to the preceding paragraph shall provide by its terms that such Lien shall be automatically and unconditionally be released and discharged upon the release and discharge of the Subject Lien that gave rise to the obligation to so secure the Obligations.</w:t>
      </w:r>
    </w:p>
    <w:p>
      <w:pPr>
        <w:spacing w:after="0" w:line="181"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Limitation on Fundamental Changes</w:t>
      </w:r>
      <w:r>
        <w:rPr>
          <w:rFonts w:ascii="Arial" w:cs="Arial" w:eastAsia="Arial" w:hAnsi="Arial"/>
          <w:sz w:val="18"/>
          <w:szCs w:val="18"/>
          <w:color w:val="auto"/>
        </w:rPr>
        <w:t>. Holdings will not, and will not permit any of the Restricted Subsidiaries to, enter into any merger, consolidation or amalgamation, or liquidate, wind up or dissolve itself (or suffer any liquidation or dissolution), or convey, sell, lease, assign, transfer or otherwise dispose of, all or substantially all its business units, assets or other properties, except that:</w:t>
      </w:r>
    </w:p>
    <w:p>
      <w:pPr>
        <w:spacing w:after="0" w:line="181" w:lineRule="exact"/>
        <w:rPr>
          <w:sz w:val="20"/>
          <w:szCs w:val="20"/>
          <w:color w:val="auto"/>
        </w:rPr>
      </w:pPr>
    </w:p>
    <w:p>
      <w:pPr>
        <w:ind w:left="660" w:firstLine="645"/>
        <w:spacing w:after="0" w:line="283" w:lineRule="auto"/>
        <w:tabs>
          <w:tab w:leader="none" w:pos="168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so long as no Event of Default has occurred and is continuing or would result therefrom, any Subsidiary of Holdings or any other Person may be merged, amalgamated or consolidated with or into Holdings or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Holdings or the Borrower shall be the continuing or surviving corporation or (B) if the Person formed by or surviving any such merger, amalgamation or consolidation is not Holdings or the Borrower (such other Person, the “</w:t>
      </w:r>
      <w:r>
        <w:rPr>
          <w:rFonts w:ascii="Arial" w:cs="Arial" w:eastAsia="Arial" w:hAnsi="Arial"/>
          <w:sz w:val="16"/>
          <w:szCs w:val="16"/>
          <w:b w:val="1"/>
          <w:bCs w:val="1"/>
          <w:color w:val="auto"/>
        </w:rPr>
        <w:t>Successor Borrower</w:t>
      </w:r>
      <w:r>
        <w:rPr>
          <w:rFonts w:ascii="Arial" w:cs="Arial" w:eastAsia="Arial" w:hAnsi="Arial"/>
          <w:sz w:val="16"/>
          <w:szCs w:val="16"/>
          <w:color w:val="auto"/>
        </w:rPr>
        <w:t xml:space="preserve">”), (1) the Successor Borrower shall be an entity organized or existing under the laws of the United States, any state thereof, or the District of Columbia, (2) the Successor Borrower shall expressly assume all the obligations of Holdings or the Borrower under this Agreement and the other Credit Documents pursuant to a supplement hereto or thereto or in a form otherwise reasonably satisfactory to the Administrative Agent, (3) each Guarantor, unless it is the other party to such merger, amalgamation or consolidation, shall have by a supplement to the Guarantee confirmed that its guarantee thereunder shall apply to any Successor Borrower’s obligations under this Agreement, (4) each Subsidiary grantor and each Subsidiary pledgor, unless it is the other party to such merger, amalgamation or consolidation, shall have by a supplement to any applicable Security Document affirmed that its obligations thereunder shall apply to its Guarantee as reaffirmed pursuant to </w:t>
      </w:r>
      <w:r>
        <w:rPr>
          <w:rFonts w:ascii="Arial" w:cs="Arial" w:eastAsia="Arial" w:hAnsi="Arial"/>
          <w:sz w:val="16"/>
          <w:szCs w:val="16"/>
          <w:u w:val="single" w:color="auto"/>
          <w:color w:val="auto"/>
        </w:rPr>
        <w:t>clause</w:t>
      </w:r>
    </w:p>
    <w:p>
      <w:pPr>
        <w:spacing w:after="0" w:line="5" w:lineRule="exact"/>
        <w:rPr>
          <w:rFonts w:ascii="Arial" w:cs="Arial" w:eastAsia="Arial" w:hAnsi="Arial"/>
          <w:sz w:val="16"/>
          <w:szCs w:val="16"/>
          <w:color w:val="auto"/>
        </w:rPr>
      </w:pPr>
    </w:p>
    <w:p>
      <w:pPr>
        <w:ind w:left="660"/>
        <w:spacing w:after="0" w:line="287" w:lineRule="auto"/>
        <w:rPr>
          <w:rFonts w:ascii="Arial" w:cs="Arial" w:eastAsia="Arial" w:hAnsi="Arial"/>
          <w:sz w:val="16"/>
          <w:szCs w:val="16"/>
          <w:color w:val="auto"/>
        </w:rPr>
      </w:pPr>
      <w:r>
        <w:rPr>
          <w:rFonts w:ascii="Arial" w:cs="Arial" w:eastAsia="Arial" w:hAnsi="Arial"/>
          <w:sz w:val="16"/>
          <w:szCs w:val="16"/>
          <w:u w:val="single" w:color="auto"/>
          <w:color w:val="auto"/>
        </w:rPr>
        <w:t>(3)</w:t>
      </w:r>
      <w:r>
        <w:rPr>
          <w:rFonts w:ascii="Arial" w:cs="Arial" w:eastAsia="Arial" w:hAnsi="Arial"/>
          <w:sz w:val="16"/>
          <w:szCs w:val="16"/>
          <w:color w:val="auto"/>
        </w:rPr>
        <w:t xml:space="preserve">, (5) each mortgagor of a Mortgaged Property, unless it is the other party to such merger, amalgamation or consolidation, shall have affirmed that its obligations under the applicable Mortgage shall apply to its Guarantee as reaffirmed pursuant to </w:t>
      </w:r>
      <w:r>
        <w:rPr>
          <w:rFonts w:ascii="Arial" w:cs="Arial" w:eastAsia="Arial" w:hAnsi="Arial"/>
          <w:sz w:val="16"/>
          <w:szCs w:val="16"/>
          <w:u w:val="single" w:color="auto"/>
          <w:color w:val="auto"/>
        </w:rPr>
        <w:t>clause (3)</w:t>
      </w:r>
      <w:r>
        <w:rPr>
          <w:rFonts w:ascii="Arial" w:cs="Arial" w:eastAsia="Arial" w:hAnsi="Arial"/>
          <w:sz w:val="16"/>
          <w:szCs w:val="16"/>
          <w:color w:val="auto"/>
        </w:rPr>
        <w:t xml:space="preserve">, and (6) the Successor Borrower shall have delivered to the Administrative Agent (x) an officer’s certificate stating that such merger, amalgamation, or consolidation and such supplements preserve the enforceability of the Guarantee and the perfection and priority of the Liens under the applicable Security Documents and (y) if requested by the Administrative Agent, an opinion of counsel to the effect that such merger, amalgamation, or consolidation does not violate this Agreement or any other Credit Document and that the provisions set forth in the preceding </w:t>
      </w:r>
      <w:r>
        <w:rPr>
          <w:rFonts w:ascii="Arial" w:cs="Arial" w:eastAsia="Arial" w:hAnsi="Arial"/>
          <w:sz w:val="16"/>
          <w:szCs w:val="16"/>
          <w:u w:val="single" w:color="auto"/>
          <w:color w:val="auto"/>
        </w:rPr>
        <w:t>clauses (3)</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(5)</w:t>
      </w:r>
      <w:r>
        <w:rPr>
          <w:rFonts w:ascii="Arial" w:cs="Arial" w:eastAsia="Arial" w:hAnsi="Arial"/>
          <w:sz w:val="16"/>
          <w:szCs w:val="16"/>
          <w:color w:val="auto"/>
        </w:rPr>
        <w:t xml:space="preserve"> preserve the enforceability of the Guarantee and the perfection of the Liens created under the applicable Security Documents (it being understood that if the foregoing are satisfied, the Successor Borrower will succeed to, and be substituted for, the Borrower under this Agreement);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-125-</w:t>
      </w:r>
    </w:p>
    <w:p>
      <w:pPr>
        <w:sectPr>
          <w:pgSz w:w="11900" w:h="16838" w:orient="portrait"/>
          <w:cols w:equalWidth="0" w:num="1">
            <w:col w:w="11420"/>
          </w:cols>
          <w:pgMar w:left="240" w:top="814" w:right="239" w:bottom="1440" w:gutter="0" w:footer="0" w:header="0"/>
        </w:sectPr>
      </w:pPr>
    </w:p>
    <w:bookmarkStart w:id="205" w:name="page206"/>
    <w:bookmarkEnd w:id="205"/>
    <w:p>
      <w:pPr>
        <w:ind w:firstLine="645"/>
        <w:spacing w:after="0" w:line="287" w:lineRule="auto"/>
        <w:tabs>
          <w:tab w:leader="none" w:pos="103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so long as no Event of Default has occurred and is continuing or would result therefrom, any Subsidiary of Holdings or any other Person (in each case, other than the Borrower) may be merged, amalgamated or consolidated with or into any one or more Subsidiaries of Holdings;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case of any merger, amalgamation or consolidation involving one or more Restricted Subsidiaries, (A) a Restricted Subsidiary shall be the continuing or surviving Person or (B) Holdings shall cause the Person formed by or surviving any such merger, amalgamation or consolidation (if other than a Restricted Subsidiary) to become a Restricted Subsidiary, (ii) in the case of any merger, amalgamation or consolidation involving one or more Guarantors, a Guarantor shall be the continuing or surviving Person or the Person formed by or surviving any such merger, amalgamation or consolidation and if the surviving Person is not already a Guarantor, such Person shall execute a supplement to the Guarantee and the relevant Security Documents in form and substance reasonably satisfactory to the Administrative Agent in order to become a Guarantor and pledgor, mortgagor and grantor, as applicable, thereunder for the benefit of the Secured Parties, and (iii) Holdings shall have delivered to the Administrative Agent an officer’s certificate stating that such merger, amalgamation or consolidation and any such supplements to any Security Document preserve the enforceability of the Guarantees and the perfection and priority of the Liens under the applicable Security Documents;</w:t>
      </w:r>
    </w:p>
    <w:p>
      <w:pPr>
        <w:spacing w:after="0" w:line="172" w:lineRule="exact"/>
        <w:rPr>
          <w:rFonts w:ascii="Arial" w:cs="Arial" w:eastAsia="Arial" w:hAnsi="Arial"/>
          <w:sz w:val="16"/>
          <w:szCs w:val="16"/>
          <w:color w:val="auto"/>
        </w:rPr>
      </w:pPr>
    </w:p>
    <w:p>
      <w:pPr>
        <w:ind w:left="1020" w:hanging="375"/>
        <w:spacing w:after="0"/>
        <w:tabs>
          <w:tab w:leader="none" w:pos="10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Transactions may be consummated;</w:t>
      </w:r>
    </w:p>
    <w:p>
      <w:pPr>
        <w:spacing w:after="0" w:line="225" w:lineRule="exact"/>
        <w:rPr>
          <w:rFonts w:ascii="Arial" w:cs="Arial" w:eastAsia="Arial" w:hAnsi="Arial"/>
          <w:sz w:val="18"/>
          <w:szCs w:val="18"/>
          <w:color w:val="auto"/>
        </w:rPr>
      </w:pPr>
    </w:p>
    <w:p>
      <w:pPr>
        <w:jc w:val="both"/>
        <w:ind w:right="100" w:firstLine="645"/>
        <w:spacing w:after="0" w:line="259" w:lineRule="auto"/>
        <w:tabs>
          <w:tab w:leader="none" w:pos="103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 any Restricted Subsidiary that is not a Credit Party may convey, sell, lease, assign, transfer or otherwise dispose of any or all of its assets (upon voluntary liquidation or dissolution or otherwise) to Holdings or any other Restricted Subsidiary or (ii) any Credit Party (other than the Borrower) may convey, sell, lease, assign, transfer or otherwise dispose of any or all of its assets (upon voluntary liquidation or dissolution or otherwise) to any other Credit Party;</w:t>
      </w:r>
    </w:p>
    <w:p>
      <w:pPr>
        <w:spacing w:after="0" w:line="186" w:lineRule="exact"/>
        <w:rPr>
          <w:rFonts w:ascii="Arial" w:cs="Arial" w:eastAsia="Arial" w:hAnsi="Arial"/>
          <w:sz w:val="18"/>
          <w:szCs w:val="18"/>
          <w:color w:val="auto"/>
        </w:rPr>
      </w:pPr>
    </w:p>
    <w:p>
      <w:pPr>
        <w:jc w:val="both"/>
        <w:ind w:right="220" w:firstLine="645"/>
        <w:spacing w:after="0" w:line="264" w:lineRule="auto"/>
        <w:tabs>
          <w:tab w:leader="none" w:pos="102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any Subsidiary may convey, sell, lease, assign, transfer or otherwise dispose of any or all of its assets (upon voluntary liquidation or dissolution or otherwise) to a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consideration for any such disposition by any Person other than a Guarantor shall not exceed the fair value of such assets;</w:t>
      </w:r>
    </w:p>
    <w:p>
      <w:pPr>
        <w:spacing w:after="0" w:line="181" w:lineRule="exact"/>
        <w:rPr>
          <w:rFonts w:ascii="Arial" w:cs="Arial" w:eastAsia="Arial" w:hAnsi="Arial"/>
          <w:sz w:val="18"/>
          <w:szCs w:val="18"/>
          <w:color w:val="auto"/>
        </w:rPr>
      </w:pPr>
    </w:p>
    <w:p>
      <w:pPr>
        <w:ind w:right="780" w:firstLine="645"/>
        <w:spacing w:after="0" w:line="308" w:lineRule="auto"/>
        <w:tabs>
          <w:tab w:leader="none" w:pos="100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any Restricted Subsidiary (other than the Borrower) may liquidate or dissolve if Holdings determines in good faith that such liquidation or dissolution is in the best interests of Holdings and is not materially disadvantageous to the Lenders;</w:t>
      </w:r>
    </w:p>
    <w:p>
      <w:pPr>
        <w:spacing w:after="0" w:line="146" w:lineRule="exact"/>
        <w:rPr>
          <w:rFonts w:ascii="Arial" w:cs="Arial" w:eastAsia="Arial" w:hAnsi="Arial"/>
          <w:sz w:val="17"/>
          <w:szCs w:val="17"/>
          <w:color w:val="auto"/>
        </w:rPr>
      </w:pPr>
    </w:p>
    <w:p>
      <w:pPr>
        <w:ind w:firstLine="645"/>
        <w:spacing w:after="0" w:line="259" w:lineRule="auto"/>
        <w:tabs>
          <w:tab w:leader="none" w:pos="103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Holdings and the Restricted Subsidiaries may consummate a merger, dissolution, liquidation, consolidation, investment or conveyance, sale, lease, assignment or disposition, the purpose of which is to effect an Asset Sale (which for purposes of this </w:t>
      </w:r>
      <w:r>
        <w:rPr>
          <w:rFonts w:ascii="Arial" w:cs="Arial" w:eastAsia="Arial" w:hAnsi="Arial"/>
          <w:sz w:val="18"/>
          <w:szCs w:val="18"/>
          <w:u w:val="single" w:color="auto"/>
          <w:color w:val="auto"/>
        </w:rPr>
        <w:t>Section 10.3(g)</w:t>
      </w:r>
      <w:r>
        <w:rPr>
          <w:rFonts w:ascii="Arial" w:cs="Arial" w:eastAsia="Arial" w:hAnsi="Arial"/>
          <w:sz w:val="18"/>
          <w:szCs w:val="18"/>
          <w:color w:val="auto"/>
        </w:rPr>
        <w:t xml:space="preserve">, will include any disposition below the dollar threshold set forth in clause (d) of the definition of “Asset Sale”) permitted by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or an investment permitted pursuant to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or an investment that constitutes a Permitted Investment; and</w:t>
      </w:r>
    </w:p>
    <w:p>
      <w:pPr>
        <w:spacing w:after="0" w:line="186" w:lineRule="exact"/>
        <w:rPr>
          <w:rFonts w:ascii="Arial" w:cs="Arial" w:eastAsia="Arial" w:hAnsi="Arial"/>
          <w:sz w:val="18"/>
          <w:szCs w:val="18"/>
          <w:color w:val="auto"/>
        </w:rPr>
      </w:pPr>
    </w:p>
    <w:p>
      <w:pPr>
        <w:ind w:right="180" w:firstLine="645"/>
        <w:spacing w:after="0" w:line="277" w:lineRule="auto"/>
        <w:tabs>
          <w:tab w:leader="none" w:pos="103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so long as no Event of Default has occurred and is continuing or would result therefrom, Holdings or any Restricted Subsidiary may change its legal form.</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Limitation on Sale of Assets</w:t>
      </w:r>
      <w:r>
        <w:rPr>
          <w:rFonts w:ascii="Arial" w:cs="Arial" w:eastAsia="Arial" w:hAnsi="Arial"/>
          <w:sz w:val="16"/>
          <w:szCs w:val="16"/>
          <w:color w:val="auto"/>
        </w:rPr>
        <w:t>. Holdings will not, and will not permit any Restricted Subsidiary to, consummate an Asset Sale, unless:</w:t>
      </w:r>
    </w:p>
    <w:p>
      <w:pPr>
        <w:spacing w:after="0" w:line="225" w:lineRule="exact"/>
        <w:rPr>
          <w:sz w:val="20"/>
          <w:szCs w:val="20"/>
          <w:color w:val="auto"/>
        </w:rPr>
      </w:pPr>
    </w:p>
    <w:p>
      <w:pPr>
        <w:ind w:right="180" w:firstLine="645"/>
        <w:spacing w:after="0" w:line="342" w:lineRule="auto"/>
        <w:tabs>
          <w:tab w:leader="none" w:pos="102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Holdings or such Restricted Subsidiary, as the case may be, receives consideration at the time of such Asset Sale at least equal to the Fair Market Value (as determined at the time of contractually agreeing to such Asset Sale) of the assets sold or otherwise disposed of; and</w:t>
      </w:r>
    </w:p>
    <w:p>
      <w:pPr>
        <w:spacing w:after="0" w:line="364"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-126-</w:t>
      </w:r>
    </w:p>
    <w:p>
      <w:pPr>
        <w:sectPr>
          <w:pgSz w:w="11900" w:h="16838" w:orient="portrait"/>
          <w:cols w:equalWidth="0" w:num="1">
            <w:col w:w="10740"/>
          </w:cols>
          <w:pgMar w:left="900" w:top="814" w:right="259" w:bottom="1440" w:gutter="0" w:footer="0" w:header="0"/>
        </w:sectPr>
      </w:pPr>
    </w:p>
    <w:bookmarkStart w:id="206" w:name="page207"/>
    <w:bookmarkEnd w:id="206"/>
    <w:p>
      <w:pPr>
        <w:ind w:right="280" w:firstLine="645"/>
        <w:spacing w:after="0" w:line="264" w:lineRule="auto"/>
        <w:tabs>
          <w:tab w:leader="none" w:pos="103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except in the case of a Permitted Asset Swap, if the property or assets sold or otherwise disposed of have a Fair Market Value in excess of $10,000,000, at least 75% of the consideration therefor received by Holdings or such Restricted Subsidiary, as the case may be, is in the form of cash or Cash Equivalents;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w:t>
      </w:r>
    </w:p>
    <w:p>
      <w:pPr>
        <w:spacing w:after="0" w:line="181" w:lineRule="exact"/>
        <w:rPr>
          <w:rFonts w:ascii="Arial" w:cs="Arial" w:eastAsia="Arial" w:hAnsi="Arial"/>
          <w:sz w:val="18"/>
          <w:szCs w:val="18"/>
          <w:color w:val="auto"/>
        </w:rPr>
      </w:pPr>
    </w:p>
    <w:p>
      <w:pPr>
        <w:ind w:left="640" w:right="120" w:firstLine="896"/>
        <w:spacing w:after="0" w:line="293" w:lineRule="auto"/>
        <w:tabs>
          <w:tab w:leader="none" w:pos="1881" w:val="left"/>
        </w:tabs>
        <w:numPr>
          <w:ilvl w:val="1"/>
          <w:numId w:val="175"/>
        </w:numPr>
        <w:rPr>
          <w:rFonts w:ascii="Arial" w:cs="Arial" w:eastAsia="Arial" w:hAnsi="Arial"/>
          <w:sz w:val="16"/>
          <w:szCs w:val="16"/>
          <w:color w:val="auto"/>
        </w:rPr>
      </w:pPr>
      <w:r>
        <w:rPr>
          <w:rFonts w:ascii="Arial" w:cs="Arial" w:eastAsia="Arial" w:hAnsi="Arial"/>
          <w:sz w:val="16"/>
          <w:szCs w:val="16"/>
          <w:color w:val="auto"/>
        </w:rPr>
        <w:t>any liabilities (as reflected on Holdings’ most recent consolidated balance sheet or in the footnotes thereto, or if incurred or accrued subsequent to the date of such balance sheet, such liabilities that would have been reflected on Holdings’ consolidated balance sheet or in the footnotes thereto if such incurrence or accrual had taken place on or prior to the date of such balance sheet, as determined in good faith by Holdings) of Holdings, other than liabilities that are by their terms subordinated to the Loans, that are assumed by the transferee of any such assets (or are otherwise extinguished in connection with the transactions relating to such Asset Sale) and for which Holdings and all such Restricted Subsidiaries have been validly released by all applicable creditors in writing;</w:t>
      </w:r>
    </w:p>
    <w:p>
      <w:pPr>
        <w:spacing w:after="0" w:line="164" w:lineRule="exact"/>
        <w:rPr>
          <w:rFonts w:ascii="Arial" w:cs="Arial" w:eastAsia="Arial" w:hAnsi="Arial"/>
          <w:sz w:val="16"/>
          <w:szCs w:val="16"/>
          <w:color w:val="auto"/>
        </w:rPr>
      </w:pPr>
    </w:p>
    <w:p>
      <w:pPr>
        <w:ind w:left="640" w:right="160" w:firstLine="896"/>
        <w:spacing w:after="0" w:line="259" w:lineRule="auto"/>
        <w:tabs>
          <w:tab w:leader="none" w:pos="1931"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any securities, notes or other obligations or assets received by Holdings or such Restricted Subsidiary from such transferee that are converted by Holdings or such Restricted Subsidiary into cash or Cash Equivalents, or by their terms are required to be satisfied for cash or Cash Equivalents (to the extent of the cash or Cash Equivalents received), in each case, within 180 days following the closing of such Asset Sale;</w:t>
      </w:r>
    </w:p>
    <w:p>
      <w:pPr>
        <w:spacing w:after="0" w:line="186" w:lineRule="exact"/>
        <w:rPr>
          <w:rFonts w:ascii="Arial" w:cs="Arial" w:eastAsia="Arial" w:hAnsi="Arial"/>
          <w:sz w:val="18"/>
          <w:szCs w:val="18"/>
          <w:color w:val="auto"/>
        </w:rPr>
      </w:pPr>
    </w:p>
    <w:p>
      <w:pPr>
        <w:jc w:val="both"/>
        <w:ind w:left="640" w:right="60" w:firstLine="896"/>
        <w:spacing w:after="0" w:line="312" w:lineRule="auto"/>
        <w:tabs>
          <w:tab w:leader="none" w:pos="1981" w:val="left"/>
        </w:tabs>
        <w:numPr>
          <w:ilvl w:val="1"/>
          <w:numId w:val="175"/>
        </w:numPr>
        <w:rPr>
          <w:rFonts w:ascii="Arial" w:cs="Arial" w:eastAsia="Arial" w:hAnsi="Arial"/>
          <w:sz w:val="16"/>
          <w:szCs w:val="16"/>
          <w:color w:val="auto"/>
        </w:rPr>
      </w:pPr>
      <w:r>
        <w:rPr>
          <w:rFonts w:ascii="Arial" w:cs="Arial" w:eastAsia="Arial" w:hAnsi="Arial"/>
          <w:sz w:val="16"/>
          <w:szCs w:val="16"/>
          <w:color w:val="auto"/>
        </w:rPr>
        <w:t>Indebtedness, other than liabilities that are by their terms subordinated to the Loans, that are of any Restricted Subsidiary that is no longer a Restricted Subsidiary as a result of such Asset Sale, to the extent that Holdings and all Restricted Subsidiaries have been validly released from any Guarantee of payment of such Indebtedness in connection with such Asset Sale; and</w:t>
      </w:r>
    </w:p>
    <w:p>
      <w:pPr>
        <w:spacing w:after="0" w:line="146" w:lineRule="exact"/>
        <w:rPr>
          <w:rFonts w:ascii="Arial" w:cs="Arial" w:eastAsia="Arial" w:hAnsi="Arial"/>
          <w:sz w:val="16"/>
          <w:szCs w:val="16"/>
          <w:color w:val="auto"/>
        </w:rPr>
      </w:pPr>
    </w:p>
    <w:p>
      <w:pPr>
        <w:ind w:left="640" w:right="20" w:firstLine="896"/>
        <w:spacing w:after="0" w:line="276" w:lineRule="auto"/>
        <w:tabs>
          <w:tab w:leader="none" w:pos="1971" w:val="left"/>
        </w:tabs>
        <w:numPr>
          <w:ilvl w:val="1"/>
          <w:numId w:val="175"/>
        </w:numPr>
        <w:rPr>
          <w:rFonts w:ascii="Arial" w:cs="Arial" w:eastAsia="Arial" w:hAnsi="Arial"/>
          <w:sz w:val="17"/>
          <w:szCs w:val="17"/>
          <w:color w:val="auto"/>
        </w:rPr>
      </w:pPr>
      <w:r>
        <w:rPr>
          <w:rFonts w:ascii="Arial" w:cs="Arial" w:eastAsia="Arial" w:hAnsi="Arial"/>
          <w:sz w:val="17"/>
          <w:szCs w:val="17"/>
          <w:color w:val="auto"/>
        </w:rPr>
        <w:t xml:space="preserve">any Designated Non-Cash Consideration received by Holdings or such Restricted Subsidiary in such Asset Sale having an aggregate Fair Market Value, taken together with all other Designated Non-Cash Consideration received pursuant to this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that is at that time outstanding, not to exceed the greater of $85,000,000 or 6.0% of Consolidated Total Assets at the time of the receipt of such Designated Non-Cash Consideration, with the Fair Market Value of each item of Designated Non-Cash Consideration being measured at the time received and without giving effect to subsequent changes in value,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shall be deemed to be cash for purposes of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provision and for no other purpose.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Within the Reinvestment Period after Holdings’ or any Restricted Subsidiary’s receipt of the Net Cash Proceeds of any Asset Sale, Holdings or such Restricted Subsidiary shall apply the Net Cash Proceeds from such Asset Sale:</w:t>
      </w:r>
    </w:p>
    <w:p>
      <w:pPr>
        <w:spacing w:after="0" w:line="184" w:lineRule="exact"/>
        <w:rPr>
          <w:sz w:val="20"/>
          <w:szCs w:val="20"/>
          <w:color w:val="auto"/>
        </w:rPr>
      </w:pPr>
    </w:p>
    <w:p>
      <w:pPr>
        <w:ind w:left="1260" w:hanging="372"/>
        <w:spacing w:after="0"/>
        <w:tabs>
          <w:tab w:leader="none" w:pos="1260" w:val="left"/>
        </w:tabs>
        <w:numPr>
          <w:ilvl w:val="0"/>
          <w:numId w:val="176"/>
        </w:numPr>
        <w:rPr>
          <w:rFonts w:ascii="Arial" w:cs="Arial" w:eastAsia="Arial" w:hAnsi="Arial"/>
          <w:sz w:val="20"/>
          <w:szCs w:val="20"/>
          <w:color w:val="auto"/>
        </w:rPr>
      </w:pPr>
      <w:r>
        <w:rPr>
          <w:rFonts w:ascii="Arial" w:cs="Arial" w:eastAsia="Arial" w:hAnsi="Arial"/>
          <w:sz w:val="18"/>
          <w:szCs w:val="18"/>
          <w:color w:val="auto"/>
        </w:rPr>
        <w:t xml:space="preserve">to prepay Loans or Permitted Other Indebtedness in accordance with </w:t>
      </w:r>
      <w:r>
        <w:rPr>
          <w:rFonts w:ascii="Arial" w:cs="Arial" w:eastAsia="Arial" w:hAnsi="Arial"/>
          <w:sz w:val="18"/>
          <w:szCs w:val="18"/>
          <w:u w:val="single" w:color="auto"/>
          <w:color w:val="auto"/>
        </w:rPr>
        <w:t>Section 5.2(a)(i)</w:t>
      </w:r>
      <w:r>
        <w:rPr>
          <w:rFonts w:ascii="Arial" w:cs="Arial" w:eastAsia="Arial" w:hAnsi="Arial"/>
          <w:sz w:val="18"/>
          <w:szCs w:val="18"/>
          <w:color w:val="auto"/>
        </w:rPr>
        <w:t>; and/or</w:t>
      </w:r>
    </w:p>
    <w:p>
      <w:pPr>
        <w:spacing w:after="0" w:line="215" w:lineRule="exact"/>
        <w:rPr>
          <w:rFonts w:ascii="Arial" w:cs="Arial" w:eastAsia="Arial" w:hAnsi="Arial"/>
          <w:sz w:val="20"/>
          <w:szCs w:val="20"/>
          <w:color w:val="auto"/>
        </w:rPr>
      </w:pPr>
    </w:p>
    <w:p>
      <w:pPr>
        <w:ind w:right="180" w:firstLine="888"/>
        <w:spacing w:after="0" w:line="303" w:lineRule="auto"/>
        <w:tabs>
          <w:tab w:leader="none" w:pos="1313" w:val="left"/>
        </w:tabs>
        <w:numPr>
          <w:ilvl w:val="0"/>
          <w:numId w:val="176"/>
        </w:numPr>
        <w:rPr>
          <w:rFonts w:ascii="Arial" w:cs="Arial" w:eastAsia="Arial" w:hAnsi="Arial"/>
          <w:sz w:val="18"/>
          <w:szCs w:val="18"/>
          <w:color w:val="auto"/>
        </w:rPr>
      </w:pPr>
      <w:r>
        <w:rPr>
          <w:rFonts w:ascii="Arial" w:cs="Arial" w:eastAsia="Arial" w:hAnsi="Arial"/>
          <w:sz w:val="16"/>
          <w:szCs w:val="16"/>
          <w:color w:val="auto"/>
        </w:rPr>
        <w:t xml:space="preserve">to make investments in the Borrower and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Holdings and the Restricted Subsidiaries will be deemed to have complied with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if and to the extent that, within the Reinvestment Period after the Asset Sale that generated the Net Cash Proceeds, Holdings or such Restricted Subsidiary has entered into and not abandoned or rejected a binding agreement to consummate any such investment described in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with the good faith expectation that such Net Cash Proceeds will be applied to satisfy such commitment within 180 days of such commitment and, in the event any such commitment is later cancelled or terminated for any reason before the Net Cash Proceeds are applied in connection therewith, Holdings or such Restricted Subsidiary prepays the Loans in accordance with </w:t>
      </w:r>
      <w:r>
        <w:rPr>
          <w:rFonts w:ascii="Arial" w:cs="Arial" w:eastAsia="Arial" w:hAnsi="Arial"/>
          <w:sz w:val="16"/>
          <w:szCs w:val="16"/>
          <w:u w:val="single" w:color="auto"/>
          <w:color w:val="auto"/>
        </w:rPr>
        <w:t>Section 5.2(a)(i)</w:t>
      </w:r>
      <w:r>
        <w:rPr>
          <w:rFonts w:ascii="Arial" w:cs="Arial" w:eastAsia="Arial" w:hAnsi="Arial"/>
          <w:sz w:val="16"/>
          <w:szCs w:val="16"/>
          <w:color w:val="auto"/>
        </w:rPr>
        <w:t>.</w:t>
      </w:r>
    </w:p>
    <w:p>
      <w:pPr>
        <w:spacing w:after="0" w:line="398"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-127-</w:t>
      </w:r>
    </w:p>
    <w:p>
      <w:pPr>
        <w:sectPr>
          <w:pgSz w:w="11900" w:h="16838" w:orient="portrait"/>
          <w:cols w:equalWidth="0" w:num="1">
            <w:col w:w="10760"/>
          </w:cols>
          <w:pgMar w:left="900" w:top="814" w:right="239" w:bottom="1440" w:gutter="0" w:footer="0" w:header="0"/>
        </w:sectPr>
      </w:pPr>
    </w:p>
    <w:bookmarkStart w:id="207" w:name="page208"/>
    <w:bookmarkEnd w:id="207"/>
    <w:p>
      <w:pPr>
        <w:ind w:left="660" w:right="60" w:firstLine="645"/>
        <w:spacing w:after="0" w:line="264" w:lineRule="auto"/>
        <w:tabs>
          <w:tab w:leader="none" w:pos="168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Pending the final application of any Net Cash Proceeds pursuant to this covenant, Holdings or the applicable Restricted Subsidiary may apply such Net Cash Proceeds temporarily to reduce Indebtedness outstanding under the Revolving Credit Facility or any other revolving credit facility or otherwise invest such Net Cash Proceeds in any manner not prohibited by this Agreement.</w:t>
      </w:r>
    </w:p>
    <w:p>
      <w:pPr>
        <w:spacing w:after="0" w:line="18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u w:val="single" w:color="auto"/>
          <w:color w:val="auto"/>
        </w:rPr>
        <w:t>Limitation on Restricted Payments</w:t>
      </w:r>
      <w:r>
        <w:rPr>
          <w:rFonts w:ascii="Arial" w:cs="Arial" w:eastAsia="Arial" w:hAnsi="Arial"/>
          <w:sz w:val="16"/>
          <w:szCs w:val="16"/>
          <w:color w:val="auto"/>
        </w:rPr>
        <w:t>.</w:t>
      </w:r>
    </w:p>
    <w:p>
      <w:pPr>
        <w:spacing w:after="0" w:line="225" w:lineRule="exact"/>
        <w:rPr>
          <w:sz w:val="20"/>
          <w:szCs w:val="20"/>
          <w:color w:val="auto"/>
        </w:rPr>
      </w:pPr>
    </w:p>
    <w:p>
      <w:pPr>
        <w:ind w:left="1040" w:hanging="384"/>
        <w:spacing w:after="0"/>
        <w:tabs>
          <w:tab w:leader="none" w:pos="10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Holdings will not, and will not permit any Restricted Subsidiary to, directly or indirectly:</w:t>
      </w:r>
    </w:p>
    <w:p>
      <w:pPr>
        <w:spacing w:after="0" w:line="225" w:lineRule="exact"/>
        <w:rPr>
          <w:rFonts w:ascii="Arial" w:cs="Arial" w:eastAsia="Arial" w:hAnsi="Arial"/>
          <w:sz w:val="18"/>
          <w:szCs w:val="18"/>
          <w:color w:val="auto"/>
        </w:rPr>
      </w:pPr>
    </w:p>
    <w:p>
      <w:pPr>
        <w:ind w:left="660" w:right="540" w:firstLine="645"/>
        <w:spacing w:after="0" w:line="308" w:lineRule="auto"/>
        <w:tabs>
          <w:tab w:leader="none" w:pos="1698" w:val="left"/>
        </w:tabs>
        <w:numPr>
          <w:ilvl w:val="1"/>
          <w:numId w:val="178"/>
        </w:numPr>
        <w:rPr>
          <w:rFonts w:ascii="Arial" w:cs="Arial" w:eastAsia="Arial" w:hAnsi="Arial"/>
          <w:sz w:val="17"/>
          <w:szCs w:val="17"/>
          <w:color w:val="010000"/>
        </w:rPr>
      </w:pPr>
      <w:r>
        <w:rPr>
          <w:rFonts w:ascii="Arial" w:cs="Arial" w:eastAsia="Arial" w:hAnsi="Arial"/>
          <w:sz w:val="17"/>
          <w:szCs w:val="17"/>
          <w:color w:val="auto"/>
        </w:rPr>
        <w:t>declare or pay any dividend or make any payment or distribution on account of Holdings’ or any Restricted Subsidiary’s Equity Interests, including any dividend or distribution payable in connection with any merger or consolidation, other than:</w:t>
      </w:r>
    </w:p>
    <w:p>
      <w:pPr>
        <w:spacing w:after="0" w:line="146" w:lineRule="exact"/>
        <w:rPr>
          <w:rFonts w:ascii="Arial" w:cs="Arial" w:eastAsia="Arial" w:hAnsi="Arial"/>
          <w:sz w:val="17"/>
          <w:szCs w:val="17"/>
          <w:color w:val="010000"/>
        </w:rPr>
      </w:pPr>
    </w:p>
    <w:p>
      <w:pPr>
        <w:ind w:left="1300" w:right="120" w:firstLine="653"/>
        <w:spacing w:after="0" w:line="277" w:lineRule="auto"/>
        <w:tabs>
          <w:tab w:leader="none" w:pos="2378" w:val="left"/>
        </w:tabs>
        <w:numPr>
          <w:ilvl w:val="2"/>
          <w:numId w:val="178"/>
        </w:numPr>
        <w:rPr>
          <w:rFonts w:ascii="Arial" w:cs="Arial" w:eastAsia="Arial" w:hAnsi="Arial"/>
          <w:sz w:val="18"/>
          <w:szCs w:val="18"/>
          <w:color w:val="auto"/>
        </w:rPr>
      </w:pPr>
      <w:r>
        <w:rPr>
          <w:rFonts w:ascii="Arial" w:cs="Arial" w:eastAsia="Arial" w:hAnsi="Arial"/>
          <w:sz w:val="18"/>
          <w:szCs w:val="18"/>
          <w:color w:val="auto"/>
        </w:rPr>
        <w:t>dividends or distributions by Holdings payable in Equity Interests (other than Disqualified Stock) of Holdings or in options, warrants or other rights to purchase such Equity Interests, or</w:t>
      </w:r>
    </w:p>
    <w:p>
      <w:pPr>
        <w:spacing w:after="0" w:line="170" w:lineRule="exact"/>
        <w:rPr>
          <w:rFonts w:ascii="Arial" w:cs="Arial" w:eastAsia="Arial" w:hAnsi="Arial"/>
          <w:sz w:val="18"/>
          <w:szCs w:val="18"/>
          <w:color w:val="auto"/>
        </w:rPr>
      </w:pPr>
    </w:p>
    <w:p>
      <w:pPr>
        <w:ind w:left="1300" w:firstLine="653"/>
        <w:spacing w:after="0" w:line="259" w:lineRule="auto"/>
        <w:tabs>
          <w:tab w:leader="none" w:pos="2368" w:val="left"/>
        </w:tabs>
        <w:numPr>
          <w:ilvl w:val="2"/>
          <w:numId w:val="178"/>
        </w:numPr>
        <w:rPr>
          <w:rFonts w:ascii="Arial" w:cs="Arial" w:eastAsia="Arial" w:hAnsi="Arial"/>
          <w:sz w:val="18"/>
          <w:szCs w:val="18"/>
          <w:color w:val="auto"/>
        </w:rPr>
      </w:pPr>
      <w:r>
        <w:rPr>
          <w:rFonts w:ascii="Arial" w:cs="Arial" w:eastAsia="Arial" w:hAnsi="Arial"/>
          <w:sz w:val="18"/>
          <w:szCs w:val="18"/>
          <w:color w:val="auto"/>
        </w:rPr>
        <w:t>dividends or distributions by a Restricted Subsidiary so long as, in the case of any dividend or distribution payable on or in respect of any class or series of securities issued by a Subsidiary other than a Wholly-Owned Subsidiary, Holdings or a Restricted Subsidiary receives at least its pro rata share of such dividend or distribution in accordance with its Equity Interests in such class or series of securities;</w:t>
      </w:r>
    </w:p>
    <w:p>
      <w:pPr>
        <w:spacing w:after="0" w:line="186" w:lineRule="exact"/>
        <w:rPr>
          <w:rFonts w:ascii="Arial" w:cs="Arial" w:eastAsia="Arial" w:hAnsi="Arial"/>
          <w:sz w:val="18"/>
          <w:szCs w:val="18"/>
          <w:color w:val="auto"/>
        </w:rPr>
      </w:pPr>
    </w:p>
    <w:p>
      <w:pPr>
        <w:ind w:left="660" w:right="380" w:firstLine="645"/>
        <w:spacing w:after="0" w:line="277" w:lineRule="auto"/>
        <w:tabs>
          <w:tab w:leader="none" w:pos="1698" w:val="left"/>
        </w:tabs>
        <w:numPr>
          <w:ilvl w:val="1"/>
          <w:numId w:val="178"/>
        </w:numPr>
        <w:rPr>
          <w:rFonts w:ascii="Arial" w:cs="Arial" w:eastAsia="Arial" w:hAnsi="Arial"/>
          <w:sz w:val="18"/>
          <w:szCs w:val="18"/>
          <w:color w:val="010000"/>
        </w:rPr>
      </w:pPr>
      <w:r>
        <w:rPr>
          <w:rFonts w:ascii="Arial" w:cs="Arial" w:eastAsia="Arial" w:hAnsi="Arial"/>
          <w:sz w:val="18"/>
          <w:szCs w:val="18"/>
          <w:color w:val="auto"/>
        </w:rPr>
        <w:t>purchase, redeem, defease or otherwise acquire or retire for value any Equity Interests of Holdings or any direct or indirect parent company of Holdings, including in connection with any merger or consolidation;</w:t>
      </w:r>
    </w:p>
    <w:p>
      <w:pPr>
        <w:spacing w:after="0" w:line="170" w:lineRule="exact"/>
        <w:rPr>
          <w:rFonts w:ascii="Arial" w:cs="Arial" w:eastAsia="Arial" w:hAnsi="Arial"/>
          <w:sz w:val="18"/>
          <w:szCs w:val="18"/>
          <w:color w:val="010000"/>
        </w:rPr>
      </w:pPr>
    </w:p>
    <w:p>
      <w:pPr>
        <w:jc w:val="both"/>
        <w:ind w:left="660" w:right="220" w:firstLine="645"/>
        <w:spacing w:after="0" w:line="257" w:lineRule="auto"/>
        <w:tabs>
          <w:tab w:leader="none" w:pos="1698" w:val="left"/>
        </w:tabs>
        <w:numPr>
          <w:ilvl w:val="1"/>
          <w:numId w:val="178"/>
        </w:numPr>
        <w:rPr>
          <w:rFonts w:ascii="Arial" w:cs="Arial" w:eastAsia="Arial" w:hAnsi="Arial"/>
          <w:sz w:val="18"/>
          <w:szCs w:val="18"/>
          <w:color w:val="010000"/>
        </w:rPr>
      </w:pPr>
      <w:r>
        <w:rPr>
          <w:rFonts w:ascii="Arial" w:cs="Arial" w:eastAsia="Arial" w:hAnsi="Arial"/>
          <w:sz w:val="18"/>
          <w:szCs w:val="18"/>
          <w:color w:val="auto"/>
        </w:rPr>
        <w:t xml:space="preserve">make any principal payment on, or redeem, repurchase, defease or otherwise acquire or retire for value in each case, prior to any scheduled repayment, sinking fund payment or maturity, any Junior Debt of Holdings or any Restricted Subsidiary, other than (A) Indebtedness permitted under </w:t>
      </w:r>
      <w:r>
        <w:rPr>
          <w:rFonts w:ascii="Arial" w:cs="Arial" w:eastAsia="Arial" w:hAnsi="Arial"/>
          <w:sz w:val="18"/>
          <w:szCs w:val="18"/>
          <w:u w:val="single" w:color="auto"/>
          <w:color w:val="auto"/>
        </w:rPr>
        <w:t>clauses (g)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or (B) the purchase, repurchase or other acquisition of Junior Debt purchased in anticipation of satisfying a sinking fund obligation, principal installment or final maturity, in each case due within one year of the date of purchase, repurchase or acquisition; or</w:t>
      </w:r>
    </w:p>
    <w:p>
      <w:pPr>
        <w:spacing w:after="0" w:line="188" w:lineRule="exact"/>
        <w:rPr>
          <w:rFonts w:ascii="Arial" w:cs="Arial" w:eastAsia="Arial" w:hAnsi="Arial"/>
          <w:sz w:val="18"/>
          <w:szCs w:val="18"/>
          <w:color w:val="010000"/>
        </w:rPr>
      </w:pPr>
    </w:p>
    <w:p>
      <w:pPr>
        <w:ind w:left="1700" w:hanging="395"/>
        <w:spacing w:after="0"/>
        <w:tabs>
          <w:tab w:leader="none" w:pos="1700" w:val="left"/>
        </w:tabs>
        <w:numPr>
          <w:ilvl w:val="1"/>
          <w:numId w:val="178"/>
        </w:numPr>
        <w:rPr>
          <w:rFonts w:ascii="Arial" w:cs="Arial" w:eastAsia="Arial" w:hAnsi="Arial"/>
          <w:sz w:val="18"/>
          <w:szCs w:val="18"/>
          <w:color w:val="010000"/>
        </w:rPr>
      </w:pPr>
      <w:r>
        <w:rPr>
          <w:rFonts w:ascii="Arial" w:cs="Arial" w:eastAsia="Arial" w:hAnsi="Arial"/>
          <w:sz w:val="18"/>
          <w:szCs w:val="18"/>
          <w:color w:val="auto"/>
        </w:rPr>
        <w:t>make any Restricted Investment;</w:t>
      </w:r>
    </w:p>
    <w:p>
      <w:pPr>
        <w:spacing w:after="0" w:line="22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 xml:space="preserve">(all such payments and other actions set forth in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(4)</w:t>
      </w:r>
      <w:r>
        <w:rPr>
          <w:rFonts w:ascii="Arial" w:cs="Arial" w:eastAsia="Arial" w:hAnsi="Arial"/>
          <w:sz w:val="18"/>
          <w:szCs w:val="18"/>
          <w:color w:val="auto"/>
        </w:rPr>
        <w:t xml:space="preserve"> above (other than any exception thereto) being collectively referred to as “</w:t>
      </w:r>
      <w:r>
        <w:rPr>
          <w:rFonts w:ascii="Arial" w:cs="Arial" w:eastAsia="Arial" w:hAnsi="Arial"/>
          <w:sz w:val="18"/>
          <w:szCs w:val="18"/>
          <w:b w:val="1"/>
          <w:bCs w:val="1"/>
          <w:color w:val="auto"/>
        </w:rPr>
        <w:t>Restricted</w:t>
      </w:r>
      <w:r>
        <w:rPr>
          <w:rFonts w:ascii="Arial" w:cs="Arial" w:eastAsia="Arial" w:hAnsi="Arial"/>
          <w:sz w:val="18"/>
          <w:szCs w:val="18"/>
          <w:color w:val="auto"/>
        </w:rPr>
        <w:t xml:space="preserve"> </w:t>
      </w:r>
      <w:r>
        <w:rPr>
          <w:rFonts w:ascii="Arial" w:cs="Arial" w:eastAsia="Arial" w:hAnsi="Arial"/>
          <w:sz w:val="18"/>
          <w:szCs w:val="18"/>
          <w:b w:val="1"/>
          <w:bCs w:val="1"/>
          <w:color w:val="auto"/>
        </w:rPr>
        <w:t>Payments</w:t>
      </w:r>
      <w:r>
        <w:rPr>
          <w:rFonts w:ascii="Arial" w:cs="Arial" w:eastAsia="Arial" w:hAnsi="Arial"/>
          <w:sz w:val="18"/>
          <w:szCs w:val="18"/>
          <w:color w:val="auto"/>
        </w:rPr>
        <w:t>”), unless, at the time of such Restricted Payment:</w:t>
      </w:r>
    </w:p>
    <w:p>
      <w:pPr>
        <w:spacing w:after="0" w:line="179" w:lineRule="exact"/>
        <w:rPr>
          <w:sz w:val="20"/>
          <w:szCs w:val="20"/>
          <w:color w:val="auto"/>
        </w:rPr>
      </w:pPr>
    </w:p>
    <w:p>
      <w:pPr>
        <w:ind w:left="660" w:right="180" w:firstLine="888"/>
        <w:spacing w:after="0" w:line="286" w:lineRule="auto"/>
        <w:tabs>
          <w:tab w:leader="none" w:pos="1918" w:val="left"/>
        </w:tabs>
        <w:numPr>
          <w:ilvl w:val="0"/>
          <w:numId w:val="179"/>
        </w:numPr>
        <w:rPr>
          <w:rFonts w:ascii="Arial" w:cs="Arial" w:eastAsia="Arial" w:hAnsi="Arial"/>
          <w:sz w:val="19"/>
          <w:szCs w:val="19"/>
          <w:color w:val="auto"/>
        </w:rPr>
      </w:pPr>
      <w:r>
        <w:rPr>
          <w:rFonts w:ascii="Arial" w:cs="Arial" w:eastAsia="Arial" w:hAnsi="Arial"/>
          <w:sz w:val="17"/>
          <w:szCs w:val="17"/>
          <w:color w:val="auto"/>
        </w:rPr>
        <w:t>no Event of Default shall have occurred and be continuing or would occur as a consequence thereof (or in the case of a Restricted Investment, no Event of Default under S</w:t>
      </w:r>
      <w:r>
        <w:rPr>
          <w:rFonts w:ascii="Arial" w:cs="Arial" w:eastAsia="Arial" w:hAnsi="Arial"/>
          <w:sz w:val="17"/>
          <w:szCs w:val="17"/>
          <w:u w:val="single" w:color="auto"/>
          <w:color w:val="auto"/>
        </w:rPr>
        <w:t>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11.5</w:t>
      </w:r>
      <w:r>
        <w:rPr>
          <w:rFonts w:ascii="Arial" w:cs="Arial" w:eastAsia="Arial" w:hAnsi="Arial"/>
          <w:sz w:val="17"/>
          <w:szCs w:val="17"/>
          <w:color w:val="auto"/>
        </w:rPr>
        <w:t xml:space="preserve"> shall have occurred and be continuing or would occur as a consequence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condition shall not apply to amounts attributable to subclause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below;</w:t>
      </w:r>
    </w:p>
    <w:p>
      <w:pPr>
        <w:spacing w:after="0" w:line="178" w:lineRule="exact"/>
        <w:rPr>
          <w:rFonts w:ascii="Arial" w:cs="Arial" w:eastAsia="Arial" w:hAnsi="Arial"/>
          <w:sz w:val="19"/>
          <w:szCs w:val="19"/>
          <w:color w:val="auto"/>
        </w:rPr>
      </w:pPr>
    </w:p>
    <w:p>
      <w:pPr>
        <w:ind w:left="660" w:right="180" w:firstLine="888"/>
        <w:spacing w:after="0" w:line="265" w:lineRule="auto"/>
        <w:tabs>
          <w:tab w:leader="none" w:pos="1973" w:val="left"/>
        </w:tabs>
        <w:numPr>
          <w:ilvl w:val="0"/>
          <w:numId w:val="179"/>
        </w:numPr>
        <w:rPr>
          <w:rFonts w:ascii="Arial" w:cs="Arial" w:eastAsia="Arial" w:hAnsi="Arial"/>
          <w:sz w:val="20"/>
          <w:szCs w:val="20"/>
          <w:color w:val="auto"/>
        </w:rPr>
      </w:pPr>
      <w:r>
        <w:rPr>
          <w:rFonts w:ascii="Arial" w:cs="Arial" w:eastAsia="Arial" w:hAnsi="Arial"/>
          <w:sz w:val="18"/>
          <w:szCs w:val="18"/>
          <w:color w:val="auto"/>
        </w:rPr>
        <w:t xml:space="preserve">except in the case of a Restricted Investment, immediately after giving effect to such transaction on a pro forma basis, Holdings could incur $1.00 of additional Indebtedness under the provisions of the first paragraph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condition shall not apply to amounts attributable to subclause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below; and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-128-</w:t>
      </w:r>
    </w:p>
    <w:p>
      <w:pPr>
        <w:sectPr>
          <w:pgSz w:w="11900" w:h="16838" w:orient="portrait"/>
          <w:cols w:equalWidth="0" w:num="1">
            <w:col w:w="11420"/>
          </w:cols>
          <w:pgMar w:left="240" w:top="814" w:right="239" w:bottom="1440" w:gutter="0" w:footer="0" w:header="0"/>
        </w:sectPr>
      </w:pPr>
    </w:p>
    <w:bookmarkStart w:id="208" w:name="page209"/>
    <w:bookmarkEnd w:id="208"/>
    <w:p>
      <w:pPr>
        <w:jc w:val="both"/>
        <w:ind w:left="-540" w:right="360" w:firstLine="888"/>
        <w:spacing w:after="0" w:line="284" w:lineRule="auto"/>
        <w:tabs>
          <w:tab w:leader="none" w:pos="828" w:val="left"/>
        </w:tabs>
        <w:numPr>
          <w:ilvl w:val="0"/>
          <w:numId w:val="180"/>
        </w:numPr>
        <w:rPr>
          <w:rFonts w:ascii="Arial" w:cs="Arial" w:eastAsia="Arial" w:hAnsi="Arial"/>
          <w:sz w:val="19"/>
          <w:szCs w:val="19"/>
          <w:color w:val="auto"/>
        </w:rPr>
      </w:pPr>
      <w:r>
        <w:rPr>
          <w:rFonts w:ascii="Arial" w:cs="Arial" w:eastAsia="Arial" w:hAnsi="Arial"/>
          <w:sz w:val="17"/>
          <w:szCs w:val="17"/>
          <w:color w:val="auto"/>
        </w:rPr>
        <w:t xml:space="preserve">such Restricted Payment, together with the aggregate amount of all other Restricted Payments made by Holdings and the Restricted Subsidiaries after the Restatement Effective Date (including Restricted Payments permitted by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w:t>
      </w:r>
      <w:r>
        <w:rPr>
          <w:rFonts w:ascii="Arial" w:cs="Arial" w:eastAsia="Arial" w:hAnsi="Arial"/>
          <w:sz w:val="17"/>
          <w:szCs w:val="17"/>
          <w:u w:val="single" w:color="auto"/>
          <w:color w:val="auto"/>
        </w:rPr>
        <w:t>(2)</w:t>
      </w:r>
      <w:r>
        <w:rPr>
          <w:rFonts w:ascii="Arial" w:cs="Arial" w:eastAsia="Arial" w:hAnsi="Arial"/>
          <w:sz w:val="17"/>
          <w:szCs w:val="17"/>
          <w:color w:val="auto"/>
        </w:rPr>
        <w:t xml:space="preserve"> (with respect to the payment of dividends on Refunding Capital Stock pursuant to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thereof only), </w:t>
      </w:r>
      <w:r>
        <w:rPr>
          <w:rFonts w:ascii="Arial" w:cs="Arial" w:eastAsia="Arial" w:hAnsi="Arial"/>
          <w:sz w:val="17"/>
          <w:szCs w:val="17"/>
          <w:u w:val="single" w:color="auto"/>
          <w:color w:val="auto"/>
        </w:rPr>
        <w:t>(6)(C)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10.5(b)</w:t>
      </w:r>
      <w:r>
        <w:rPr>
          <w:rFonts w:ascii="Arial" w:cs="Arial" w:eastAsia="Arial" w:hAnsi="Arial"/>
          <w:sz w:val="17"/>
          <w:szCs w:val="17"/>
          <w:color w:val="auto"/>
        </w:rPr>
        <w:t xml:space="preserve"> below, but excluding all other Restricted Payments permitted by </w:t>
      </w:r>
      <w:r>
        <w:rPr>
          <w:rFonts w:ascii="Arial" w:cs="Arial" w:eastAsia="Arial" w:hAnsi="Arial"/>
          <w:sz w:val="17"/>
          <w:szCs w:val="17"/>
          <w:u w:val="single" w:color="auto"/>
          <w:color w:val="auto"/>
        </w:rPr>
        <w:t>Section 10.5(b)</w:t>
      </w:r>
      <w:r>
        <w:rPr>
          <w:rFonts w:ascii="Arial" w:cs="Arial" w:eastAsia="Arial" w:hAnsi="Arial"/>
          <w:sz w:val="17"/>
          <w:szCs w:val="17"/>
          <w:color w:val="auto"/>
        </w:rPr>
        <w:t>), is less than the sum of (without duplication):</w:t>
      </w:r>
    </w:p>
    <w:p>
      <w:pPr>
        <w:spacing w:after="0" w:line="168" w:lineRule="exact"/>
        <w:rPr>
          <w:rFonts w:ascii="Arial" w:cs="Arial" w:eastAsia="Arial" w:hAnsi="Arial"/>
          <w:sz w:val="19"/>
          <w:szCs w:val="19"/>
          <w:color w:val="auto"/>
        </w:rPr>
      </w:pPr>
    </w:p>
    <w:p>
      <w:pPr>
        <w:ind w:left="100" w:right="120" w:firstLine="653"/>
        <w:spacing w:after="0" w:line="312" w:lineRule="auto"/>
        <w:tabs>
          <w:tab w:leader="none" w:pos="1178" w:val="left"/>
        </w:tabs>
        <w:numPr>
          <w:ilvl w:val="1"/>
          <w:numId w:val="180"/>
        </w:numPr>
        <w:rPr>
          <w:rFonts w:ascii="Arial" w:cs="Arial" w:eastAsia="Arial" w:hAnsi="Arial"/>
          <w:sz w:val="16"/>
          <w:szCs w:val="16"/>
          <w:color w:val="auto"/>
        </w:rPr>
      </w:pPr>
      <w:r>
        <w:rPr>
          <w:rFonts w:ascii="Arial" w:cs="Arial" w:eastAsia="Arial" w:hAnsi="Arial"/>
          <w:sz w:val="16"/>
          <w:szCs w:val="16"/>
          <w:color w:val="auto"/>
        </w:rPr>
        <w:t xml:space="preserve">the Consolidated EBITDA for the period (taken as one accounting period) from the first day of the fiscal quarter during which the Restatement Effective Date occurs to the end of Holdings’ most recently ended fiscal quarter for which internal financial statements are available at the time of such Restricted Payment less the product of 1.5 times Holdings’ Fixed Charges for such period, </w:t>
      </w:r>
      <w:r>
        <w:rPr>
          <w:rFonts w:ascii="Arial" w:cs="Arial" w:eastAsia="Arial" w:hAnsi="Arial"/>
          <w:sz w:val="16"/>
          <w:szCs w:val="16"/>
          <w:i w:val="1"/>
          <w:iCs w:val="1"/>
          <w:color w:val="auto"/>
        </w:rPr>
        <w:t>plus</w:t>
      </w:r>
    </w:p>
    <w:p>
      <w:pPr>
        <w:spacing w:after="0" w:line="146" w:lineRule="exact"/>
        <w:rPr>
          <w:rFonts w:ascii="Arial" w:cs="Arial" w:eastAsia="Arial" w:hAnsi="Arial"/>
          <w:sz w:val="16"/>
          <w:szCs w:val="16"/>
          <w:color w:val="auto"/>
        </w:rPr>
      </w:pPr>
    </w:p>
    <w:p>
      <w:pPr>
        <w:ind w:left="100" w:right="20" w:firstLine="653"/>
        <w:spacing w:after="0" w:line="268" w:lineRule="auto"/>
        <w:tabs>
          <w:tab w:leader="none" w:pos="1168" w:val="left"/>
        </w:tabs>
        <w:numPr>
          <w:ilvl w:val="1"/>
          <w:numId w:val="180"/>
        </w:numPr>
        <w:rPr>
          <w:rFonts w:ascii="Arial" w:cs="Arial" w:eastAsia="Arial" w:hAnsi="Arial"/>
          <w:sz w:val="17"/>
          <w:szCs w:val="17"/>
          <w:color w:val="auto"/>
        </w:rPr>
      </w:pPr>
      <w:r>
        <w:rPr>
          <w:rFonts w:ascii="Arial" w:cs="Arial" w:eastAsia="Arial" w:hAnsi="Arial"/>
          <w:sz w:val="17"/>
          <w:szCs w:val="17"/>
          <w:color w:val="auto"/>
        </w:rPr>
        <w:t xml:space="preserve">100% of the aggregate net cash proceeds and the Fair Market Value of marketable securities or other property received by Holdings since immediately after the Restatement Effective Date (other than net cash proceeds from Cure Amounts or to the extent such net cash proceeds have been used to incur Indebtedness, Disqualified Stock or preferred stock pursuant to </w:t>
      </w:r>
      <w:r>
        <w:rPr>
          <w:rFonts w:ascii="Arial" w:cs="Arial" w:eastAsia="Arial" w:hAnsi="Arial"/>
          <w:sz w:val="17"/>
          <w:szCs w:val="17"/>
          <w:u w:val="single" w:color="auto"/>
          <w:color w:val="auto"/>
        </w:rPr>
        <w:t>clause (l)(i)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from the issue or sale of (x) Equity Interests of Holdings, including Retired Capital Stock, but excluding cash proceeds and the Fair Market Value of marketable securities or other property received from the sale of (A) Equity Interests to any employee, director, manager or consultant of Holdings, any direct or indirect parent company of Holdings and Holdings’ Subsidiaries after the Restatement Effective Date to the extent such amounts have been applied to Restricted Payments made in accordance with </w:t>
      </w:r>
      <w:r>
        <w:rPr>
          <w:rFonts w:ascii="Arial" w:cs="Arial" w:eastAsia="Arial" w:hAnsi="Arial"/>
          <w:sz w:val="17"/>
          <w:szCs w:val="17"/>
          <w:u w:val="single" w:color="auto"/>
          <w:color w:val="auto"/>
        </w:rPr>
        <w:t>clause (4)</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10.5(b)</w:t>
      </w:r>
      <w:r>
        <w:rPr>
          <w:rFonts w:ascii="Arial" w:cs="Arial" w:eastAsia="Arial" w:hAnsi="Arial"/>
          <w:sz w:val="17"/>
          <w:szCs w:val="17"/>
          <w:color w:val="auto"/>
        </w:rPr>
        <w:t xml:space="preserve"> below, and (B) Designated Preferred Stock, and, to the extent such net cash proceeds are actually contributed to Holdings, Equity Interests of any direct or indirect parent company of Holdings (excluding contributions of the proceeds from the sale of Designated Preferred Stock of such companies or contributions to the extent such amounts have been applied to Restricted Payments made in accordance with </w:t>
      </w:r>
      <w:r>
        <w:rPr>
          <w:rFonts w:ascii="Arial" w:cs="Arial" w:eastAsia="Arial" w:hAnsi="Arial"/>
          <w:sz w:val="17"/>
          <w:szCs w:val="17"/>
          <w:u w:val="single" w:color="auto"/>
          <w:color w:val="auto"/>
        </w:rPr>
        <w:t>clause (4)</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10.5(b)</w:t>
      </w:r>
      <w:r>
        <w:rPr>
          <w:rFonts w:ascii="Arial" w:cs="Arial" w:eastAsia="Arial" w:hAnsi="Arial"/>
          <w:sz w:val="17"/>
          <w:szCs w:val="17"/>
          <w:color w:val="auto"/>
        </w:rPr>
        <w:t xml:space="preserve"> below) or (y) Indebtedness of Holdings or a Restricted Subsidiary that has been converted into or exchanged for such Equity Interests of Holdings or any direct or indirect parent company of Holdings;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shall not include the proceeds from (a) Refunding Capital Stock, (b) Equity Interests or Indebtedness that has been converted or exchanged for Equity Interests of Holdings sold to a Restricted Subsidiary or Holdings, as the case may be, (c) Disqualified Stock or Indebtedness that has been converted or exchanged into Disqualified Stock or (d) Excluded Contributions, </w:t>
      </w:r>
      <w:r>
        <w:rPr>
          <w:rFonts w:ascii="Arial" w:cs="Arial" w:eastAsia="Arial" w:hAnsi="Arial"/>
          <w:sz w:val="17"/>
          <w:szCs w:val="17"/>
          <w:i w:val="1"/>
          <w:iCs w:val="1"/>
          <w:color w:val="auto"/>
        </w:rPr>
        <w:t>plus</w:t>
      </w:r>
    </w:p>
    <w:p>
      <w:pPr>
        <w:spacing w:after="0" w:line="183" w:lineRule="exact"/>
        <w:rPr>
          <w:rFonts w:ascii="Arial" w:cs="Arial" w:eastAsia="Arial" w:hAnsi="Arial"/>
          <w:sz w:val="17"/>
          <w:szCs w:val="17"/>
          <w:color w:val="auto"/>
        </w:rPr>
      </w:pPr>
    </w:p>
    <w:p>
      <w:pPr>
        <w:jc w:val="both"/>
        <w:ind w:left="100" w:right="20" w:firstLine="653"/>
        <w:spacing w:after="0" w:line="279" w:lineRule="auto"/>
        <w:tabs>
          <w:tab w:leader="none" w:pos="1168" w:val="left"/>
        </w:tabs>
        <w:numPr>
          <w:ilvl w:val="1"/>
          <w:numId w:val="180"/>
        </w:numPr>
        <w:rPr>
          <w:rFonts w:ascii="Arial" w:cs="Arial" w:eastAsia="Arial" w:hAnsi="Arial"/>
          <w:sz w:val="17"/>
          <w:szCs w:val="17"/>
          <w:color w:val="auto"/>
        </w:rPr>
      </w:pPr>
      <w:r>
        <w:rPr>
          <w:rFonts w:ascii="Arial" w:cs="Arial" w:eastAsia="Arial" w:hAnsi="Arial"/>
          <w:sz w:val="17"/>
          <w:szCs w:val="17"/>
          <w:color w:val="auto"/>
        </w:rPr>
        <w:t xml:space="preserve">100% of the aggregate amount of cash and the Fair Market Value of marketable securities or other property contributed to the capital of Holdings following the Restatement Effective Date (other than the net cash proceeds from Cure Amounts or to the extent such net cash proceeds (i) have been used to incur Indebtedness, Disqualified Stock or preferred stock pursuant to </w:t>
      </w:r>
      <w:r>
        <w:rPr>
          <w:rFonts w:ascii="Arial" w:cs="Arial" w:eastAsia="Arial" w:hAnsi="Arial"/>
          <w:sz w:val="17"/>
          <w:szCs w:val="17"/>
          <w:u w:val="single" w:color="auto"/>
          <w:color w:val="auto"/>
        </w:rPr>
        <w:t>clause (l)(i)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(ii) are contributed by a Restricted Subsidiary or (iii) constitute Excluded Contributions), </w:t>
      </w:r>
      <w:r>
        <w:rPr>
          <w:rFonts w:ascii="Arial" w:cs="Arial" w:eastAsia="Arial" w:hAnsi="Arial"/>
          <w:sz w:val="17"/>
          <w:szCs w:val="17"/>
          <w:i w:val="1"/>
          <w:iCs w:val="1"/>
          <w:color w:val="auto"/>
        </w:rPr>
        <w:t>plus</w:t>
      </w:r>
    </w:p>
    <w:p>
      <w:pPr>
        <w:spacing w:after="0" w:line="171" w:lineRule="exact"/>
        <w:rPr>
          <w:rFonts w:ascii="Arial" w:cs="Arial" w:eastAsia="Arial" w:hAnsi="Arial"/>
          <w:sz w:val="17"/>
          <w:szCs w:val="17"/>
          <w:color w:val="auto"/>
        </w:rPr>
      </w:pPr>
    </w:p>
    <w:p>
      <w:pPr>
        <w:ind w:left="100" w:firstLine="653"/>
        <w:spacing w:after="0" w:line="270" w:lineRule="auto"/>
        <w:tabs>
          <w:tab w:leader="none" w:pos="1178" w:val="left"/>
        </w:tabs>
        <w:numPr>
          <w:ilvl w:val="1"/>
          <w:numId w:val="180"/>
        </w:numPr>
        <w:rPr>
          <w:rFonts w:ascii="Arial" w:cs="Arial" w:eastAsia="Arial" w:hAnsi="Arial"/>
          <w:sz w:val="17"/>
          <w:szCs w:val="17"/>
          <w:color w:val="auto"/>
        </w:rPr>
      </w:pPr>
      <w:r>
        <w:rPr>
          <w:rFonts w:ascii="Arial" w:cs="Arial" w:eastAsia="Arial" w:hAnsi="Arial"/>
          <w:sz w:val="17"/>
          <w:szCs w:val="17"/>
          <w:color w:val="auto"/>
        </w:rPr>
        <w:t xml:space="preserve">100% of the aggregate amount received in cash and the Fair Market Value of marketable securities or other property received by means of (A) the sale or other disposition (other than to Holdings or a Restricted Subsidiary) of Restricted Investments made by Holdings and the Restricted Subsidiaries and repurchases and redemptions of such Restricted Investments from Holdings and the Restricted Subsidiaries and repayments of loans or advances, and releases of guarantees, which constitute Restricted Investments made by Holdings or the Restricted Subsidiaries, in each case, after the Restatement Effective Date; or (B) the sale (other than to Holdings or a Restricted Subsidiary) of the stock of an Unrestricted Subsidiary or a distribution from an Unrestricted Subsidiary (other than in each case to the extent the Investment in such Unrestricted Subsidiary was made by Holdings or a Restricted Subsidiary pursuant to </w:t>
      </w:r>
      <w:r>
        <w:rPr>
          <w:rFonts w:ascii="Arial" w:cs="Arial" w:eastAsia="Arial" w:hAnsi="Arial"/>
          <w:sz w:val="17"/>
          <w:szCs w:val="17"/>
          <w:u w:val="single" w:color="auto"/>
          <w:color w:val="auto"/>
        </w:rPr>
        <w:t>clause (7)</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10.5(b)</w:t>
      </w:r>
      <w:r>
        <w:rPr>
          <w:rFonts w:ascii="Arial" w:cs="Arial" w:eastAsia="Arial" w:hAnsi="Arial"/>
          <w:sz w:val="17"/>
          <w:szCs w:val="17"/>
          <w:color w:val="auto"/>
        </w:rPr>
        <w:t xml:space="preserve"> below or to the extent such Investment constituted a Permitted Investment) or a dividend from an Unrestricted Subsidiary after the Restatement Effective Date, </w:t>
      </w:r>
      <w:r>
        <w:rPr>
          <w:rFonts w:ascii="Arial" w:cs="Arial" w:eastAsia="Arial" w:hAnsi="Arial"/>
          <w:sz w:val="17"/>
          <w:szCs w:val="17"/>
          <w:i w:val="1"/>
          <w:iCs w:val="1"/>
          <w:color w:val="auto"/>
        </w:rPr>
        <w:t>plus</w:t>
      </w:r>
    </w:p>
    <w:p>
      <w:pPr>
        <w:spacing w:after="0" w:line="200" w:lineRule="exact"/>
        <w:rPr>
          <w:sz w:val="20"/>
          <w:szCs w:val="20"/>
          <w:color w:val="auto"/>
        </w:rPr>
      </w:pPr>
    </w:p>
    <w:p>
      <w:pPr>
        <w:spacing w:after="0" w:line="222"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-129-</w:t>
      </w:r>
    </w:p>
    <w:p>
      <w:pPr>
        <w:sectPr>
          <w:pgSz w:w="11900" w:h="16838" w:orient="portrait"/>
          <w:cols w:equalWidth="0" w:num="1">
            <w:col w:w="10220"/>
          </w:cols>
          <w:pgMar w:left="1440" w:top="828" w:right="239" w:bottom="1440" w:gutter="0" w:footer="0" w:header="0"/>
        </w:sectPr>
      </w:pPr>
    </w:p>
    <w:bookmarkStart w:id="209" w:name="page210"/>
    <w:bookmarkEnd w:id="209"/>
    <w:p>
      <w:pPr>
        <w:jc w:val="both"/>
        <w:ind w:left="644" w:firstLine="653"/>
        <w:spacing w:after="0" w:line="302" w:lineRule="auto"/>
        <w:tabs>
          <w:tab w:leader="none" w:pos="1702" w:val="left"/>
        </w:tabs>
        <w:numPr>
          <w:ilvl w:val="2"/>
          <w:numId w:val="181"/>
        </w:numPr>
        <w:rPr>
          <w:rFonts w:ascii="Arial" w:cs="Arial" w:eastAsia="Arial" w:hAnsi="Arial"/>
          <w:sz w:val="16"/>
          <w:szCs w:val="16"/>
          <w:color w:val="auto"/>
        </w:rPr>
      </w:pPr>
      <w:r>
        <w:rPr>
          <w:rFonts w:ascii="Arial" w:cs="Arial" w:eastAsia="Arial" w:hAnsi="Arial"/>
          <w:sz w:val="16"/>
          <w:szCs w:val="16"/>
          <w:color w:val="auto"/>
        </w:rPr>
        <w:t xml:space="preserve">in the case of the redesignation of an Unrestricted Subsidiary as a Restricted Subsidiary after the Restatement Effective Date, the Fair Market Value of the Investment in such Unrestricted Subsidiary at the time of the redesignation of such Unrestricted Subsidiary as a Restricted Subsidiary, other than to the extent the Investment in such Unrestricted Subsidiary was made by Holdings or a Restricted Subsidiary pursuant to </w:t>
      </w:r>
      <w:r>
        <w:rPr>
          <w:rFonts w:ascii="Arial" w:cs="Arial" w:eastAsia="Arial" w:hAnsi="Arial"/>
          <w:sz w:val="16"/>
          <w:szCs w:val="16"/>
          <w:u w:val="single" w:color="auto"/>
          <w:color w:val="auto"/>
        </w:rPr>
        <w:t>clause (7)</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10.5(b)</w:t>
      </w:r>
      <w:r>
        <w:rPr>
          <w:rFonts w:ascii="Arial" w:cs="Arial" w:eastAsia="Arial" w:hAnsi="Arial"/>
          <w:sz w:val="16"/>
          <w:szCs w:val="16"/>
          <w:color w:val="auto"/>
        </w:rPr>
        <w:t xml:space="preserve"> below or to the extent such Investment constituted a Permitted Investment, </w:t>
      </w:r>
      <w:r>
        <w:rPr>
          <w:rFonts w:ascii="Arial" w:cs="Arial" w:eastAsia="Arial" w:hAnsi="Arial"/>
          <w:sz w:val="16"/>
          <w:szCs w:val="16"/>
          <w:i w:val="1"/>
          <w:iCs w:val="1"/>
          <w:color w:val="auto"/>
        </w:rPr>
        <w:t>plus</w:t>
      </w:r>
    </w:p>
    <w:p>
      <w:pPr>
        <w:spacing w:after="0" w:line="154" w:lineRule="exact"/>
        <w:rPr>
          <w:rFonts w:ascii="Arial" w:cs="Arial" w:eastAsia="Arial" w:hAnsi="Arial"/>
          <w:sz w:val="16"/>
          <w:szCs w:val="16"/>
          <w:color w:val="auto"/>
        </w:rPr>
      </w:pPr>
    </w:p>
    <w:p>
      <w:pPr>
        <w:ind w:left="1704" w:hanging="407"/>
        <w:spacing w:after="0"/>
        <w:tabs>
          <w:tab w:leader="none" w:pos="1704" w:val="left"/>
        </w:tabs>
        <w:numPr>
          <w:ilvl w:val="2"/>
          <w:numId w:val="181"/>
        </w:numPr>
        <w:rPr>
          <w:rFonts w:ascii="Arial" w:cs="Arial" w:eastAsia="Arial" w:hAnsi="Arial"/>
          <w:sz w:val="18"/>
          <w:szCs w:val="18"/>
          <w:color w:val="auto"/>
        </w:rPr>
      </w:pPr>
      <w:r>
        <w:rPr>
          <w:rFonts w:ascii="Arial" w:cs="Arial" w:eastAsia="Arial" w:hAnsi="Arial"/>
          <w:sz w:val="18"/>
          <w:szCs w:val="18"/>
          <w:color w:val="auto"/>
        </w:rPr>
        <w:t>$50,000,000.</w:t>
      </w:r>
    </w:p>
    <w:p>
      <w:pPr>
        <w:spacing w:after="0" w:line="225" w:lineRule="exact"/>
        <w:rPr>
          <w:rFonts w:ascii="Arial" w:cs="Arial" w:eastAsia="Arial" w:hAnsi="Arial"/>
          <w:sz w:val="18"/>
          <w:szCs w:val="18"/>
          <w:color w:val="auto"/>
        </w:rPr>
      </w:pPr>
    </w:p>
    <w:p>
      <w:pPr>
        <w:ind w:left="384" w:hanging="384"/>
        <w:spacing w:after="0"/>
        <w:tabs>
          <w:tab w:leader="none" w:pos="38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The foregoing provisions of </w:t>
      </w:r>
      <w:r>
        <w:rPr>
          <w:rFonts w:ascii="Arial" w:cs="Arial" w:eastAsia="Arial" w:hAnsi="Arial"/>
          <w:sz w:val="18"/>
          <w:szCs w:val="18"/>
          <w:u w:val="single" w:color="auto"/>
          <w:color w:val="auto"/>
        </w:rPr>
        <w:t>Section 10.5(a)</w:t>
      </w:r>
      <w:r>
        <w:rPr>
          <w:rFonts w:ascii="Arial" w:cs="Arial" w:eastAsia="Arial" w:hAnsi="Arial"/>
          <w:sz w:val="18"/>
          <w:szCs w:val="18"/>
          <w:color w:val="auto"/>
        </w:rPr>
        <w:t xml:space="preserve"> will not prohibit:</w:t>
      </w:r>
    </w:p>
    <w:p>
      <w:pPr>
        <w:spacing w:after="0" w:line="225" w:lineRule="exact"/>
        <w:rPr>
          <w:rFonts w:ascii="Arial" w:cs="Arial" w:eastAsia="Arial" w:hAnsi="Arial"/>
          <w:sz w:val="18"/>
          <w:szCs w:val="18"/>
          <w:color w:val="auto"/>
        </w:rPr>
      </w:pPr>
    </w:p>
    <w:p>
      <w:pPr>
        <w:ind w:left="4" w:right="420" w:firstLine="645"/>
        <w:spacing w:after="0" w:line="264" w:lineRule="auto"/>
        <w:tabs>
          <w:tab w:leader="none" w:pos="1042" w:val="left"/>
        </w:tabs>
        <w:numPr>
          <w:ilvl w:val="1"/>
          <w:numId w:val="182"/>
        </w:numPr>
        <w:rPr>
          <w:rFonts w:ascii="Arial" w:cs="Arial" w:eastAsia="Arial" w:hAnsi="Arial"/>
          <w:sz w:val="18"/>
          <w:szCs w:val="18"/>
          <w:color w:val="010000"/>
        </w:rPr>
      </w:pPr>
      <w:r>
        <w:rPr>
          <w:rFonts w:ascii="Arial" w:cs="Arial" w:eastAsia="Arial" w:hAnsi="Arial"/>
          <w:sz w:val="18"/>
          <w:szCs w:val="18"/>
          <w:color w:val="auto"/>
        </w:rPr>
        <w:t>the payment of any dividend or distribution or the consummation of any irrevocable redemption within 60 days after the date of declaration thereof or the giving of such irrevocable notice, as applicable, if at the date of declaration or the giving of such notice such payment would have complied with the provisions of this Agreement;</w:t>
      </w:r>
    </w:p>
    <w:p>
      <w:pPr>
        <w:spacing w:after="0" w:line="177" w:lineRule="exact"/>
        <w:rPr>
          <w:rFonts w:ascii="Arial" w:cs="Arial" w:eastAsia="Arial" w:hAnsi="Arial"/>
          <w:sz w:val="18"/>
          <w:szCs w:val="18"/>
          <w:color w:val="010000"/>
        </w:rPr>
      </w:pPr>
    </w:p>
    <w:p>
      <w:pPr>
        <w:ind w:left="4" w:right="40" w:firstLine="645"/>
        <w:spacing w:after="0" w:line="271" w:lineRule="auto"/>
        <w:tabs>
          <w:tab w:leader="none" w:pos="1042" w:val="left"/>
        </w:tabs>
        <w:numPr>
          <w:ilvl w:val="1"/>
          <w:numId w:val="182"/>
        </w:numPr>
        <w:rPr>
          <w:rFonts w:ascii="Arial" w:cs="Arial" w:eastAsia="Arial" w:hAnsi="Arial"/>
          <w:sz w:val="17"/>
          <w:szCs w:val="17"/>
          <w:color w:val="010000"/>
        </w:rPr>
      </w:pPr>
      <w:r>
        <w:rPr>
          <w:rFonts w:ascii="Arial" w:cs="Arial" w:eastAsia="Arial" w:hAnsi="Arial"/>
          <w:sz w:val="17"/>
          <w:szCs w:val="17"/>
          <w:color w:val="auto"/>
        </w:rPr>
        <w:t>(a) the redemption, repurchase, retirement or other acquisition of any Equity Interests (“</w:t>
      </w:r>
      <w:r>
        <w:rPr>
          <w:rFonts w:ascii="Arial" w:cs="Arial" w:eastAsia="Arial" w:hAnsi="Arial"/>
          <w:sz w:val="17"/>
          <w:szCs w:val="17"/>
          <w:b w:val="1"/>
          <w:bCs w:val="1"/>
          <w:color w:val="auto"/>
        </w:rPr>
        <w:t>Retired Capital Stock</w:t>
      </w:r>
      <w:r>
        <w:rPr>
          <w:rFonts w:ascii="Arial" w:cs="Arial" w:eastAsia="Arial" w:hAnsi="Arial"/>
          <w:sz w:val="17"/>
          <w:szCs w:val="17"/>
          <w:color w:val="auto"/>
        </w:rPr>
        <w:t>”) or Junior Debt of Holdings or any Restricted Subsidiary, or any Equity Interests of any direct or indirect parent company of Holdings, in exchange for, or out of the proceeds of the substantially concurrent sale (other than to a Restricted Subsidiary) of, Equity Interests of Holdings or any direct or indirect parent company of Holdings to the extent contributed to Holdings (in each case, other than any Disqualified Stock) (“</w:t>
      </w:r>
      <w:r>
        <w:rPr>
          <w:rFonts w:ascii="Arial" w:cs="Arial" w:eastAsia="Arial" w:hAnsi="Arial"/>
          <w:sz w:val="17"/>
          <w:szCs w:val="17"/>
          <w:b w:val="1"/>
          <w:bCs w:val="1"/>
          <w:color w:val="auto"/>
        </w:rPr>
        <w:t>Refunding Capital Stock</w:t>
      </w:r>
      <w:r>
        <w:rPr>
          <w:rFonts w:ascii="Arial" w:cs="Arial" w:eastAsia="Arial" w:hAnsi="Arial"/>
          <w:sz w:val="17"/>
          <w:szCs w:val="17"/>
          <w:color w:val="auto"/>
        </w:rPr>
        <w:t xml:space="preserve">”) and (b) if immediately prior to the retirement of Retired Capital Stock, the declaration and payment of dividends thereon was permitted under </w:t>
      </w:r>
      <w:r>
        <w:rPr>
          <w:rFonts w:ascii="Arial" w:cs="Arial" w:eastAsia="Arial" w:hAnsi="Arial"/>
          <w:sz w:val="17"/>
          <w:szCs w:val="17"/>
          <w:u w:val="single" w:color="auto"/>
          <w:color w:val="auto"/>
        </w:rPr>
        <w:t>clause (6)</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10.5(b)</w:t>
      </w:r>
      <w:r>
        <w:rPr>
          <w:rFonts w:ascii="Arial" w:cs="Arial" w:eastAsia="Arial" w:hAnsi="Arial"/>
          <w:sz w:val="17"/>
          <w:szCs w:val="17"/>
          <w:color w:val="auto"/>
        </w:rPr>
        <w:t>, the declaration and payment of dividends on the Refunding Capital Stock (other than Refunding Capital Stock the proceeds of which were used to redeem, repurchase, retire or otherwise acquire any Equity Interests of any direct or indirect parent company of Holdings) in an aggregate amount per year no greater than the aggregate amount of dividends per annum that was declarable and payable on such Retired Capital Stock immediately prior to such retirement;</w:t>
      </w:r>
    </w:p>
    <w:p>
      <w:pPr>
        <w:spacing w:after="0" w:line="178" w:lineRule="exact"/>
        <w:rPr>
          <w:rFonts w:ascii="Arial" w:cs="Arial" w:eastAsia="Arial" w:hAnsi="Arial"/>
          <w:sz w:val="17"/>
          <w:szCs w:val="17"/>
          <w:color w:val="010000"/>
        </w:rPr>
      </w:pPr>
    </w:p>
    <w:p>
      <w:pPr>
        <w:ind w:left="4" w:right="60" w:firstLine="645"/>
        <w:spacing w:after="0" w:line="268" w:lineRule="auto"/>
        <w:tabs>
          <w:tab w:leader="none" w:pos="1042" w:val="left"/>
        </w:tabs>
        <w:numPr>
          <w:ilvl w:val="1"/>
          <w:numId w:val="182"/>
        </w:numPr>
        <w:rPr>
          <w:rFonts w:ascii="Arial" w:cs="Arial" w:eastAsia="Arial" w:hAnsi="Arial"/>
          <w:sz w:val="17"/>
          <w:szCs w:val="17"/>
          <w:color w:val="010000"/>
        </w:rPr>
      </w:pPr>
      <w:r>
        <w:rPr>
          <w:rFonts w:ascii="Arial" w:cs="Arial" w:eastAsia="Arial" w:hAnsi="Arial"/>
          <w:sz w:val="17"/>
          <w:szCs w:val="17"/>
          <w:color w:val="auto"/>
        </w:rPr>
        <w:t xml:space="preserve">the prepayment, redemption, defeasance, repurchase or other acquisition or retirement for value of Junior Debt of Holdings or a Restricted Subsidiary (i) made by exchange for, or out of the proceeds of the substantially concurrent sale of, new Indebtedness of Holdings, or a Restricted Subsidiary, as the case may be, which is incurred in compliance with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so long as: (A) the principal amount (or accreted value, if applicable) of such new Indebtedness does not exceed the principal amount of (or accreted value, if applicable), plus any accrued and unpaid interest on the Junior Debt being so redeemed, defeased, repurchased, exchanged, acquired or retired for value, plus the amount of any premium (including reasonable tender premiums), defeasance costs and any reasonable fees and expenses incurred in connection with the issuance of such new Indebtedness, (B) if such Junior Debt is subordinated to the Obligations, such new Indebtedness is subordinated to the Obligations or the applicable Guarantee at least to the same extent as such Junior Debt so purchased, exchanged, redeemed, defeased, repurchased, acquired or retired for value, (C) such new Indebtedness has a final scheduled maturity date equal to or later than the final scheduled maturity date of the Junior Debt being so redeemed, defeased, repurchased, exchanged, acquired or retired, (D) if such Junior Debt so purchased, exchanged, redeemed, repurchased, acquired or retired for value is unsecured then such new Indebtedness shall be unsecured and (E) such new Indebtedness has a weighted average life to maturity equal to or greater than the remaining weighted average life to maturity of the Junior Debt being so redeemed, defeased, repurchased, exchanged, acquired or retired;</w:t>
      </w:r>
    </w:p>
    <w:p>
      <w:pPr>
        <w:spacing w:after="0" w:line="200" w:lineRule="exact"/>
        <w:rPr>
          <w:sz w:val="20"/>
          <w:szCs w:val="20"/>
          <w:color w:val="auto"/>
        </w:rPr>
      </w:pPr>
    </w:p>
    <w:p>
      <w:pPr>
        <w:spacing w:after="0" w:line="228" w:lineRule="exact"/>
        <w:rPr>
          <w:sz w:val="20"/>
          <w:szCs w:val="20"/>
          <w:color w:val="auto"/>
        </w:rPr>
      </w:pPr>
    </w:p>
    <w:p>
      <w:pPr>
        <w:ind w:left="4844"/>
        <w:spacing w:after="0"/>
        <w:rPr>
          <w:sz w:val="20"/>
          <w:szCs w:val="20"/>
          <w:color w:val="auto"/>
        </w:rPr>
      </w:pPr>
      <w:r>
        <w:rPr>
          <w:rFonts w:ascii="Arial" w:cs="Arial" w:eastAsia="Arial" w:hAnsi="Arial"/>
          <w:sz w:val="20"/>
          <w:szCs w:val="20"/>
          <w:color w:val="auto"/>
        </w:rPr>
        <w:t>-130-</w:t>
      </w:r>
    </w:p>
    <w:p>
      <w:pPr>
        <w:sectPr>
          <w:pgSz w:w="11900" w:h="16838" w:orient="portrait"/>
          <w:cols w:equalWidth="0" w:num="1">
            <w:col w:w="10764"/>
          </w:cols>
          <w:pgMar w:left="896" w:top="814" w:right="239" w:bottom="1440" w:gutter="0" w:footer="0" w:header="0"/>
        </w:sectPr>
      </w:pPr>
    </w:p>
    <w:bookmarkStart w:id="210" w:name="page211"/>
    <w:bookmarkEnd w:id="210"/>
    <w:p>
      <w:pPr>
        <w:ind w:left="-540" w:firstLine="645"/>
        <w:spacing w:after="0" w:line="284" w:lineRule="auto"/>
        <w:tabs>
          <w:tab w:leader="none" w:pos="498" w:val="left"/>
        </w:tabs>
        <w:numPr>
          <w:ilvl w:val="0"/>
          <w:numId w:val="183"/>
        </w:numPr>
        <w:rPr>
          <w:rFonts w:ascii="Arial" w:cs="Arial" w:eastAsia="Arial" w:hAnsi="Arial"/>
          <w:sz w:val="16"/>
          <w:szCs w:val="16"/>
          <w:color w:val="010000"/>
        </w:rPr>
      </w:pPr>
      <w:r>
        <w:rPr>
          <w:rFonts w:ascii="Arial" w:cs="Arial" w:eastAsia="Arial" w:hAnsi="Arial"/>
          <w:sz w:val="16"/>
          <w:szCs w:val="16"/>
          <w:color w:val="auto"/>
        </w:rPr>
        <w:t xml:space="preserve">a Restricted Payment to pay for the repurchase, retirement or other acquisition or retirement for value of Equity Interests (other than Disqualified Stock) of Holdings or any direct or indirect parent company of Holdings held by any future, present or former employee, director, manager or consultant of Holdings, any of its Subsidiaries or any direct or indirect parent company of Holdings, or their estates, descendants, family, spouse or former spouse pursuant to any management equity plan or stock option plan or any other management or employee benefit plan or agreement, or any stock subscription or shareholder agreement (including, for the avoidance of doubt, any principal and interest payable on any notes issued by Holdings or any direct or indirect parent company of Holdings in connection with such repurchase, retirement or other acquisition), including any Equity Interests rolled over by management of Holdings or any direct or indirect parent company of Holdings in connection with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with respect to non-discretionary purchases, the aggregate Restricted Payments made under this </w:t>
      </w:r>
      <w:r>
        <w:rPr>
          <w:rFonts w:ascii="Arial" w:cs="Arial" w:eastAsia="Arial" w:hAnsi="Arial"/>
          <w:sz w:val="16"/>
          <w:szCs w:val="16"/>
          <w:u w:val="single" w:color="auto"/>
          <w:color w:val="auto"/>
        </w:rPr>
        <w:t>clause (4)</w:t>
      </w:r>
      <w:r>
        <w:rPr>
          <w:rFonts w:ascii="Arial" w:cs="Arial" w:eastAsia="Arial" w:hAnsi="Arial"/>
          <w:sz w:val="16"/>
          <w:szCs w:val="16"/>
          <w:color w:val="auto"/>
        </w:rPr>
        <w:t xml:space="preserve"> subsequent to the Restatement Effective Date do not exceed in any calendar year $40,000,000 (with unused amounts in any calendar year being carried over to succeeding calendar years subject to maximum aggregate Restricted Payments under this clause (without giving effect to the following proviso) of $60,000,000 in any calendar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amount in any calendar year may be increased by an amount not to exceed: (A) the cash proceeds from the sale of Equity Interests (other than Disqualified Stock) of Holdings and, to the extent contributed to Holdings, the cash proceeds from the sale of Equity Interests of any direct or indirect parent company of Holdings, in each case to any future, present or former employees, directors, managers or consultants of Holdings, any of its Subsidiaries or any direct or indirect parent company of Holdings that occurs after the Restatement Effective Date, to the extent the cash proceeds from the sale of such Equity Interests have not otherwise been applied to the payment of Restricted Payments by virtue of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10.5(a)</w:t>
      </w:r>
      <w:r>
        <w:rPr>
          <w:rFonts w:ascii="Arial" w:cs="Arial" w:eastAsia="Arial" w:hAnsi="Arial"/>
          <w:sz w:val="16"/>
          <w:szCs w:val="16"/>
          <w:color w:val="auto"/>
        </w:rPr>
        <w:t xml:space="preserve">, plus (B) the cash proceeds of key man life insurance policies received by Holdings and the Restricted Subsidiaries after the Restatement Effective Date, less (C) the amount of any Restricted Payments previously made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cancellation of Indebtedness owing to Holdings or any Restricted Subsidiary from any future, present or former employees, directors, managers or consultants of Holdings, any direct or indirect parent company of Holdings or any Restricted Subsidiary, or their estates, descendants, family, spouse or former spouse pursuant in connection with a repurchase of Equity Interests of Holdings or any direct or indirect parent company of Holdings will not be deemed to constitute a Restricted Payment for purposes of this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or any other provision of this Agreement;</w:t>
      </w:r>
    </w:p>
    <w:p>
      <w:pPr>
        <w:spacing w:after="0" w:line="397" w:lineRule="exact"/>
        <w:rPr>
          <w:rFonts w:ascii="Arial" w:cs="Arial" w:eastAsia="Arial" w:hAnsi="Arial"/>
          <w:sz w:val="16"/>
          <w:szCs w:val="16"/>
          <w:color w:val="010000"/>
        </w:rPr>
      </w:pPr>
    </w:p>
    <w:p>
      <w:pPr>
        <w:ind w:left="-540" w:right="260" w:firstLine="645"/>
        <w:spacing w:after="0" w:line="264" w:lineRule="auto"/>
        <w:tabs>
          <w:tab w:leader="none" w:pos="498" w:val="left"/>
        </w:tabs>
        <w:numPr>
          <w:ilvl w:val="0"/>
          <w:numId w:val="183"/>
        </w:numPr>
        <w:rPr>
          <w:rFonts w:ascii="Arial" w:cs="Arial" w:eastAsia="Arial" w:hAnsi="Arial"/>
          <w:sz w:val="18"/>
          <w:szCs w:val="18"/>
          <w:color w:val="010000"/>
        </w:rPr>
      </w:pPr>
      <w:r>
        <w:rPr>
          <w:rFonts w:ascii="Arial" w:cs="Arial" w:eastAsia="Arial" w:hAnsi="Arial"/>
          <w:sz w:val="18"/>
          <w:szCs w:val="18"/>
          <w:color w:val="auto"/>
        </w:rPr>
        <w:t xml:space="preserve">the declaration and payment of dividends to holders of any class or series of Disqualified Stock of Holdings or any Restricted Subsidiary or any class or series of preferred stock of any Restricted Subsidiary, in each case, issued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to the extent such dividends are included in the definition of “Fixed Charges”;</w:t>
      </w:r>
    </w:p>
    <w:p>
      <w:pPr>
        <w:spacing w:after="0" w:line="181" w:lineRule="exact"/>
        <w:rPr>
          <w:rFonts w:ascii="Arial" w:cs="Arial" w:eastAsia="Arial" w:hAnsi="Arial"/>
          <w:sz w:val="18"/>
          <w:szCs w:val="18"/>
          <w:color w:val="010000"/>
        </w:rPr>
      </w:pPr>
    </w:p>
    <w:p>
      <w:pPr>
        <w:ind w:left="-540" w:right="120" w:firstLine="645"/>
        <w:spacing w:after="0" w:line="288" w:lineRule="auto"/>
        <w:tabs>
          <w:tab w:leader="none" w:pos="498" w:val="left"/>
        </w:tabs>
        <w:numPr>
          <w:ilvl w:val="0"/>
          <w:numId w:val="183"/>
        </w:numPr>
        <w:rPr>
          <w:rFonts w:ascii="Arial" w:cs="Arial" w:eastAsia="Arial" w:hAnsi="Arial"/>
          <w:sz w:val="16"/>
          <w:szCs w:val="16"/>
          <w:color w:val="010000"/>
        </w:rPr>
      </w:pPr>
      <w:r>
        <w:rPr>
          <w:rFonts w:ascii="Arial" w:cs="Arial" w:eastAsia="Arial" w:hAnsi="Arial"/>
          <w:sz w:val="16"/>
          <w:szCs w:val="16"/>
          <w:color w:val="auto"/>
        </w:rPr>
        <w:t xml:space="preserve">(A) the declaration and payment of dividends to holders of any class or series of Designated Preferred Stock (other than Disqualified Stock) issued by Holdings after the Restatement Effective Date; (B) the declaration and payment of dividends to any direct or indirect parent company of Holdings, the proceeds of which will be used to fund the payment of dividends to holders of any class or series of Designated Preferred Stock (other than Disqualified Stock) of such parent company issued after the Restatement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dividends paid pursuant to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not exceed the aggregate amount of cash actually contributed to Holdings from the sale of such Designated Preferred Stock; or (C) the declaration and payment of dividends on Refunding Capital Stock in excess of the dividends declarable and payable thereon pursuant to </w:t>
      </w:r>
      <w:r>
        <w:rPr>
          <w:rFonts w:ascii="Arial" w:cs="Arial" w:eastAsia="Arial" w:hAnsi="Arial"/>
          <w:sz w:val="16"/>
          <w:szCs w:val="16"/>
          <w:u w:val="single" w:color="auto"/>
          <w:color w:val="auto"/>
        </w:rPr>
        <w:t>clause (2)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10.5(b)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each of (A), (B), and (C) of this </w:t>
      </w:r>
      <w:r>
        <w:rPr>
          <w:rFonts w:ascii="Arial" w:cs="Arial" w:eastAsia="Arial" w:hAnsi="Arial"/>
          <w:sz w:val="16"/>
          <w:szCs w:val="16"/>
          <w:u w:val="single" w:color="auto"/>
          <w:color w:val="auto"/>
        </w:rPr>
        <w:t>clause (6)</w:t>
      </w:r>
      <w:r>
        <w:rPr>
          <w:rFonts w:ascii="Arial" w:cs="Arial" w:eastAsia="Arial" w:hAnsi="Arial"/>
          <w:sz w:val="16"/>
          <w:szCs w:val="16"/>
          <w:color w:val="auto"/>
        </w:rPr>
        <w:t>, for the most recently ended four full fiscal quarters for which internal financial statements are available immediately preceding the date of issuance of such Designated Preferred Stock or the declaration of such dividends on Refunding Capital Stock, after giving effect to such issuance or declaration on a pro forma basis, Holdings and the Restricted Subsidiaries on a consolidated basis would have had a Fixed Charge Coverage Ratio of at least 2.00 to 1.00;</w:t>
      </w:r>
    </w:p>
    <w:p>
      <w:pPr>
        <w:spacing w:after="0" w:line="200" w:lineRule="exact"/>
        <w:rPr>
          <w:sz w:val="20"/>
          <w:szCs w:val="20"/>
          <w:color w:val="auto"/>
        </w:rPr>
      </w:pPr>
    </w:p>
    <w:p>
      <w:pPr>
        <w:spacing w:after="0" w:line="210"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-131-</w:t>
      </w:r>
    </w:p>
    <w:p>
      <w:pPr>
        <w:sectPr>
          <w:pgSz w:w="11900" w:h="16838" w:orient="portrait"/>
          <w:cols w:equalWidth="0" w:num="1">
            <w:col w:w="10220"/>
          </w:cols>
          <w:pgMar w:left="1440" w:top="814" w:right="239" w:bottom="1440" w:gutter="0" w:footer="0" w:header="0"/>
        </w:sectPr>
      </w:pPr>
    </w:p>
    <w:bookmarkStart w:id="211" w:name="page212"/>
    <w:bookmarkEnd w:id="211"/>
    <w:p>
      <w:pPr>
        <w:ind w:firstLine="645"/>
        <w:spacing w:after="0" w:line="276" w:lineRule="auto"/>
        <w:tabs>
          <w:tab w:leader="none" w:pos="1038" w:val="left"/>
        </w:tabs>
        <w:numPr>
          <w:ilvl w:val="0"/>
          <w:numId w:val="184"/>
        </w:numPr>
        <w:rPr>
          <w:rFonts w:ascii="Arial" w:cs="Arial" w:eastAsia="Arial" w:hAnsi="Arial"/>
          <w:sz w:val="17"/>
          <w:szCs w:val="17"/>
          <w:color w:val="010000"/>
        </w:rPr>
      </w:pPr>
      <w:r>
        <w:rPr>
          <w:rFonts w:ascii="Arial" w:cs="Arial" w:eastAsia="Arial" w:hAnsi="Arial"/>
          <w:sz w:val="17"/>
          <w:szCs w:val="17"/>
          <w:color w:val="auto"/>
        </w:rPr>
        <w:t xml:space="preserve">Investments in Unrestricted Subsidiaries having an aggregate Fair Market Value, taken together with all other Investments made pursuant to this </w:t>
      </w:r>
      <w:r>
        <w:rPr>
          <w:rFonts w:ascii="Arial" w:cs="Arial" w:eastAsia="Arial" w:hAnsi="Arial"/>
          <w:sz w:val="17"/>
          <w:szCs w:val="17"/>
          <w:u w:val="single" w:color="auto"/>
          <w:color w:val="auto"/>
        </w:rPr>
        <w:t>clause (7)</w:t>
      </w:r>
      <w:r>
        <w:rPr>
          <w:rFonts w:ascii="Arial" w:cs="Arial" w:eastAsia="Arial" w:hAnsi="Arial"/>
          <w:sz w:val="17"/>
          <w:szCs w:val="17"/>
          <w:color w:val="auto"/>
        </w:rPr>
        <w:t xml:space="preserve"> that are at the time outstanding, without giving effect to the sale of an Unrestricted Subsidiary to the extent the proceeds of such sale do not consist of cash, Cash Equivalents or marketable securities, not to exceed the greater of (x) $25,000,000 and (y) 25.0% of Consolidated EBITDA for the most recently ended Test Period (calculated on a Pro Forma Basis) at the time of such Investment (with the Fair Market Value of each Investment being measured at the time made and without giving effect to subsequent changes in value);</w:t>
      </w:r>
    </w:p>
    <w:p>
      <w:pPr>
        <w:spacing w:after="0" w:line="172" w:lineRule="exact"/>
        <w:rPr>
          <w:rFonts w:ascii="Arial" w:cs="Arial" w:eastAsia="Arial" w:hAnsi="Arial"/>
          <w:sz w:val="17"/>
          <w:szCs w:val="17"/>
          <w:color w:val="010000"/>
        </w:rPr>
      </w:pPr>
    </w:p>
    <w:p>
      <w:pPr>
        <w:ind w:firstLine="645"/>
        <w:spacing w:after="0" w:line="276" w:lineRule="auto"/>
        <w:tabs>
          <w:tab w:leader="none" w:pos="1038" w:val="left"/>
        </w:tabs>
        <w:numPr>
          <w:ilvl w:val="0"/>
          <w:numId w:val="184"/>
        </w:numPr>
        <w:rPr>
          <w:rFonts w:ascii="Arial" w:cs="Arial" w:eastAsia="Arial" w:hAnsi="Arial"/>
          <w:sz w:val="17"/>
          <w:szCs w:val="17"/>
          <w:color w:val="010000"/>
        </w:rPr>
      </w:pPr>
      <w:r>
        <w:rPr>
          <w:rFonts w:ascii="Arial" w:cs="Arial" w:eastAsia="Arial" w:hAnsi="Arial"/>
          <w:sz w:val="17"/>
          <w:szCs w:val="17"/>
          <w:color w:val="auto"/>
        </w:rPr>
        <w:t>(i) payments made or expected to be made by Holdings or any Restricted Subsidiary in respect of withholding or similar taxes payable upon exercise of Equity Interests by any future, present or former employee, director, manager, or consultant and repurchases of Equity Interests deemed to occur upon exercise of stock options or warrants if such Equity Interests represent a portion of the exercise price of such options or warrants and (ii) payments or other adjustments to outstanding Equity Interests in accordance with any management equity plan, stock option plan or any other similar employee benefit plan, agreement or arrangement in connection with any Restricted Payment;</w:t>
      </w:r>
    </w:p>
    <w:p>
      <w:pPr>
        <w:spacing w:after="0" w:line="172" w:lineRule="exact"/>
        <w:rPr>
          <w:rFonts w:ascii="Arial" w:cs="Arial" w:eastAsia="Arial" w:hAnsi="Arial"/>
          <w:sz w:val="17"/>
          <w:szCs w:val="17"/>
          <w:color w:val="010000"/>
        </w:rPr>
      </w:pPr>
    </w:p>
    <w:p>
      <w:pPr>
        <w:ind w:right="40" w:firstLine="645"/>
        <w:spacing w:after="0" w:line="259" w:lineRule="auto"/>
        <w:tabs>
          <w:tab w:leader="none" w:pos="1038" w:val="left"/>
        </w:tabs>
        <w:numPr>
          <w:ilvl w:val="0"/>
          <w:numId w:val="184"/>
        </w:numPr>
        <w:rPr>
          <w:rFonts w:ascii="Arial" w:cs="Arial" w:eastAsia="Arial" w:hAnsi="Arial"/>
          <w:sz w:val="18"/>
          <w:szCs w:val="18"/>
          <w:color w:val="010000"/>
        </w:rPr>
      </w:pPr>
      <w:r>
        <w:rPr>
          <w:rFonts w:ascii="Arial" w:cs="Arial" w:eastAsia="Arial" w:hAnsi="Arial"/>
          <w:sz w:val="18"/>
          <w:szCs w:val="18"/>
          <w:color w:val="auto"/>
        </w:rPr>
        <w:t>the declaration and payment of dividends on Holdings’ common stock (or the payment of dividends to any direct or indirect parent company of Holdings to fund a payment of dividends on such company’s common stock) of up to 6.00% per annum of the net cash proceeds received by or contributed to Holdings in or from any public offering, other than public offerings with respect to Holdings’ common stock registered on Form S-8 and other than any public sale constituting an Excluded Contribution;</w:t>
      </w:r>
    </w:p>
    <w:p>
      <w:pPr>
        <w:spacing w:after="0" w:line="186" w:lineRule="exact"/>
        <w:rPr>
          <w:rFonts w:ascii="Arial" w:cs="Arial" w:eastAsia="Arial" w:hAnsi="Arial"/>
          <w:sz w:val="18"/>
          <w:szCs w:val="18"/>
          <w:color w:val="010000"/>
        </w:rPr>
      </w:pPr>
    </w:p>
    <w:p>
      <w:pPr>
        <w:ind w:left="1120" w:hanging="475"/>
        <w:spacing w:after="0"/>
        <w:tabs>
          <w:tab w:leader="none" w:pos="1120" w:val="left"/>
        </w:tabs>
        <w:numPr>
          <w:ilvl w:val="0"/>
          <w:numId w:val="184"/>
        </w:numPr>
        <w:rPr>
          <w:rFonts w:ascii="Arial" w:cs="Arial" w:eastAsia="Arial" w:hAnsi="Arial"/>
          <w:sz w:val="16"/>
          <w:szCs w:val="16"/>
          <w:color w:val="010000"/>
        </w:rPr>
      </w:pPr>
      <w:r>
        <w:rPr>
          <w:rFonts w:ascii="Arial" w:cs="Arial" w:eastAsia="Arial" w:hAnsi="Arial"/>
          <w:sz w:val="16"/>
          <w:szCs w:val="16"/>
          <w:color w:val="auto"/>
        </w:rPr>
        <w:t>Restricted Payments in an amount that does not exceed the amount of Excluded Contributions made since the Restatement Effective</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Date;</w:t>
      </w:r>
    </w:p>
    <w:p>
      <w:pPr>
        <w:spacing w:after="0" w:line="210" w:lineRule="exact"/>
        <w:rPr>
          <w:rFonts w:ascii="Arial" w:cs="Arial" w:eastAsia="Arial" w:hAnsi="Arial"/>
          <w:sz w:val="16"/>
          <w:szCs w:val="16"/>
          <w:color w:val="010000"/>
        </w:rPr>
      </w:pPr>
    </w:p>
    <w:p>
      <w:pPr>
        <w:ind w:right="40" w:firstLine="645"/>
        <w:spacing w:after="0" w:line="264" w:lineRule="auto"/>
        <w:tabs>
          <w:tab w:leader="none" w:pos="1121" w:val="left"/>
        </w:tabs>
        <w:numPr>
          <w:ilvl w:val="0"/>
          <w:numId w:val="184"/>
        </w:numPr>
        <w:rPr>
          <w:rFonts w:ascii="Arial" w:cs="Arial" w:eastAsia="Arial" w:hAnsi="Arial"/>
          <w:sz w:val="18"/>
          <w:szCs w:val="18"/>
          <w:color w:val="010000"/>
        </w:rPr>
      </w:pPr>
      <w:r>
        <w:rPr>
          <w:rFonts w:ascii="Arial" w:cs="Arial" w:eastAsia="Arial" w:hAnsi="Arial"/>
          <w:sz w:val="18"/>
          <w:szCs w:val="18"/>
          <w:color w:val="auto"/>
        </w:rPr>
        <w:t>other Restricted Payments in an aggregate amount taken together with all other Restricted Payments made pursuant to this clause not to exceed the greater of (x) $105,000,000 and (y) 50.0% of Consolidated EBITDA for the most recently ended Test Period (calculated on a Pro Forma Basis) at the time made;</w:t>
      </w:r>
    </w:p>
    <w:p>
      <w:pPr>
        <w:spacing w:after="0" w:line="181" w:lineRule="exact"/>
        <w:rPr>
          <w:rFonts w:ascii="Arial" w:cs="Arial" w:eastAsia="Arial" w:hAnsi="Arial"/>
          <w:sz w:val="18"/>
          <w:szCs w:val="18"/>
          <w:color w:val="010000"/>
        </w:rPr>
      </w:pPr>
    </w:p>
    <w:p>
      <w:pPr>
        <w:ind w:left="1120" w:hanging="475"/>
        <w:spacing w:after="0"/>
        <w:tabs>
          <w:tab w:leader="none" w:pos="1120" w:val="left"/>
        </w:tabs>
        <w:numPr>
          <w:ilvl w:val="0"/>
          <w:numId w:val="184"/>
        </w:numPr>
        <w:rPr>
          <w:rFonts w:ascii="Arial" w:cs="Arial" w:eastAsia="Arial" w:hAnsi="Arial"/>
          <w:sz w:val="18"/>
          <w:szCs w:val="18"/>
          <w:color w:val="010000"/>
        </w:rPr>
      </w:pPr>
      <w:r>
        <w:rPr>
          <w:rFonts w:ascii="Arial" w:cs="Arial" w:eastAsia="Arial" w:hAnsi="Arial"/>
          <w:sz w:val="18"/>
          <w:szCs w:val="18"/>
          <w:color w:val="auto"/>
        </w:rPr>
        <w:t>distributions or payments of Receivables Fees;</w:t>
      </w:r>
    </w:p>
    <w:p>
      <w:pPr>
        <w:spacing w:after="0" w:line="225" w:lineRule="exact"/>
        <w:rPr>
          <w:rFonts w:ascii="Arial" w:cs="Arial" w:eastAsia="Arial" w:hAnsi="Arial"/>
          <w:sz w:val="18"/>
          <w:szCs w:val="18"/>
          <w:color w:val="010000"/>
        </w:rPr>
      </w:pPr>
    </w:p>
    <w:p>
      <w:pPr>
        <w:ind w:right="100" w:firstLine="645"/>
        <w:spacing w:after="0" w:line="257" w:lineRule="auto"/>
        <w:tabs>
          <w:tab w:leader="none" w:pos="1128" w:val="left"/>
        </w:tabs>
        <w:numPr>
          <w:ilvl w:val="0"/>
          <w:numId w:val="184"/>
        </w:numPr>
        <w:rPr>
          <w:rFonts w:ascii="Arial" w:cs="Arial" w:eastAsia="Arial" w:hAnsi="Arial"/>
          <w:sz w:val="18"/>
          <w:szCs w:val="18"/>
          <w:color w:val="010000"/>
        </w:rPr>
      </w:pPr>
      <w:r>
        <w:rPr>
          <w:rFonts w:ascii="Arial" w:cs="Arial" w:eastAsia="Arial" w:hAnsi="Arial"/>
          <w:sz w:val="18"/>
          <w:szCs w:val="18"/>
          <w:color w:val="auto"/>
        </w:rPr>
        <w:t xml:space="preserve">any Restricted Payment made in connection with the Transactions and the fees and expenses related thereto or used to fund amounts owed to Affiliates (including dividends to any direct or indirect parent company of Holdings to permit payment by such parent of such amount), to the extent permitted by </w:t>
      </w:r>
      <w:r>
        <w:rPr>
          <w:rFonts w:ascii="Arial" w:cs="Arial" w:eastAsia="Arial" w:hAnsi="Arial"/>
          <w:sz w:val="18"/>
          <w:szCs w:val="18"/>
          <w:u w:val="single" w:color="auto"/>
          <w:color w:val="auto"/>
        </w:rPr>
        <w:t>Section 9.9</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thereof), and Restricted Payments in respect of working capital adjustments or purchase price adjustments pursuant to any Permitted Acquisition or other Permitted Investment and to satisfy indemnity and other similar obligations under any Permitted Acquisitions or other Permitted Investments;</w:t>
      </w:r>
    </w:p>
    <w:p>
      <w:pPr>
        <w:spacing w:after="0" w:line="188" w:lineRule="exact"/>
        <w:rPr>
          <w:rFonts w:ascii="Arial" w:cs="Arial" w:eastAsia="Arial" w:hAnsi="Arial"/>
          <w:sz w:val="18"/>
          <w:szCs w:val="18"/>
          <w:color w:val="010000"/>
        </w:rPr>
      </w:pPr>
    </w:p>
    <w:p>
      <w:pPr>
        <w:ind w:right="40" w:firstLine="645"/>
        <w:spacing w:after="0" w:line="264" w:lineRule="auto"/>
        <w:tabs>
          <w:tab w:leader="none" w:pos="1128" w:val="left"/>
        </w:tabs>
        <w:numPr>
          <w:ilvl w:val="0"/>
          <w:numId w:val="184"/>
        </w:numPr>
        <w:rPr>
          <w:rFonts w:ascii="Arial" w:cs="Arial" w:eastAsia="Arial" w:hAnsi="Arial"/>
          <w:sz w:val="18"/>
          <w:szCs w:val="18"/>
          <w:color w:val="010000"/>
        </w:rPr>
      </w:pPr>
      <w:r>
        <w:rPr>
          <w:rFonts w:ascii="Arial" w:cs="Arial" w:eastAsia="Arial" w:hAnsi="Arial"/>
          <w:sz w:val="18"/>
          <w:szCs w:val="18"/>
          <w:color w:val="auto"/>
        </w:rPr>
        <w:t xml:space="preserve">other Restricted Payments;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 Event of Default shall have occurred and be continuing or would occur as a consequence thereof and (B) after giving Pro Forma Effect to such Restricted Payments the Consolidated Total Debt to Consolidated EBITDA Ratio is equal to or less than 3.00:1.00;</w:t>
      </w:r>
    </w:p>
    <w:p>
      <w:pPr>
        <w:spacing w:after="0" w:line="200" w:lineRule="exact"/>
        <w:rPr>
          <w:sz w:val="20"/>
          <w:szCs w:val="20"/>
          <w:color w:val="auto"/>
        </w:rPr>
      </w:pPr>
    </w:p>
    <w:p>
      <w:pPr>
        <w:spacing w:after="0" w:line="222"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-132-</w:t>
      </w:r>
    </w:p>
    <w:p>
      <w:pPr>
        <w:sectPr>
          <w:pgSz w:w="11900" w:h="16838" w:orient="portrait"/>
          <w:cols w:equalWidth="0" w:num="1">
            <w:col w:w="10740"/>
          </w:cols>
          <w:pgMar w:left="900" w:top="814" w:right="259" w:bottom="1440" w:gutter="0" w:footer="0" w:header="0"/>
        </w:sectPr>
      </w:pPr>
    </w:p>
    <w:bookmarkStart w:id="212" w:name="page213"/>
    <w:bookmarkEnd w:id="212"/>
    <w:p>
      <w:pPr>
        <w:ind w:left="660" w:firstLine="645"/>
        <w:spacing w:after="0" w:line="284" w:lineRule="auto"/>
        <w:tabs>
          <w:tab w:leader="none" w:pos="1788" w:val="left"/>
        </w:tabs>
        <w:numPr>
          <w:ilvl w:val="0"/>
          <w:numId w:val="185"/>
        </w:numPr>
        <w:rPr>
          <w:rFonts w:ascii="Arial" w:cs="Arial" w:eastAsia="Arial" w:hAnsi="Arial"/>
          <w:sz w:val="16"/>
          <w:szCs w:val="16"/>
          <w:color w:val="010000"/>
        </w:rPr>
      </w:pPr>
      <w:r>
        <w:rPr>
          <w:rFonts w:ascii="Arial" w:cs="Arial" w:eastAsia="Arial" w:hAnsi="Arial"/>
          <w:sz w:val="16"/>
          <w:szCs w:val="16"/>
          <w:color w:val="auto"/>
        </w:rPr>
        <w:t xml:space="preserve">the declaration and payment of dividends by Holdings to, or the making of loans to, any direct or indirect parent company of Holdings in amounts required for any direct or indirect parent company to pay: (A) franchise and excise taxes, and other fees and expenses, required to maintain its organizational existence, (B) consolidated, combined or similar foreign, federal, state and local income or similar taxes, to the extent that such income taxes are attributable to the income of Holdings and the Restricted Subsidiaries and, to the extent of the amount actually received from its Unrestricted Subsidiaries, in amounts required to pay such taxes to the extent attributable to the income of such Unrestricted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the amount of such payments with respect to any fiscal year does not exceed the amount that Holdings, the Restricted Subsidiaries and the Unrestricted Subsidiaries (to the extent described above) would have been required to pay in respect of such foreign, federal, state and local income or similar taxes for such fiscal year had Holdings, the Restricted Subsidiaries and the Unrestricted Subsidiaries (to the extent described above) been a stand-alone taxpayer or stand-alone group (separate from any such direct or indirect parent company of Holdings) for all fiscal years ending after the Restatement Effective Date, (C) customary salary, bonus, and other benefits payable to officers, employees, directors, and managers of any direct or indirect parent company of Holdings to the extent such salaries, bonuses, and other benefits are attributable to the ownership or operation of Holdings and the Restricted Subsidiaries, including Holdings’ proportionate share of such amount relating to such parent company being a public company, (D) general corporate or other operating (including, without limitation, expenses related to auditing or other accounting matters) and overhead costs and expenses of any direct or indirect parent company of Holdings to the extent such costs and expenses are attributable to the ownership or operation of Holdings and the Restricted Subsidiaries, including Holdings’ proportionate share of such amount relating to such parent company being a public company, (E) amounts required for any direct or indirect parent company of Holdings to pay fees and expenses incurred by any direct or indirect parent company of Holdings related to (i) the maintenance by such parent entity of its corporate or other entity existence and (ii) transactions of such parent company of Holdings of the type described in </w:t>
      </w:r>
      <w:r>
        <w:rPr>
          <w:rFonts w:ascii="Arial" w:cs="Arial" w:eastAsia="Arial" w:hAnsi="Arial"/>
          <w:sz w:val="16"/>
          <w:szCs w:val="16"/>
          <w:u w:val="single" w:color="auto"/>
          <w:color w:val="auto"/>
        </w:rPr>
        <w:t>clause (xi)</w:t>
      </w:r>
      <w:r>
        <w:rPr>
          <w:rFonts w:ascii="Arial" w:cs="Arial" w:eastAsia="Arial" w:hAnsi="Arial"/>
          <w:sz w:val="16"/>
          <w:szCs w:val="16"/>
          <w:color w:val="auto"/>
        </w:rPr>
        <w:t xml:space="preserve"> of the definition of “Consolidated Net Income”, (F) cash payments in lieu of issuing fractional shares in connection with the exercise of warrants, options or other securities convertible into or exchangeable for Equity Interests of Holdings or any such direct or indirect parent company of Holdings, and (G) repurchases deemed to occur upon the cashless exercise of stock options;</w:t>
      </w:r>
    </w:p>
    <w:p>
      <w:pPr>
        <w:spacing w:after="0" w:line="181" w:lineRule="exact"/>
        <w:rPr>
          <w:rFonts w:ascii="Arial" w:cs="Arial" w:eastAsia="Arial" w:hAnsi="Arial"/>
          <w:sz w:val="16"/>
          <w:szCs w:val="16"/>
          <w:color w:val="010000"/>
        </w:rPr>
      </w:pPr>
    </w:p>
    <w:p>
      <w:pPr>
        <w:ind w:left="660" w:right="80" w:firstLine="645"/>
        <w:spacing w:after="0" w:line="286" w:lineRule="auto"/>
        <w:tabs>
          <w:tab w:leader="none" w:pos="1788" w:val="left"/>
        </w:tabs>
        <w:numPr>
          <w:ilvl w:val="0"/>
          <w:numId w:val="185"/>
        </w:numPr>
        <w:rPr>
          <w:rFonts w:ascii="Arial" w:cs="Arial" w:eastAsia="Arial" w:hAnsi="Arial"/>
          <w:sz w:val="17"/>
          <w:szCs w:val="17"/>
          <w:color w:val="010000"/>
        </w:rPr>
      </w:pPr>
      <w:r>
        <w:rPr>
          <w:rFonts w:ascii="Arial" w:cs="Arial" w:eastAsia="Arial" w:hAnsi="Arial"/>
          <w:sz w:val="17"/>
          <w:szCs w:val="17"/>
          <w:color w:val="auto"/>
        </w:rPr>
        <w:t>the repurchase, redemption or other acquisition for value of Equity Interests of Holdings deemed to occur in connection with paying cash in lieu of fractional shares of such Equity Interests in connection with a share dividend, distribution, share split, reverse share split, merger, consolidation, amalgamation or other business combination of Holdings, in each case, permitted under this Agreement;</w:t>
      </w:r>
    </w:p>
    <w:p>
      <w:pPr>
        <w:spacing w:after="0" w:line="165" w:lineRule="exact"/>
        <w:rPr>
          <w:rFonts w:ascii="Arial" w:cs="Arial" w:eastAsia="Arial" w:hAnsi="Arial"/>
          <w:sz w:val="17"/>
          <w:szCs w:val="17"/>
          <w:color w:val="010000"/>
        </w:rPr>
      </w:pPr>
    </w:p>
    <w:p>
      <w:pPr>
        <w:ind w:left="660" w:right="20" w:firstLine="645"/>
        <w:spacing w:after="0" w:line="342" w:lineRule="auto"/>
        <w:tabs>
          <w:tab w:leader="none" w:pos="1788" w:val="left"/>
        </w:tabs>
        <w:numPr>
          <w:ilvl w:val="0"/>
          <w:numId w:val="185"/>
        </w:numPr>
        <w:rPr>
          <w:rFonts w:ascii="Arial" w:cs="Arial" w:eastAsia="Arial" w:hAnsi="Arial"/>
          <w:sz w:val="16"/>
          <w:szCs w:val="16"/>
          <w:color w:val="010000"/>
        </w:rPr>
      </w:pPr>
      <w:r>
        <w:rPr>
          <w:rFonts w:ascii="Arial" w:cs="Arial" w:eastAsia="Arial" w:hAnsi="Arial"/>
          <w:sz w:val="16"/>
          <w:szCs w:val="16"/>
          <w:color w:val="auto"/>
        </w:rPr>
        <w:t>the distribution, by dividend or otherwise, of shares of Capital Stock of, or Indebtedness owed to Holdings or a Restricted Subsidiary by, Unrestricted Subsidiaries (other than Unrestricted Subsidiaries, the primary assets of which are cash and/or Cash Equivalents); and</w:t>
      </w:r>
    </w:p>
    <w:p>
      <w:pPr>
        <w:spacing w:after="0" w:line="123" w:lineRule="exact"/>
        <w:rPr>
          <w:rFonts w:ascii="Arial" w:cs="Arial" w:eastAsia="Arial" w:hAnsi="Arial"/>
          <w:sz w:val="16"/>
          <w:szCs w:val="16"/>
          <w:color w:val="010000"/>
        </w:rPr>
      </w:pPr>
    </w:p>
    <w:p>
      <w:pPr>
        <w:jc w:val="both"/>
        <w:ind w:left="660" w:right="180" w:firstLine="645"/>
        <w:spacing w:after="0" w:line="259" w:lineRule="auto"/>
        <w:tabs>
          <w:tab w:leader="none" w:pos="1788" w:val="left"/>
        </w:tabs>
        <w:numPr>
          <w:ilvl w:val="0"/>
          <w:numId w:val="185"/>
        </w:numPr>
        <w:rPr>
          <w:rFonts w:ascii="Arial" w:cs="Arial" w:eastAsia="Arial" w:hAnsi="Arial"/>
          <w:sz w:val="18"/>
          <w:szCs w:val="18"/>
          <w:color w:val="010000"/>
        </w:rPr>
      </w:pPr>
      <w:r>
        <w:rPr>
          <w:rFonts w:ascii="Arial" w:cs="Arial" w:eastAsia="Arial" w:hAnsi="Arial"/>
          <w:sz w:val="18"/>
          <w:szCs w:val="18"/>
          <w:color w:val="auto"/>
        </w:rPr>
        <w:t>the making of any principal payment on, or redeeming, repurchasing, defeasing or otherwise acquiring or retiring for value in each case, prior to any scheduled repayment, sinking fund payment or maturity, any Junior Debt of Holdings or any Restricted Subsidiary in an amount not in excess of the greater of $30,000,000 and 25% of Consolidated EBITDA for the most recently ended Test Period (calculated on a Pro Forma Basis).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and after giving effect to, any Restricted Payment permitted under </w:t>
      </w:r>
      <w:r>
        <w:rPr>
          <w:rFonts w:ascii="Arial" w:cs="Arial" w:eastAsia="Arial" w:hAnsi="Arial"/>
          <w:sz w:val="18"/>
          <w:szCs w:val="18"/>
          <w:u w:val="single" w:color="auto"/>
          <w:color w:val="auto"/>
        </w:rPr>
        <w:t>clauses (10)</w:t>
      </w:r>
      <w:r>
        <w:rPr>
          <w:rFonts w:ascii="Arial" w:cs="Arial" w:eastAsia="Arial" w:hAnsi="Arial"/>
          <w:sz w:val="18"/>
          <w:szCs w:val="18"/>
          <w:color w:val="auto"/>
        </w:rPr>
        <w:t xml:space="preserve"> (but only if the Excluded Contribution was made more than six months prior to such time),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w:t>
      </w:r>
      <w:r>
        <w:rPr>
          <w:rFonts w:ascii="Arial" w:cs="Arial" w:eastAsia="Arial" w:hAnsi="Arial"/>
          <w:sz w:val="18"/>
          <w:szCs w:val="18"/>
          <w:u w:val="single" w:color="auto"/>
          <w:color w:val="auto"/>
        </w:rPr>
        <w:t>(14)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no Event of Default shall have occurred and be continuing or would occur as a consequence thereof (or in the case of a Restricted Investment, no Event of Default under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11.5</w:t>
      </w:r>
      <w:r>
        <w:rPr>
          <w:rFonts w:ascii="Arial" w:cs="Arial" w:eastAsia="Arial" w:hAnsi="Arial"/>
          <w:sz w:val="18"/>
          <w:szCs w:val="18"/>
          <w:color w:val="auto"/>
        </w:rPr>
        <w:t xml:space="preserve"> shall have occurred and be continuing or would occur as a consequence thereof).</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-133-</w:t>
      </w:r>
    </w:p>
    <w:p>
      <w:pPr>
        <w:sectPr>
          <w:pgSz w:w="11900" w:h="16838" w:orient="portrait"/>
          <w:cols w:equalWidth="0" w:num="1">
            <w:col w:w="11380"/>
          </w:cols>
          <w:pgMar w:left="240" w:top="814" w:right="279" w:bottom="1440" w:gutter="0" w:footer="0" w:header="0"/>
        </w:sectPr>
      </w:pPr>
    </w:p>
    <w:bookmarkStart w:id="213" w:name="page214"/>
    <w:bookmarkEnd w:id="213"/>
    <w:p>
      <w:pPr>
        <w:ind w:firstLine="648"/>
        <w:spacing w:after="0" w:line="272" w:lineRule="auto"/>
        <w:rPr>
          <w:sz w:val="20"/>
          <w:szCs w:val="20"/>
          <w:color w:val="auto"/>
        </w:rPr>
      </w:pPr>
      <w:r>
        <w:rPr>
          <w:rFonts w:ascii="Arial" w:cs="Arial" w:eastAsia="Arial" w:hAnsi="Arial"/>
          <w:sz w:val="17"/>
          <w:szCs w:val="17"/>
          <w:color w:val="auto"/>
        </w:rPr>
        <w:t xml:space="preserve">Holdings will not permit any Unrestricted Subsidiary to become a Restricted Subsidiary except pursuant to the last sentence of the definition of “Unrestricted Subsidiary”. For purposes of designating any Restricted Subsidiary as an Unrestricted Subsidiary, all outstanding Investments by Holdings and the Restricted Subsidiaries (except to the extent repaid) in the Subsidiary so designated will be deemed to be Restricted Payments in an amount determined as set forth in the last sentence of the definition of “Investment”. Such designation will be permitted only if a Restricted Payment in such amount would be permitted at such time, whether pursuant to </w:t>
      </w:r>
      <w:r>
        <w:rPr>
          <w:rFonts w:ascii="Arial" w:cs="Arial" w:eastAsia="Arial" w:hAnsi="Arial"/>
          <w:sz w:val="17"/>
          <w:szCs w:val="17"/>
          <w:u w:val="single" w:color="auto"/>
          <w:color w:val="auto"/>
        </w:rPr>
        <w:t>Section 10.5(a)</w:t>
      </w:r>
      <w:r>
        <w:rPr>
          <w:rFonts w:ascii="Arial" w:cs="Arial" w:eastAsia="Arial" w:hAnsi="Arial"/>
          <w:sz w:val="17"/>
          <w:szCs w:val="17"/>
          <w:color w:val="auto"/>
        </w:rPr>
        <w:t xml:space="preserve"> or under </w:t>
      </w:r>
      <w:r>
        <w:rPr>
          <w:rFonts w:ascii="Arial" w:cs="Arial" w:eastAsia="Arial" w:hAnsi="Arial"/>
          <w:sz w:val="17"/>
          <w:szCs w:val="17"/>
          <w:u w:val="single" w:color="auto"/>
          <w:color w:val="auto"/>
        </w:rPr>
        <w:t>clauses (7)</w:t>
      </w:r>
      <w:r>
        <w:rPr>
          <w:rFonts w:ascii="Arial" w:cs="Arial" w:eastAsia="Arial" w:hAnsi="Arial"/>
          <w:sz w:val="17"/>
          <w:szCs w:val="17"/>
          <w:color w:val="auto"/>
        </w:rPr>
        <w:t xml:space="preserve">,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10.5(b)</w:t>
      </w:r>
      <w:r>
        <w:rPr>
          <w:rFonts w:ascii="Arial" w:cs="Arial" w:eastAsia="Arial" w:hAnsi="Arial"/>
          <w:sz w:val="17"/>
          <w:szCs w:val="17"/>
          <w:color w:val="auto"/>
        </w:rPr>
        <w:t>, or pursuant to the definition of “Permitted Investments”, and if such Subsidiary otherwise meets the definition of an Unrestricted Subsidiary. Unrestricted Subsidiaries will not be subject to any of the restrictive covenants set forth in this Agreement.</w:t>
      </w:r>
    </w:p>
    <w:p>
      <w:pPr>
        <w:spacing w:after="0" w:line="17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For purposes of determining compliance with this covenant, in the event that a proposed Restricted Payment or Investment (or a portion thereof) meets the criteria of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(18)</w:t>
      </w:r>
      <w:r>
        <w:rPr>
          <w:rFonts w:ascii="Arial" w:cs="Arial" w:eastAsia="Arial" w:hAnsi="Arial"/>
          <w:sz w:val="17"/>
          <w:szCs w:val="17"/>
          <w:color w:val="auto"/>
        </w:rPr>
        <w:t xml:space="preserve"> above or is entitled to be made pursuant to </w:t>
      </w:r>
      <w:r>
        <w:rPr>
          <w:rFonts w:ascii="Arial" w:cs="Arial" w:eastAsia="Arial" w:hAnsi="Arial"/>
          <w:sz w:val="17"/>
          <w:szCs w:val="17"/>
          <w:u w:val="single" w:color="auto"/>
          <w:color w:val="auto"/>
        </w:rPr>
        <w:t>Section 10.5(a)</w:t>
      </w:r>
      <w:r>
        <w:rPr>
          <w:rFonts w:ascii="Arial" w:cs="Arial" w:eastAsia="Arial" w:hAnsi="Arial"/>
          <w:sz w:val="17"/>
          <w:szCs w:val="17"/>
          <w:color w:val="auto"/>
        </w:rPr>
        <w:t xml:space="preserve"> and/or one or more of the exceptions contained in the definition of “Permitted Investments”, Holdings will be entitled to classify or later reclassify (based on circumstances existing on the date of such reclassification) such Restricted Payment (or portion thereof) among such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(18)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10.5(a)</w:t>
      </w:r>
      <w:r>
        <w:rPr>
          <w:rFonts w:ascii="Arial" w:cs="Arial" w:eastAsia="Arial" w:hAnsi="Arial"/>
          <w:sz w:val="17"/>
          <w:szCs w:val="17"/>
          <w:color w:val="auto"/>
        </w:rPr>
        <w:t xml:space="preserve"> and/or one or more of the exceptions contained in the definition of “Permitted Investments”, in a manner that otherwise complies with this covenant.</w:t>
      </w:r>
    </w:p>
    <w:p>
      <w:pPr>
        <w:spacing w:after="0" w:line="173"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Limitation on Subsidiary Distributions</w:t>
      </w:r>
      <w:r>
        <w:rPr>
          <w:rFonts w:ascii="Arial" w:cs="Arial" w:eastAsia="Arial" w:hAnsi="Arial"/>
          <w:sz w:val="18"/>
          <w:szCs w:val="18"/>
          <w:color w:val="auto"/>
        </w:rPr>
        <w:t>. Holdings will not permit any of the Restricted Subsidiaries that are not Guarantors to, directly or indirectly, create or otherwise cause or suffer to exist or become effective any consensual encumbrance or consensual restriction on the ability of any such Restricted Subsidiary to:</w:t>
      </w:r>
    </w:p>
    <w:p>
      <w:pPr>
        <w:spacing w:after="0" w:line="181" w:lineRule="exact"/>
        <w:rPr>
          <w:sz w:val="20"/>
          <w:szCs w:val="20"/>
          <w:color w:val="auto"/>
        </w:rPr>
      </w:pPr>
    </w:p>
    <w:p>
      <w:pPr>
        <w:ind w:left="660" w:right="140" w:firstLine="645"/>
        <w:spacing w:after="0" w:line="308" w:lineRule="auto"/>
        <w:tabs>
          <w:tab w:leader="none" w:pos="1688"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 pay dividends or make any other distributions to Holdings or any Restricted Subsidiary on its Capital Stock or with respect to any other interest or participation in, or measured by, its profits or (ii) pay any Indebtedness owed to Holdings or any Restricted Subsidiary;</w:t>
      </w:r>
    </w:p>
    <w:p>
      <w:pPr>
        <w:spacing w:after="0" w:line="146" w:lineRule="exact"/>
        <w:rPr>
          <w:rFonts w:ascii="Arial" w:cs="Arial" w:eastAsia="Arial" w:hAnsi="Arial"/>
          <w:sz w:val="17"/>
          <w:szCs w:val="17"/>
          <w:color w:val="auto"/>
        </w:rPr>
      </w:pPr>
    </w:p>
    <w:p>
      <w:pPr>
        <w:ind w:left="1700" w:hanging="395"/>
        <w:spacing w:after="0"/>
        <w:tabs>
          <w:tab w:leader="none" w:pos="17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make loans or advances to Holdings or any Restricted Subsidiary; or</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Holdings or any Restricted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except (in each case) for such encumbrances or restrictions (x) which the Borrower has reasonably determined in good faith will not materially impair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Borrower’s ability to make payments under this Agreement when due or (y) existing under or by reason of:</w:t>
      </w:r>
    </w:p>
    <w:p>
      <w:pPr>
        <w:spacing w:after="0" w:line="224" w:lineRule="exact"/>
        <w:rPr>
          <w:sz w:val="20"/>
          <w:szCs w:val="20"/>
          <w:color w:val="auto"/>
        </w:rPr>
      </w:pPr>
    </w:p>
    <w:p>
      <w:pPr>
        <w:ind w:left="660" w:right="60" w:firstLine="888"/>
        <w:spacing w:after="0" w:line="266" w:lineRule="auto"/>
        <w:tabs>
          <w:tab w:leader="none" w:pos="1918" w:val="left"/>
        </w:tabs>
        <w:numPr>
          <w:ilvl w:val="0"/>
          <w:numId w:val="187"/>
        </w:numPr>
        <w:rPr>
          <w:rFonts w:ascii="Arial" w:cs="Arial" w:eastAsia="Arial" w:hAnsi="Arial"/>
          <w:sz w:val="20"/>
          <w:szCs w:val="20"/>
          <w:color w:val="auto"/>
        </w:rPr>
      </w:pPr>
      <w:r>
        <w:rPr>
          <w:rFonts w:ascii="Arial" w:cs="Arial" w:eastAsia="Arial" w:hAnsi="Arial"/>
          <w:sz w:val="18"/>
          <w:szCs w:val="18"/>
          <w:color w:val="auto"/>
        </w:rPr>
        <w:t>contractual encumbrances or restrictions in effect on the Restatement Effective Date, including pursuant to this Agreement and the related documentation and related Hedging Obligations;</w:t>
      </w:r>
    </w:p>
    <w:p>
      <w:pPr>
        <w:spacing w:after="0" w:line="190" w:lineRule="exact"/>
        <w:rPr>
          <w:rFonts w:ascii="Arial" w:cs="Arial" w:eastAsia="Arial" w:hAnsi="Arial"/>
          <w:sz w:val="20"/>
          <w:szCs w:val="20"/>
          <w:color w:val="auto"/>
        </w:rPr>
      </w:pPr>
    </w:p>
    <w:p>
      <w:pPr>
        <w:ind w:left="660" w:right="760" w:firstLine="888"/>
        <w:spacing w:after="0" w:line="330" w:lineRule="auto"/>
        <w:tabs>
          <w:tab w:leader="none" w:pos="1973" w:val="left"/>
        </w:tabs>
        <w:numPr>
          <w:ilvl w:val="0"/>
          <w:numId w:val="187"/>
        </w:numPr>
        <w:rPr>
          <w:rFonts w:ascii="Arial" w:cs="Arial" w:eastAsia="Arial" w:hAnsi="Arial"/>
          <w:sz w:val="18"/>
          <w:szCs w:val="18"/>
          <w:color w:val="auto"/>
        </w:rPr>
      </w:pPr>
      <w:r>
        <w:rPr>
          <w:rFonts w:ascii="Arial" w:cs="Arial" w:eastAsia="Arial" w:hAnsi="Arial"/>
          <w:sz w:val="16"/>
          <w:szCs w:val="16"/>
          <w:color w:val="auto"/>
        </w:rPr>
        <w:t xml:space="preserve">purchase money obligations for property acquired in the ordinary course of business or consistent with past practice and Capitalized Lease Obligations that impose restrictions of the nature discussed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above on the property so acquired;</w:t>
      </w:r>
    </w:p>
    <w:p>
      <w:pPr>
        <w:spacing w:after="0" w:line="137" w:lineRule="exact"/>
        <w:rPr>
          <w:rFonts w:ascii="Arial" w:cs="Arial" w:eastAsia="Arial" w:hAnsi="Arial"/>
          <w:sz w:val="18"/>
          <w:szCs w:val="18"/>
          <w:color w:val="auto"/>
        </w:rPr>
      </w:pPr>
    </w:p>
    <w:p>
      <w:pPr>
        <w:ind w:left="2020" w:hanging="472"/>
        <w:spacing w:after="0"/>
        <w:tabs>
          <w:tab w:leader="none" w:pos="2020" w:val="left"/>
        </w:tabs>
        <w:numPr>
          <w:ilvl w:val="0"/>
          <w:numId w:val="187"/>
        </w:numPr>
        <w:rPr>
          <w:rFonts w:ascii="Arial" w:cs="Arial" w:eastAsia="Arial" w:hAnsi="Arial"/>
          <w:sz w:val="20"/>
          <w:szCs w:val="20"/>
          <w:color w:val="auto"/>
        </w:rPr>
      </w:pPr>
      <w:r>
        <w:rPr>
          <w:rFonts w:ascii="Arial" w:cs="Arial" w:eastAsia="Arial" w:hAnsi="Arial"/>
          <w:sz w:val="18"/>
          <w:szCs w:val="18"/>
          <w:color w:val="auto"/>
        </w:rPr>
        <w:t>Requirement of Law or any applicable rule, regulation or order;</w:t>
      </w:r>
    </w:p>
    <w:p>
      <w:pPr>
        <w:spacing w:after="0" w:line="215" w:lineRule="exact"/>
        <w:rPr>
          <w:rFonts w:ascii="Arial" w:cs="Arial" w:eastAsia="Arial" w:hAnsi="Arial"/>
          <w:sz w:val="20"/>
          <w:szCs w:val="20"/>
          <w:color w:val="auto"/>
        </w:rPr>
      </w:pPr>
    </w:p>
    <w:p>
      <w:pPr>
        <w:ind w:left="660" w:right="40" w:firstLine="888"/>
        <w:spacing w:after="0" w:line="265" w:lineRule="auto"/>
        <w:tabs>
          <w:tab w:leader="none" w:pos="2017" w:val="left"/>
        </w:tabs>
        <w:numPr>
          <w:ilvl w:val="0"/>
          <w:numId w:val="187"/>
        </w:numPr>
        <w:rPr>
          <w:rFonts w:ascii="Arial" w:cs="Arial" w:eastAsia="Arial" w:hAnsi="Arial"/>
          <w:sz w:val="20"/>
          <w:szCs w:val="20"/>
          <w:color w:val="auto"/>
        </w:rPr>
      </w:pPr>
      <w:r>
        <w:rPr>
          <w:rFonts w:ascii="Arial" w:cs="Arial" w:eastAsia="Arial" w:hAnsi="Arial"/>
          <w:sz w:val="18"/>
          <w:szCs w:val="18"/>
          <w:color w:val="auto"/>
        </w:rPr>
        <w:t>any agreement or other instrument of a Person acquired by or merged or consolidated with or into Holdings or any Restricted Subsidiary, or of an Unrestricted Subsidiary that is designated a Restricted Subsidiary, or that is assumed in connection with the acquisition of assets from such Person, in each case that is in existence at the time of such transaction (but not created in contemplation thereof), which encumbrance or restriction is not applicable to any Person, or the properties or assets of any Person, other than the Person and its Subsidiaries, or the property or assets of the Person and its Subsidiaries, so acquired or designated;</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-134-</w:t>
      </w:r>
    </w:p>
    <w:p>
      <w:pPr>
        <w:sectPr>
          <w:pgSz w:w="11900" w:h="16838" w:orient="portrait"/>
          <w:cols w:equalWidth="0" w:num="1">
            <w:col w:w="11380"/>
          </w:cols>
          <w:pgMar w:left="240" w:top="814" w:right="279" w:bottom="1440" w:gutter="0" w:footer="0" w:header="0"/>
        </w:sectPr>
      </w:pPr>
    </w:p>
    <w:bookmarkStart w:id="214" w:name="page215"/>
    <w:bookmarkEnd w:id="214"/>
    <w:p>
      <w:pPr>
        <w:ind w:right="60" w:firstLine="888"/>
        <w:spacing w:after="0" w:line="265" w:lineRule="auto"/>
        <w:tabs>
          <w:tab w:leader="none" w:pos="1302" w:val="left"/>
        </w:tabs>
        <w:numPr>
          <w:ilvl w:val="0"/>
          <w:numId w:val="188"/>
        </w:numPr>
        <w:rPr>
          <w:rFonts w:ascii="Arial" w:cs="Arial" w:eastAsia="Arial" w:hAnsi="Arial"/>
          <w:sz w:val="20"/>
          <w:szCs w:val="20"/>
          <w:color w:val="auto"/>
        </w:rPr>
      </w:pPr>
      <w:r>
        <w:rPr>
          <w:rFonts w:ascii="Arial" w:cs="Arial" w:eastAsia="Arial" w:hAnsi="Arial"/>
          <w:sz w:val="18"/>
          <w:szCs w:val="18"/>
          <w:color w:val="auto"/>
        </w:rPr>
        <w:t>contracts for the sale of assets, including customary restrictions with respect to a Subsidiary of Holdings pursuant to an agreement that has been entered into for the sale or disposition of all or substantially all of the Capital Stock or assets of such Subsidiary and restrictions on transfer of assets subject to Permitted Liens;</w:t>
      </w:r>
    </w:p>
    <w:p>
      <w:pPr>
        <w:spacing w:after="0" w:line="193" w:lineRule="exact"/>
        <w:rPr>
          <w:rFonts w:ascii="Arial" w:cs="Arial" w:eastAsia="Arial" w:hAnsi="Arial"/>
          <w:sz w:val="20"/>
          <w:szCs w:val="20"/>
          <w:color w:val="auto"/>
        </w:rPr>
      </w:pPr>
    </w:p>
    <w:p>
      <w:pPr>
        <w:ind w:right="20" w:firstLine="888"/>
        <w:spacing w:after="0" w:line="310" w:lineRule="auto"/>
        <w:tabs>
          <w:tab w:leader="none" w:pos="1357" w:val="left"/>
        </w:tabs>
        <w:numPr>
          <w:ilvl w:val="0"/>
          <w:numId w:val="188"/>
        </w:numPr>
        <w:rPr>
          <w:rFonts w:ascii="Arial" w:cs="Arial" w:eastAsia="Arial" w:hAnsi="Arial"/>
          <w:sz w:val="18"/>
          <w:szCs w:val="18"/>
          <w:color w:val="auto"/>
        </w:rPr>
      </w:pPr>
      <w:r>
        <w:rPr>
          <w:rFonts w:ascii="Arial" w:cs="Arial" w:eastAsia="Arial" w:hAnsi="Arial"/>
          <w:sz w:val="16"/>
          <w:szCs w:val="16"/>
          <w:color w:val="auto"/>
        </w:rPr>
        <w:t xml:space="preserve">(x) secured Indebtedness otherwise permitted to be incurred pursuant to </w:t>
      </w:r>
      <w:r>
        <w:rPr>
          <w:rFonts w:ascii="Arial" w:cs="Arial" w:eastAsia="Arial" w:hAnsi="Arial"/>
          <w:sz w:val="16"/>
          <w:szCs w:val="16"/>
          <w:u w:val="single" w:color="auto"/>
          <w:color w:val="auto"/>
        </w:rPr>
        <w:t>Sections 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10.2</w:t>
      </w:r>
      <w:r>
        <w:rPr>
          <w:rFonts w:ascii="Arial" w:cs="Arial" w:eastAsia="Arial" w:hAnsi="Arial"/>
          <w:sz w:val="16"/>
          <w:szCs w:val="16"/>
          <w:color w:val="auto"/>
        </w:rPr>
        <w:t xml:space="preserve"> that limit the right of the debtor to dispose of the assets securing such Indebtedness and (y) restrictions on transfers of assets subject to Permitted Liens (but, with respect to any such Permitted Lien, only to the extent that such transfer restrictions apply solely to the assets that are the subject of such Permitted Lien);</w:t>
      </w:r>
    </w:p>
    <w:p>
      <w:pPr>
        <w:spacing w:after="0" w:line="162" w:lineRule="exact"/>
        <w:rPr>
          <w:rFonts w:ascii="Arial" w:cs="Arial" w:eastAsia="Arial" w:hAnsi="Arial"/>
          <w:sz w:val="18"/>
          <w:szCs w:val="18"/>
          <w:color w:val="auto"/>
        </w:rPr>
      </w:pPr>
    </w:p>
    <w:p>
      <w:pPr>
        <w:ind w:left="1400" w:hanging="512"/>
        <w:spacing w:after="0"/>
        <w:tabs>
          <w:tab w:leader="none" w:pos="1400" w:val="left"/>
        </w:tabs>
        <w:numPr>
          <w:ilvl w:val="0"/>
          <w:numId w:val="188"/>
        </w:numPr>
        <w:rPr>
          <w:rFonts w:ascii="Arial" w:cs="Arial" w:eastAsia="Arial" w:hAnsi="Arial"/>
          <w:sz w:val="18"/>
          <w:szCs w:val="18"/>
          <w:color w:val="auto"/>
        </w:rPr>
      </w:pPr>
      <w:r>
        <w:rPr>
          <w:rFonts w:ascii="Arial" w:cs="Arial" w:eastAsia="Arial" w:hAnsi="Arial"/>
          <w:sz w:val="16"/>
          <w:szCs w:val="16"/>
          <w:color w:val="auto"/>
        </w:rPr>
        <w:t>restrictions on cash or other deposits or net worth imposed by customers under contracts entered into in the ordinary course of</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business;</w:t>
      </w:r>
    </w:p>
    <w:p>
      <w:pPr>
        <w:spacing w:after="0" w:line="233" w:lineRule="exact"/>
        <w:rPr>
          <w:rFonts w:ascii="Arial" w:cs="Arial" w:eastAsia="Arial" w:hAnsi="Arial"/>
          <w:sz w:val="18"/>
          <w:szCs w:val="18"/>
          <w:color w:val="auto"/>
        </w:rPr>
      </w:pPr>
    </w:p>
    <w:p>
      <w:pPr>
        <w:ind w:right="180" w:firstLine="888"/>
        <w:spacing w:after="0" w:line="266" w:lineRule="auto"/>
        <w:tabs>
          <w:tab w:leader="none" w:pos="1467" w:val="left"/>
        </w:tabs>
        <w:numPr>
          <w:ilvl w:val="0"/>
          <w:numId w:val="188"/>
        </w:numPr>
        <w:rPr>
          <w:rFonts w:ascii="Arial" w:cs="Arial" w:eastAsia="Arial" w:hAnsi="Arial"/>
          <w:sz w:val="20"/>
          <w:szCs w:val="20"/>
          <w:color w:val="auto"/>
        </w:rPr>
      </w:pPr>
      <w:r>
        <w:rPr>
          <w:rFonts w:ascii="Arial" w:cs="Arial" w:eastAsia="Arial" w:hAnsi="Arial"/>
          <w:sz w:val="18"/>
          <w:szCs w:val="18"/>
          <w:color w:val="auto"/>
        </w:rPr>
        <w:t xml:space="preserve">other Indebtedness, Disqualified Stock or preferred stock of Restricted Subsidiaries permitted to be incurred subsequent to the Restatement Effective Date pursuant to the provisions of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90" w:lineRule="exact"/>
        <w:rPr>
          <w:rFonts w:ascii="Arial" w:cs="Arial" w:eastAsia="Arial" w:hAnsi="Arial"/>
          <w:sz w:val="20"/>
          <w:szCs w:val="20"/>
          <w:color w:val="auto"/>
        </w:rPr>
      </w:pPr>
    </w:p>
    <w:p>
      <w:pPr>
        <w:ind w:firstLine="888"/>
        <w:spacing w:after="0" w:line="266" w:lineRule="auto"/>
        <w:tabs>
          <w:tab w:leader="none" w:pos="1357" w:val="left"/>
        </w:tabs>
        <w:numPr>
          <w:ilvl w:val="0"/>
          <w:numId w:val="188"/>
        </w:numPr>
        <w:rPr>
          <w:rFonts w:ascii="Arial" w:cs="Arial" w:eastAsia="Arial" w:hAnsi="Arial"/>
          <w:sz w:val="20"/>
          <w:szCs w:val="20"/>
          <w:color w:val="auto"/>
        </w:rPr>
      </w:pPr>
      <w:r>
        <w:rPr>
          <w:rFonts w:ascii="Arial" w:cs="Arial" w:eastAsia="Arial" w:hAnsi="Arial"/>
          <w:sz w:val="18"/>
          <w:szCs w:val="18"/>
          <w:color w:val="auto"/>
        </w:rPr>
        <w:t>customary provisions in joint venture agreements or arrangements and other similar agreements or arrangements relating solely to such joint venture and the Equity Interests issued thereby;</w:t>
      </w:r>
    </w:p>
    <w:p>
      <w:pPr>
        <w:spacing w:after="0" w:line="190" w:lineRule="exact"/>
        <w:rPr>
          <w:rFonts w:ascii="Arial" w:cs="Arial" w:eastAsia="Arial" w:hAnsi="Arial"/>
          <w:sz w:val="20"/>
          <w:szCs w:val="20"/>
          <w:color w:val="auto"/>
        </w:rPr>
      </w:pPr>
    </w:p>
    <w:p>
      <w:pPr>
        <w:ind w:right="60" w:firstLine="888"/>
        <w:spacing w:after="0" w:line="266" w:lineRule="auto"/>
        <w:tabs>
          <w:tab w:leader="none" w:pos="1302" w:val="left"/>
        </w:tabs>
        <w:numPr>
          <w:ilvl w:val="0"/>
          <w:numId w:val="188"/>
        </w:numPr>
        <w:rPr>
          <w:rFonts w:ascii="Arial" w:cs="Arial" w:eastAsia="Arial" w:hAnsi="Arial"/>
          <w:sz w:val="20"/>
          <w:szCs w:val="20"/>
          <w:color w:val="auto"/>
        </w:rPr>
      </w:pPr>
      <w:r>
        <w:rPr>
          <w:rFonts w:ascii="Arial" w:cs="Arial" w:eastAsia="Arial" w:hAnsi="Arial"/>
          <w:sz w:val="18"/>
          <w:szCs w:val="18"/>
          <w:color w:val="auto"/>
        </w:rPr>
        <w:t>customary provisions contained in leases, sub-leases, licenses, sub-licenses or similar agreements, in each case, entered into in the ordinary course of business;</w:t>
      </w:r>
    </w:p>
    <w:p>
      <w:pPr>
        <w:spacing w:after="0" w:line="190" w:lineRule="exact"/>
        <w:rPr>
          <w:rFonts w:ascii="Arial" w:cs="Arial" w:eastAsia="Arial" w:hAnsi="Arial"/>
          <w:sz w:val="20"/>
          <w:szCs w:val="20"/>
          <w:color w:val="auto"/>
        </w:rPr>
      </w:pPr>
    </w:p>
    <w:p>
      <w:pPr>
        <w:ind w:right="180" w:firstLine="888"/>
        <w:spacing w:after="0" w:line="266" w:lineRule="auto"/>
        <w:tabs>
          <w:tab w:leader="none" w:pos="1357" w:val="left"/>
        </w:tabs>
        <w:numPr>
          <w:ilvl w:val="0"/>
          <w:numId w:val="188"/>
        </w:numPr>
        <w:rPr>
          <w:rFonts w:ascii="Arial" w:cs="Arial" w:eastAsia="Arial" w:hAnsi="Arial"/>
          <w:sz w:val="20"/>
          <w:szCs w:val="20"/>
          <w:color w:val="auto"/>
        </w:rPr>
      </w:pPr>
      <w:r>
        <w:rPr>
          <w:rFonts w:ascii="Arial" w:cs="Arial" w:eastAsia="Arial" w:hAnsi="Arial"/>
          <w:sz w:val="18"/>
          <w:szCs w:val="18"/>
          <w:color w:val="auto"/>
        </w:rPr>
        <w:t>restrictions created in connection with any Receivables Facility that, in the good faith determination of the board of directors of Holdings, are necessary or advisable to effect such Receivables Facility; and</w:t>
      </w:r>
    </w:p>
    <w:p>
      <w:pPr>
        <w:spacing w:after="0" w:line="190" w:lineRule="exact"/>
        <w:rPr>
          <w:rFonts w:ascii="Arial" w:cs="Arial" w:eastAsia="Arial" w:hAnsi="Arial"/>
          <w:sz w:val="20"/>
          <w:szCs w:val="20"/>
          <w:color w:val="auto"/>
        </w:rPr>
      </w:pPr>
    </w:p>
    <w:p>
      <w:pPr>
        <w:ind w:right="120" w:firstLine="888"/>
        <w:spacing w:after="0" w:line="303" w:lineRule="auto"/>
        <w:tabs>
          <w:tab w:leader="none" w:pos="1412" w:val="left"/>
        </w:tabs>
        <w:numPr>
          <w:ilvl w:val="0"/>
          <w:numId w:val="188"/>
        </w:numPr>
        <w:rPr>
          <w:rFonts w:ascii="Arial" w:cs="Arial" w:eastAsia="Arial" w:hAnsi="Arial"/>
          <w:sz w:val="18"/>
          <w:szCs w:val="18"/>
          <w:color w:val="auto"/>
        </w:rPr>
      </w:pPr>
      <w:r>
        <w:rPr>
          <w:rFonts w:ascii="Arial" w:cs="Arial" w:eastAsia="Arial" w:hAnsi="Arial"/>
          <w:sz w:val="16"/>
          <w:szCs w:val="16"/>
          <w:color w:val="auto"/>
        </w:rPr>
        <w:t xml:space="preserve">any encumbrances or restrictions of the type referred to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imposed by any amendments, modifications, restatements, renewals, increases, supplements, refundings, replacements or refinancings of the contracts, instruments or obligations referred to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(xii)</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amendments, modifications, restatements, renewals, increases, supplements, refundings, replacements, or refinancings (x) are, in the good faith judgment of Holdings’ board of directors, no more restrictive in any material respect with respect to such encumbrance and other restrictions taken as a whole than those prior to such amendment, modification, restatement, renewal, increase, supplement, refunding, replacement or refinancing or (y) do not materially impair the Borrower’s ability to pay their respective obligations under the Credit Documents as and when due (as determined in good faith by the Borrower).</w:t>
      </w:r>
    </w:p>
    <w:p>
      <w:pPr>
        <w:spacing w:after="0" w:line="15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 Holdings will not permit:</w:t>
      </w:r>
    </w:p>
    <w:p>
      <w:pPr>
        <w:spacing w:after="0" w:line="239" w:lineRule="exact"/>
        <w:rPr>
          <w:sz w:val="20"/>
          <w:szCs w:val="20"/>
          <w:color w:val="auto"/>
        </w:rPr>
      </w:pPr>
    </w:p>
    <w:p>
      <w:pPr>
        <w:ind w:right="100" w:firstLine="888"/>
        <w:spacing w:after="0" w:line="265" w:lineRule="auto"/>
        <w:tabs>
          <w:tab w:leader="none" w:pos="1258" w:val="left"/>
        </w:tabs>
        <w:numPr>
          <w:ilvl w:val="0"/>
          <w:numId w:val="189"/>
        </w:numPr>
        <w:rPr>
          <w:rFonts w:ascii="Arial" w:cs="Arial" w:eastAsia="Arial" w:hAnsi="Arial"/>
          <w:sz w:val="20"/>
          <w:szCs w:val="20"/>
          <w:color w:val="auto"/>
        </w:rPr>
      </w:pPr>
      <w:r>
        <w:rPr>
          <w:rFonts w:ascii="Arial" w:cs="Arial" w:eastAsia="Arial" w:hAnsi="Arial"/>
          <w:sz w:val="18"/>
          <w:szCs w:val="18"/>
          <w:color w:val="auto"/>
        </w:rPr>
        <w:t xml:space="preserve">the Consolidated Total Debt to Consolidated EBITDA Ratio as of the last day of any fiscal quarter of Holdings, commencing with the fiscal quarter ending December 27, 2019 to be greater than the ratio set forth below in respect of such day set forth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option of the Borrower by notice to the Administrative Agent, the applicable ratio shall be increased by 0.25:1.00 one time during the term of this Agreement upon completion of a Material Acquisition, which increase shall be effective for four fiscal quarters immediately following the consummation of such Material Acquisition:</w:t>
      </w:r>
    </w:p>
    <w:p>
      <w:pPr>
        <w:spacing w:after="0" w:line="200" w:lineRule="exact"/>
        <w:rPr>
          <w:sz w:val="20"/>
          <w:szCs w:val="20"/>
          <w:color w:val="auto"/>
        </w:rPr>
      </w:pPr>
    </w:p>
    <w:p>
      <w:pPr>
        <w:spacing w:after="0" w:line="223"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-135-</w:t>
      </w:r>
    </w:p>
    <w:p>
      <w:pPr>
        <w:sectPr>
          <w:pgSz w:w="11900" w:h="16838" w:orient="portrait"/>
          <w:cols w:equalWidth="0" w:num="1">
            <w:col w:w="10720"/>
          </w:cols>
          <w:pgMar w:left="900" w:top="828" w:right="27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34"/>
        </w:trPr>
        <w:tc>
          <w:tcPr>
            <w:tcW w:w="230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Fiscal Year</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2"/>
              </w:rPr>
              <w:t>1st quarter</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2nd quarter</w:t>
            </w:r>
          </w:p>
        </w:tc>
        <w:tc>
          <w:tcPr>
            <w:tcW w:w="232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3rd quarter</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5"/>
              </w:rPr>
              <w:t>4th quarter</w:t>
            </w:r>
          </w:p>
        </w:tc>
      </w:tr>
      <w:tr>
        <w:trPr>
          <w:trHeight w:val="27"/>
        </w:trPr>
        <w:tc>
          <w:tcPr>
            <w:tcW w:w="2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534"/>
        </w:trPr>
        <w:tc>
          <w:tcPr>
            <w:tcW w:w="2300" w:type="dxa"/>
            <w:vAlign w:val="bottom"/>
          </w:tcPr>
          <w:p>
            <w:pPr>
              <w:jc w:val="center"/>
              <w:ind w:left="50"/>
              <w:spacing w:after="0"/>
              <w:rPr>
                <w:sz w:val="20"/>
                <w:szCs w:val="20"/>
                <w:color w:val="auto"/>
              </w:rPr>
            </w:pPr>
            <w:r>
              <w:rPr>
                <w:rFonts w:ascii="Arial" w:cs="Arial" w:eastAsia="Arial" w:hAnsi="Arial"/>
                <w:sz w:val="18"/>
                <w:szCs w:val="18"/>
                <w:color w:val="auto"/>
                <w:w w:val="89"/>
              </w:rPr>
              <w:t>2019</w:t>
            </w:r>
          </w:p>
        </w:tc>
        <w:tc>
          <w:tcPr>
            <w:tcW w:w="2100" w:type="dxa"/>
            <w:vAlign w:val="bottom"/>
          </w:tcPr>
          <w:p>
            <w:pPr>
              <w:jc w:val="center"/>
              <w:spacing w:after="0"/>
              <w:rPr>
                <w:sz w:val="20"/>
                <w:szCs w:val="20"/>
                <w:color w:val="auto"/>
              </w:rPr>
            </w:pPr>
            <w:r>
              <w:rPr>
                <w:rFonts w:ascii="Arial" w:cs="Arial" w:eastAsia="Arial" w:hAnsi="Arial"/>
                <w:sz w:val="18"/>
                <w:szCs w:val="18"/>
                <w:color w:val="auto"/>
              </w:rPr>
              <w:t>N/A</w:t>
            </w:r>
          </w:p>
        </w:tc>
        <w:tc>
          <w:tcPr>
            <w:tcW w:w="2160" w:type="dxa"/>
            <w:vAlign w:val="bottom"/>
          </w:tcPr>
          <w:p>
            <w:pPr>
              <w:jc w:val="center"/>
              <w:spacing w:after="0"/>
              <w:rPr>
                <w:sz w:val="20"/>
                <w:szCs w:val="20"/>
                <w:color w:val="auto"/>
              </w:rPr>
            </w:pPr>
            <w:r>
              <w:rPr>
                <w:rFonts w:ascii="Arial" w:cs="Arial" w:eastAsia="Arial" w:hAnsi="Arial"/>
                <w:sz w:val="18"/>
                <w:szCs w:val="18"/>
                <w:color w:val="auto"/>
              </w:rPr>
              <w:t>N/A</w:t>
            </w:r>
          </w:p>
        </w:tc>
        <w:tc>
          <w:tcPr>
            <w:tcW w:w="2320" w:type="dxa"/>
            <w:vAlign w:val="bottom"/>
          </w:tcPr>
          <w:p>
            <w:pPr>
              <w:jc w:val="center"/>
              <w:ind w:right="30"/>
              <w:spacing w:after="0"/>
              <w:rPr>
                <w:sz w:val="20"/>
                <w:szCs w:val="20"/>
                <w:color w:val="auto"/>
              </w:rPr>
            </w:pPr>
            <w:r>
              <w:rPr>
                <w:rFonts w:ascii="Arial" w:cs="Arial" w:eastAsia="Arial" w:hAnsi="Arial"/>
                <w:sz w:val="18"/>
                <w:szCs w:val="18"/>
                <w:color w:val="auto"/>
                <w:w w:val="90"/>
              </w:rPr>
              <w:t>4.75:1.00</w:t>
            </w: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4.75:1.00</w:t>
            </w:r>
          </w:p>
        </w:tc>
      </w:tr>
      <w:tr>
        <w:trPr>
          <w:trHeight w:val="270"/>
        </w:trPr>
        <w:tc>
          <w:tcPr>
            <w:tcW w:w="2300" w:type="dxa"/>
            <w:vAlign w:val="bottom"/>
          </w:tcPr>
          <w:p>
            <w:pPr>
              <w:jc w:val="center"/>
              <w:ind w:left="50"/>
              <w:spacing w:after="0"/>
              <w:rPr>
                <w:sz w:val="20"/>
                <w:szCs w:val="20"/>
                <w:color w:val="auto"/>
              </w:rPr>
            </w:pPr>
            <w:r>
              <w:rPr>
                <w:rFonts w:ascii="Arial" w:cs="Arial" w:eastAsia="Arial" w:hAnsi="Arial"/>
                <w:sz w:val="18"/>
                <w:szCs w:val="18"/>
                <w:color w:val="auto"/>
                <w:w w:val="89"/>
              </w:rPr>
              <w:t>2020</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4.75:1.00</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4.75:1.00</w:t>
            </w:r>
          </w:p>
        </w:tc>
        <w:tc>
          <w:tcPr>
            <w:tcW w:w="2320" w:type="dxa"/>
            <w:vAlign w:val="bottom"/>
          </w:tcPr>
          <w:p>
            <w:pPr>
              <w:jc w:val="center"/>
              <w:ind w:right="30"/>
              <w:spacing w:after="0"/>
              <w:rPr>
                <w:sz w:val="20"/>
                <w:szCs w:val="20"/>
                <w:color w:val="auto"/>
              </w:rPr>
            </w:pPr>
            <w:r>
              <w:rPr>
                <w:rFonts w:ascii="Arial" w:cs="Arial" w:eastAsia="Arial" w:hAnsi="Arial"/>
                <w:sz w:val="18"/>
                <w:szCs w:val="18"/>
                <w:color w:val="auto"/>
                <w:w w:val="90"/>
              </w:rPr>
              <w:t>4.75:1.00</w:t>
            </w: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4.75:1.00</w:t>
            </w:r>
          </w:p>
        </w:tc>
      </w:tr>
      <w:tr>
        <w:trPr>
          <w:trHeight w:val="270"/>
        </w:trPr>
        <w:tc>
          <w:tcPr>
            <w:tcW w:w="2300" w:type="dxa"/>
            <w:vAlign w:val="bottom"/>
          </w:tcPr>
          <w:p>
            <w:pPr>
              <w:jc w:val="center"/>
              <w:ind w:left="50"/>
              <w:spacing w:after="0"/>
              <w:rPr>
                <w:sz w:val="20"/>
                <w:szCs w:val="20"/>
                <w:color w:val="auto"/>
              </w:rPr>
            </w:pPr>
            <w:r>
              <w:rPr>
                <w:rFonts w:ascii="Arial" w:cs="Arial" w:eastAsia="Arial" w:hAnsi="Arial"/>
                <w:sz w:val="18"/>
                <w:szCs w:val="18"/>
                <w:color w:val="auto"/>
                <w:w w:val="89"/>
              </w:rPr>
              <w:t>2021</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4.75:1.00</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4.50:1.00</w:t>
            </w:r>
          </w:p>
        </w:tc>
        <w:tc>
          <w:tcPr>
            <w:tcW w:w="2320" w:type="dxa"/>
            <w:vAlign w:val="bottom"/>
          </w:tcPr>
          <w:p>
            <w:pPr>
              <w:jc w:val="center"/>
              <w:ind w:right="30"/>
              <w:spacing w:after="0"/>
              <w:rPr>
                <w:sz w:val="20"/>
                <w:szCs w:val="20"/>
                <w:color w:val="auto"/>
              </w:rPr>
            </w:pPr>
            <w:r>
              <w:rPr>
                <w:rFonts w:ascii="Arial" w:cs="Arial" w:eastAsia="Arial" w:hAnsi="Arial"/>
                <w:sz w:val="18"/>
                <w:szCs w:val="18"/>
                <w:color w:val="auto"/>
                <w:w w:val="90"/>
              </w:rPr>
              <w:t>4.50:1.00</w:t>
            </w: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4.50:1.00</w:t>
            </w:r>
          </w:p>
        </w:tc>
      </w:tr>
      <w:tr>
        <w:trPr>
          <w:trHeight w:val="270"/>
        </w:trPr>
        <w:tc>
          <w:tcPr>
            <w:tcW w:w="2300" w:type="dxa"/>
            <w:vAlign w:val="bottom"/>
          </w:tcPr>
          <w:p>
            <w:pPr>
              <w:jc w:val="center"/>
              <w:ind w:left="30"/>
              <w:spacing w:after="0"/>
              <w:rPr>
                <w:sz w:val="20"/>
                <w:szCs w:val="20"/>
                <w:color w:val="auto"/>
              </w:rPr>
            </w:pPr>
            <w:r>
              <w:rPr>
                <w:rFonts w:ascii="Arial" w:cs="Arial" w:eastAsia="Arial" w:hAnsi="Arial"/>
                <w:sz w:val="18"/>
                <w:szCs w:val="18"/>
                <w:color w:val="auto"/>
                <w:w w:val="89"/>
              </w:rPr>
              <w:t>Thereafter</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4.50:1.00</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4.50:1.00</w:t>
            </w:r>
          </w:p>
        </w:tc>
        <w:tc>
          <w:tcPr>
            <w:tcW w:w="2320" w:type="dxa"/>
            <w:vAlign w:val="bottom"/>
          </w:tcPr>
          <w:p>
            <w:pPr>
              <w:jc w:val="center"/>
              <w:ind w:right="30"/>
              <w:spacing w:after="0"/>
              <w:rPr>
                <w:sz w:val="20"/>
                <w:szCs w:val="20"/>
                <w:color w:val="auto"/>
              </w:rPr>
            </w:pPr>
            <w:r>
              <w:rPr>
                <w:rFonts w:ascii="Arial" w:cs="Arial" w:eastAsia="Arial" w:hAnsi="Arial"/>
                <w:sz w:val="18"/>
                <w:szCs w:val="18"/>
                <w:color w:val="auto"/>
                <w:w w:val="90"/>
              </w:rPr>
              <w:t>4.50:1.00</w:t>
            </w: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4.25:1.00</w:t>
            </w:r>
          </w:p>
        </w:tc>
      </w:tr>
    </w:tbl>
    <w:p>
      <w:pPr>
        <w:spacing w:after="0" w:line="242" w:lineRule="exact"/>
        <w:rPr>
          <w:sz w:val="20"/>
          <w:szCs w:val="20"/>
          <w:color w:val="auto"/>
        </w:rPr>
      </w:pPr>
    </w:p>
    <w:p>
      <w:pPr>
        <w:ind w:left="660" w:right="280" w:firstLine="888"/>
        <w:spacing w:after="0" w:line="266" w:lineRule="auto"/>
        <w:tabs>
          <w:tab w:leader="none" w:pos="1973" w:val="left"/>
        </w:tabs>
        <w:numPr>
          <w:ilvl w:val="0"/>
          <w:numId w:val="190"/>
        </w:numPr>
        <w:rPr>
          <w:rFonts w:ascii="Arial" w:cs="Arial" w:eastAsia="Arial" w:hAnsi="Arial"/>
          <w:sz w:val="20"/>
          <w:szCs w:val="20"/>
          <w:color w:val="auto"/>
        </w:rPr>
      </w:pPr>
      <w:r>
        <w:rPr>
          <w:rFonts w:ascii="Arial" w:cs="Arial" w:eastAsia="Arial" w:hAnsi="Arial"/>
          <w:sz w:val="18"/>
          <w:szCs w:val="18"/>
          <w:color w:val="auto"/>
        </w:rPr>
        <w:t>the Consolidated Interest Coverage Ratio of Holdings as of the last day of any fiscal quarter of Holdings, commencing with the fiscal quarter ending December 31, 2019, to be less than 3.00 to 1.00.</w:t>
      </w:r>
    </w:p>
    <w:p>
      <w:pPr>
        <w:spacing w:after="0" w:line="17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color w:val="auto"/>
        </w:rPr>
        <w:t>Events of Default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occurrence of any of the following specified events (each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Payments</w:t>
      </w:r>
      <w:r>
        <w:rPr>
          <w:rFonts w:ascii="Arial" w:cs="Arial" w:eastAsia="Arial" w:hAnsi="Arial"/>
          <w:sz w:val="18"/>
          <w:szCs w:val="18"/>
          <w:color w:val="auto"/>
        </w:rPr>
        <w:t>. The Borrower shall (a) default in the payment when due of any principal of the Loans or (b) default, and such default shall continue for five or more Business Days, in the payment when due of any interest on the Loans or any Fees or any Unpaid Drawings or of any other amounts owing hereunder or under any other Credit Document; or</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Representations, Etc.</w:t>
      </w:r>
      <w:r>
        <w:rPr>
          <w:rFonts w:ascii="Arial" w:cs="Arial" w:eastAsia="Arial" w:hAnsi="Arial"/>
          <w:sz w:val="18"/>
          <w:szCs w:val="18"/>
          <w:color w:val="auto"/>
        </w:rPr>
        <w:t xml:space="preserve"> Any representation, warranty or statement made or deemed made by any Credit Party herein or in any other Credit Document or any certificate delivered or required to be delivered pursuant hereto or thereto shall prove to be untrue in any material respect on the date as of which made or deemed made, and, to the extent capable of being cured, such incorrect representation or warranty shall remain incorrect for a period of 30 days after written notice thereof from the Administrative Agent to the Borrower; or</w:t>
      </w:r>
    </w:p>
    <w:p>
      <w:pPr>
        <w:spacing w:after="0" w:line="18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Covenants</w:t>
      </w:r>
      <w:r>
        <w:rPr>
          <w:rFonts w:ascii="Arial" w:cs="Arial" w:eastAsia="Arial" w:hAnsi="Arial"/>
          <w:sz w:val="16"/>
          <w:szCs w:val="16"/>
          <w:color w:val="auto"/>
        </w:rPr>
        <w:t>. Any Credit Party shall:</w:t>
      </w:r>
    </w:p>
    <w:p>
      <w:pPr>
        <w:spacing w:after="0" w:line="225" w:lineRule="exact"/>
        <w:rPr>
          <w:sz w:val="20"/>
          <w:szCs w:val="20"/>
          <w:color w:val="auto"/>
        </w:rPr>
      </w:pPr>
    </w:p>
    <w:p>
      <w:pPr>
        <w:jc w:val="both"/>
        <w:ind w:right="100" w:firstLine="656"/>
        <w:spacing w:after="0" w:line="272" w:lineRule="auto"/>
        <w:tabs>
          <w:tab w:leader="none" w:pos="1028"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default in the due performance or observance by it of any term, covenant or agreement contained in </w:t>
      </w:r>
      <w:r>
        <w:rPr>
          <w:rFonts w:ascii="Arial" w:cs="Arial" w:eastAsia="Arial" w:hAnsi="Arial"/>
          <w:sz w:val="16"/>
          <w:szCs w:val="16"/>
          <w:u w:val="single" w:color="auto"/>
          <w:color w:val="auto"/>
        </w:rPr>
        <w:t>Section 9.1(e)(i)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(solely with respect to Holdings or the Borrower), </w:t>
      </w:r>
      <w:r>
        <w:rPr>
          <w:rFonts w:ascii="Arial" w:cs="Arial" w:eastAsia="Arial" w:hAnsi="Arial"/>
          <w:sz w:val="16"/>
          <w:szCs w:val="16"/>
          <w:u w:val="single" w:color="auto"/>
          <w:color w:val="auto"/>
        </w:rPr>
        <w:t>Section 9.14(d)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Event of Default under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is subject to cure as provided in </w:t>
      </w:r>
      <w:r>
        <w:rPr>
          <w:rFonts w:ascii="Arial" w:cs="Arial" w:eastAsia="Arial" w:hAnsi="Arial"/>
          <w:sz w:val="16"/>
          <w:szCs w:val="16"/>
          <w:u w:val="single" w:color="auto"/>
          <w:color w:val="auto"/>
        </w:rPr>
        <w:t>Section 11.14</w:t>
      </w:r>
      <w:r>
        <w:rPr>
          <w:rFonts w:ascii="Arial" w:cs="Arial" w:eastAsia="Arial" w:hAnsi="Arial"/>
          <w:sz w:val="16"/>
          <w:szCs w:val="16"/>
          <w:color w:val="auto"/>
        </w:rPr>
        <w:t xml:space="preserve"> and an Event of Default with respect to either such Sections shall not occur until the expiration of the 10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Business Day subsequent to the date the relevant financial statements are required to be delivered for the applicable fiscal quarter pursuant to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or</w:t>
      </w:r>
    </w:p>
    <w:p>
      <w:pPr>
        <w:spacing w:after="0" w:line="168" w:lineRule="exact"/>
        <w:rPr>
          <w:rFonts w:ascii="Arial" w:cs="Arial" w:eastAsia="Arial" w:hAnsi="Arial"/>
          <w:sz w:val="16"/>
          <w:szCs w:val="16"/>
          <w:color w:val="auto"/>
        </w:rPr>
      </w:pPr>
    </w:p>
    <w:p>
      <w:pPr>
        <w:jc w:val="both"/>
        <w:ind w:right="180" w:firstLine="656"/>
        <w:spacing w:after="0" w:line="286" w:lineRule="auto"/>
        <w:tabs>
          <w:tab w:leader="none" w:pos="1038"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default in the due performance or observance by it of any term, covenant or agreement (other than those referred to in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11.3</w:t>
      </w:r>
      <w:r>
        <w:rPr>
          <w:rFonts w:ascii="Arial" w:cs="Arial" w:eastAsia="Arial" w:hAnsi="Arial"/>
          <w:sz w:val="17"/>
          <w:szCs w:val="17"/>
          <w:color w:val="auto"/>
        </w:rPr>
        <w:t>) contained in this Agreement or any Security Document and such default shall continue unremedied for a period of at least 30 days after receipt of written notice by Holdings from the Administrative Agent or the Required Lenders; or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-136-</w:t>
      </w:r>
    </w:p>
    <w:p>
      <w:pPr>
        <w:sectPr>
          <w:pgSz w:w="11900" w:h="16838" w:orient="portrait"/>
          <w:cols w:equalWidth="0" w:num="1">
            <w:col w:w="11420"/>
          </w:cols>
          <w:pgMar w:left="240" w:top="972" w:right="239" w:bottom="1440" w:gutter="0" w:footer="0" w:header="0"/>
        </w:sectPr>
      </w:pPr>
    </w:p>
    <w:bookmarkStart w:id="216" w:name="page217"/>
    <w:bookmarkEnd w:id="216"/>
    <w:p>
      <w:pPr>
        <w:ind w:firstLine="648"/>
        <w:spacing w:after="0" w:line="282"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Default Under Other Agreements</w:t>
      </w:r>
      <w:r>
        <w:rPr>
          <w:rFonts w:ascii="Arial" w:cs="Arial" w:eastAsia="Arial" w:hAnsi="Arial"/>
          <w:sz w:val="16"/>
          <w:szCs w:val="16"/>
          <w:color w:val="auto"/>
        </w:rPr>
        <w:t xml:space="preserve">. (a) Holdings or any of the Restricted Subsidiaries shall (i) default in any payment with respect to any Indebtedness (other than the Obligations) in excess of $30,000,000 in the aggregate, for Holdings and such Restricted Subsidiaries, beyond the period of grace and following all required notices, if any, provided in the instrument or agreement under which such Indebtedness was created or (ii) default in the observance or performance of any agreement or condition relating to any such Indebtedness or contained in any instrument or agreement evidencing, securing or relating thereto, or any other event shall occur or condition exist (after giving effect to all applicable grace period and delivery of all required notices) (other than, with respect to Indebtedness consisting of any Hedge Agreements, termination events or equivalent events pursuant to the terms of such Hedge Agreements (it being understood that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shall apply to any failure to make any payment in excess of $30,000,000 that is required as a result of any such termination or similar event and that is not otherwise being contested in good faith)), the effect of which default or other event or condition is to cause, or to permit the holder or holders of such Indebtedness (or a trustee or agent on behalf of such holder or holders) to cause, any such Indebtedness to become due or to be repurchased, prepaid, defeased or redeemed (automatically or otherwise), or an offer to repurchase, prepay, defease or redeem such Indebtedness to be made, prior to its stated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shall not apply to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(b) without limiting the provisions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any such Indebtedness shall be declared to be due and payable, or required to be prepaid other than by a regularly scheduled required prepayment or as a mandatory prepayment (and, with respect to Indebtedness consisting of any Hedge Agreements, other than due to a termination event or equivalent event pursuant to the terms of such Hedge Agreements (it being understood that </w:t>
      </w:r>
      <w:r>
        <w:rPr>
          <w:rFonts w:ascii="Arial" w:cs="Arial" w:eastAsia="Arial" w:hAnsi="Arial"/>
          <w:sz w:val="16"/>
          <w:szCs w:val="16"/>
          <w:u w:val="single" w:color="auto"/>
          <w:color w:val="auto"/>
        </w:rPr>
        <w:t>clause (a)(i)</w:t>
      </w:r>
      <w:r>
        <w:rPr>
          <w:rFonts w:ascii="Arial" w:cs="Arial" w:eastAsia="Arial" w:hAnsi="Arial"/>
          <w:sz w:val="16"/>
          <w:szCs w:val="16"/>
          <w:color w:val="auto"/>
        </w:rPr>
        <w:t xml:space="preserve"> above shall apply to any failure to make any payment in excess of $30,000,000 that is required as a result of any such termination or equivalent event and that is not otherwise being contested in good faith)), prior to the stated maturity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w:t>
      </w:r>
    </w:p>
    <w:p>
      <w:pPr>
        <w:spacing w:after="0" w:line="13" w:lineRule="exact"/>
        <w:rPr>
          <w:sz w:val="20"/>
          <w:szCs w:val="20"/>
          <w:color w:val="auto"/>
        </w:rPr>
      </w:pPr>
    </w:p>
    <w:p>
      <w:pPr>
        <w:ind w:right="20" w:firstLine="8"/>
        <w:spacing w:after="0" w:line="271" w:lineRule="auto"/>
        <w:tabs>
          <w:tab w:leader="none" w:pos="255" w:val="left"/>
        </w:tabs>
        <w:numPr>
          <w:ilvl w:val="0"/>
          <w:numId w:val="192"/>
        </w:numPr>
        <w:rPr>
          <w:rFonts w:ascii="Arial" w:cs="Arial" w:eastAsia="Arial" w:hAnsi="Arial"/>
          <w:sz w:val="17"/>
          <w:szCs w:val="17"/>
          <w:u w:val="single" w:color="auto"/>
          <w:color w:val="auto"/>
        </w:rPr>
      </w:pPr>
      <w:r>
        <w:rPr>
          <w:rFonts w:ascii="Arial" w:cs="Arial" w:eastAsia="Arial" w:hAnsi="Arial"/>
          <w:sz w:val="17"/>
          <w:szCs w:val="17"/>
          <w:color w:val="auto"/>
        </w:rPr>
        <w:t>shall not apply to (x) secured Indebtedness that becomes due as a result of the voluntary sale or transfer of the property or assets securing such Indebtedness, if such sale or transfer is permitted hereunder and under the documents providing for such Indebtedness, (y) Indebtedness which is convertible into Qualified Stock and converts to Qualified Stock in accordance with its terms and such conversion is not prohibited hereunder, or (z) any breach or default that is (I) remedied by Holdings or the applicable Restricted Subsidiary or (II) waived (including in the form of amendment) by the required holders of the applicable item of Indebtedness, in either case, prior to the acceleration of Loans pursuant to this Section 11; or</w:t>
      </w:r>
    </w:p>
    <w:p>
      <w:pPr>
        <w:spacing w:after="0" w:line="17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Bankruptcy, Etc.</w:t>
      </w:r>
      <w:r>
        <w:rPr>
          <w:rFonts w:ascii="Arial" w:cs="Arial" w:eastAsia="Arial" w:hAnsi="Arial"/>
          <w:sz w:val="16"/>
          <w:szCs w:val="16"/>
          <w:color w:val="auto"/>
        </w:rPr>
        <w:t xml:space="preserve"> Except as otherwise permitted by </w:t>
      </w:r>
      <w:r>
        <w:rPr>
          <w:rFonts w:ascii="Arial" w:cs="Arial" w:eastAsia="Arial" w:hAnsi="Arial"/>
          <w:sz w:val="16"/>
          <w:szCs w:val="16"/>
          <w:u w:val="single" w:color="auto"/>
          <w:color w:val="auto"/>
        </w:rPr>
        <w:t>Section 10.3</w:t>
      </w:r>
      <w:r>
        <w:rPr>
          <w:rFonts w:ascii="Arial" w:cs="Arial" w:eastAsia="Arial" w:hAnsi="Arial"/>
          <w:sz w:val="16"/>
          <w:szCs w:val="16"/>
          <w:color w:val="auto"/>
        </w:rPr>
        <w:t>, Holdings, the Borrower or any Significant Subsidiary shall commence a voluntary case, proceeding or action concerning itself under Title 11 of the United States Code entitled “Bankruptcy” as now or hereafter in effect, or any successor thereto (collectively, the “</w:t>
      </w:r>
      <w:r>
        <w:rPr>
          <w:rFonts w:ascii="Arial" w:cs="Arial" w:eastAsia="Arial" w:hAnsi="Arial"/>
          <w:sz w:val="16"/>
          <w:szCs w:val="16"/>
          <w:b w:val="1"/>
          <w:bCs w:val="1"/>
          <w:color w:val="auto"/>
        </w:rPr>
        <w:t>Bankruptcy Code</w:t>
      </w:r>
      <w:r>
        <w:rPr>
          <w:rFonts w:ascii="Arial" w:cs="Arial" w:eastAsia="Arial" w:hAnsi="Arial"/>
          <w:sz w:val="16"/>
          <w:szCs w:val="16"/>
          <w:color w:val="auto"/>
        </w:rPr>
        <w:t>”); or an involuntary case, proceeding or action is commenced against Holdings, the Borrower or any Significant Subsidiary and the petition is not controverted within 30 days after commencement of the case, proceeding or action; or an involuntary case, proceeding or action is commenced against Holdings, the Borrower or any Significant Subsidiary and the petition is not dismissed within 60 days after commencement of the case, proceeding or action; or a custodian (as defined in the Bankruptcy Code), judicial manager, compulsory manager, receiver, receiver manager, trustee, liquidator, administrator, administrative receiver or similar Person is appointed for, or takes charge of, all or substantially all of the property of Holdings, the Borrower or any Significant Subsidiary; or Holdings, the Borrower or any Significant Subsidiary commences any other voluntary proceeding or action under any reorganization, arrangement, adjustment of debt, relief of debtors, dissolution, insolvency, winding-up, administration or liquidation or similar law of any jurisdiction whether now or hereafter in effect relating to Holdings, the Borrower or any Significant Subsidiary; or there is commenced against Holdings, the Borrower or any Significant Subsidiary any such proceeding or action that remains undismissed for a period of 60 days; or Holdings, the Borrower or any Significant Subsidiary is adjudicated bankrupt; or any order of relief or other order approving any such case or proceeding or action is entered; or Holdings, the Borrower or any Significant Subsidiary suffers any appointment of any custodian receiver, receiver manager, trustee, administrator or the like for it or any substantial part of its property to continue undischarged or unstayed for a period of 60 days; or Holdings, the Borrower or any Significant Subsidiary makes a general assignment for the benefit of creditors; 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-137-</w:t>
      </w:r>
    </w:p>
    <w:p>
      <w:pPr>
        <w:sectPr>
          <w:pgSz w:w="11900" w:h="16838" w:orient="portrait"/>
          <w:cols w:equalWidth="0" w:num="1">
            <w:col w:w="11420"/>
          </w:cols>
          <w:pgMar w:left="240" w:top="814" w:right="239" w:bottom="1440" w:gutter="0" w:footer="0" w:header="0"/>
        </w:sectPr>
      </w:pPr>
    </w:p>
    <w:bookmarkStart w:id="217" w:name="page218"/>
    <w:bookmarkEnd w:id="217"/>
    <w:p>
      <w:pPr>
        <w:ind w:right="40" w:firstLine="648"/>
        <w:spacing w:after="0" w:line="273"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u w:val="single" w:color="auto"/>
          <w:color w:val="auto"/>
        </w:rPr>
        <w:t>ERISA</w:t>
      </w:r>
      <w:r>
        <w:rPr>
          <w:rFonts w:ascii="Arial" w:cs="Arial" w:eastAsia="Arial" w:hAnsi="Arial"/>
          <w:sz w:val="17"/>
          <w:szCs w:val="17"/>
          <w:color w:val="auto"/>
        </w:rPr>
        <w:t xml:space="preserve">. (a) An ERISA Event or a Foreign Plan Event shall have occurred, (b) a trustee shall be appointed by a United States district court to administer any Pension Plan(s), (c) the PBGC shall institute proceedings to terminate any Pension Plan(s), or (d) any Credit Party or any of their respective ERISA Affiliates shall have been notified by the sponsor of a Multiemployer Plan that it has incurred or will be assessed Withdrawal Liability to such Multiemployer Plan and such entity does not have reasonable grounds for contesting such Withdrawal Liability or is not contesting such Withdrawal Liability in a timely and appropriate manner; and in each case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such event or condition, together with all other such events or conditions, if any, would reasonably be expected to result in a Material Adverse Effect; or</w:t>
      </w:r>
    </w:p>
    <w:p>
      <w:pPr>
        <w:spacing w:after="0" w:line="178"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Guarantee</w:t>
      </w:r>
      <w:r>
        <w:rPr>
          <w:rFonts w:ascii="Arial" w:cs="Arial" w:eastAsia="Arial" w:hAnsi="Arial"/>
          <w:sz w:val="18"/>
          <w:szCs w:val="18"/>
          <w:color w:val="auto"/>
        </w:rPr>
        <w:t>. Any Guarantee provided by any Credit Party or any material provision thereof shall cease to be in full force or effect (other than pursuant to the terms hereof and thereof) or any such Guarantor thereunder or any other Credit Party shall deny or disaffirm in writing any such Guarantor’s obligations under the Guarantee; or</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Pledge Agreement</w:t>
      </w:r>
      <w:r>
        <w:rPr>
          <w:rFonts w:ascii="Arial" w:cs="Arial" w:eastAsia="Arial" w:hAnsi="Arial"/>
          <w:sz w:val="18"/>
          <w:szCs w:val="18"/>
          <w:color w:val="auto"/>
        </w:rPr>
        <w:t>. The Pledge Agreement or any other Security Document pursuant to which the Capital Stock or Stock Equivalents of the Borrower or any Subsidiary is pledged or any material provision thereof shall cease to be in full force or effect (other than pursuant to the terms hereof or thereof, as a result of acts or omissions of the Collateral Agent or any Lender or as a result of the Collateral Agent’s failure to maintain possession of any Capital Stock or Stock Equivalents that have been previously delivered to it) or any pledgor thereunder or any Credit Party shall deny or disaffirm in writing any pledgor’s obligations under any Security Document; or</w:t>
      </w:r>
    </w:p>
    <w:p>
      <w:pPr>
        <w:spacing w:after="0" w:line="188"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auto"/>
        </w:rPr>
        <w:t>Security Agreement</w:t>
      </w:r>
      <w:r>
        <w:rPr>
          <w:rFonts w:ascii="Arial" w:cs="Arial" w:eastAsia="Arial" w:hAnsi="Arial"/>
          <w:sz w:val="16"/>
          <w:szCs w:val="16"/>
          <w:color w:val="auto"/>
        </w:rPr>
        <w:t>. The Security Agreement or any other Security Document pursuant to which the assets of Holdings, the Borrower or any Material Subsidiary are pledged as Collateral or any material provision thereof shall cease to be in full force or effect (other than pursuant to the terms hereof or thereof, as a result of acts or omissions of the Collateral Agent in respect of certificates, promissory notes or instruments actually delivered to it (including as a result of the Collateral Agent’s failure to file a Uniform Commercial Code continuation statement) or any grantor thereunder or any Credit Party shall deny or disaffirm in writing any grantor’s obligations under the Security Agreement or any other Security Document; or</w:t>
      </w:r>
    </w:p>
    <w:p>
      <w:pPr>
        <w:spacing w:after="0" w:line="15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 xml:space="preserve">11.10 </w:t>
      </w:r>
      <w:r>
        <w:rPr>
          <w:rFonts w:ascii="Arial" w:cs="Arial" w:eastAsia="Arial" w:hAnsi="Arial"/>
          <w:sz w:val="17"/>
          <w:szCs w:val="17"/>
          <w:u w:val="single" w:color="auto"/>
          <w:color w:val="auto"/>
        </w:rPr>
        <w:t>Judgments</w:t>
      </w:r>
      <w:r>
        <w:rPr>
          <w:rFonts w:ascii="Arial" w:cs="Arial" w:eastAsia="Arial" w:hAnsi="Arial"/>
          <w:sz w:val="17"/>
          <w:szCs w:val="17"/>
          <w:color w:val="auto"/>
        </w:rPr>
        <w:t>. One or more judgments or decrees shall be entered against Holdings or any of the Restricted Subsidiaries involving a liability in excess of $30,000,000 in the aggregate for all such judgments and decrees for Holdings and the Restricted Subsidiaries (to the extent not covered by insurance or indemnities as to which the applicable insurance company or third party has not denied coverage) and any such judgments or decrees shall not have been satisfied, vacated, discharged or stayed or bonded pending appeal within 60 days after the entry thereof; or</w:t>
      </w:r>
    </w:p>
    <w:p>
      <w:pPr>
        <w:spacing w:after="0" w:line="17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u w:val="single" w:color="auto"/>
          <w:color w:val="auto"/>
        </w:rPr>
        <w:t>Change of Control</w:t>
      </w:r>
      <w:r>
        <w:rPr>
          <w:rFonts w:ascii="Arial" w:cs="Arial" w:eastAsia="Arial" w:hAnsi="Arial"/>
          <w:sz w:val="16"/>
          <w:szCs w:val="16"/>
          <w:color w:val="auto"/>
        </w:rPr>
        <w:t>. A Change of Control shall occur.</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-138-</w:t>
      </w:r>
    </w:p>
    <w:p>
      <w:pPr>
        <w:sectPr>
          <w:pgSz w:w="11900" w:h="16838" w:orient="portrait"/>
          <w:cols w:equalWidth="0" w:num="1">
            <w:col w:w="11420"/>
          </w:cols>
          <w:pgMar w:left="240" w:top="814" w:right="239" w:bottom="1440" w:gutter="0" w:footer="0" w:header="0"/>
        </w:sectPr>
      </w:pPr>
    </w:p>
    <w:bookmarkStart w:id="218" w:name="page219"/>
    <w:bookmarkEnd w:id="218"/>
    <w:p>
      <w:pPr>
        <w:ind w:right="20" w:firstLine="648"/>
        <w:spacing w:after="0" w:line="285" w:lineRule="auto"/>
        <w:rPr>
          <w:sz w:val="20"/>
          <w:szCs w:val="20"/>
          <w:color w:val="auto"/>
        </w:rPr>
      </w:pPr>
      <w:r>
        <w:rPr>
          <w:rFonts w:ascii="Arial" w:cs="Arial" w:eastAsia="Arial" w:hAnsi="Arial"/>
          <w:sz w:val="16"/>
          <w:szCs w:val="16"/>
          <w:color w:val="auto"/>
        </w:rPr>
        <w:t xml:space="preserve">11.12 </w:t>
      </w:r>
      <w:r>
        <w:rPr>
          <w:rFonts w:ascii="Arial" w:cs="Arial" w:eastAsia="Arial" w:hAnsi="Arial"/>
          <w:sz w:val="16"/>
          <w:szCs w:val="16"/>
          <w:u w:val="single" w:color="auto"/>
          <w:color w:val="auto"/>
        </w:rPr>
        <w:t>Remedies Upon Event of Default</w:t>
      </w:r>
      <w:r>
        <w:rPr>
          <w:rFonts w:ascii="Arial" w:cs="Arial" w:eastAsia="Arial" w:hAnsi="Arial"/>
          <w:sz w:val="16"/>
          <w:szCs w:val="16"/>
          <w:color w:val="auto"/>
        </w:rPr>
        <w:t>. If an Event of Default occurs and is continuing, the Administrative Agent shall, upon the written request of the Required Lenders, by written notice to Holdings, take any or all of the following actions, without prejudice to the rights of the Administrative Agent or any Lender to enforce its claims against Holdings and the Borrower, except as otherwise specifically provided for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 Event of Default specified in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shall occur with respect to the Borrower or Holdings, the result that would occur upon the giving of written notice by the Administrative Agent as specified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below shall occur automatically without the giving of any such notice): (i) declare the Total Revolving Credit Commitment and Swingline Commitment terminated, whereupon the Revolving Credit Commitment and Swingline Commitment, if any, of each Lender or the Swingline Lender, as the case may be, shall forthwith terminate immediately and any Fees theretofore accrued shall forthwith become due and payable without any other notice of any kind; (ii) declare the principal of and any accrued interest and fees in respect of all Loans and all Obligations to be, whereupon the same shall become, forthwith due and payable without presentment, demand, protest or other notice of any kind, all of which are hereby waived by the Borrower to the extent permitted by applicable law; (iii) terminate any Letter of Credit that may be terminated in accordance with its terms; and/or (iv) direct the Borrower to pay (and the Borrower agrees that upon receipt of such notice, or upon the occurrence of an Event of Default specified in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with respect to the Borrower, it will pay) to the Administrative Agent at the Administrative Agent’s Office such additional amounts of cash, to be held as security for the Borrower’s respective reimbursement obligations for Drawings that may subsequently occur thereunder, equal to the aggregate Stated Amount of all Letters of Credit issued and then outstanding. In the case of an Event of Default under </w:t>
      </w:r>
      <w:r>
        <w:rPr>
          <w:rFonts w:ascii="Arial" w:cs="Arial" w:eastAsia="Arial" w:hAnsi="Arial"/>
          <w:sz w:val="16"/>
          <w:szCs w:val="16"/>
          <w:u w:val="single" w:color="auto"/>
          <w:color w:val="auto"/>
        </w:rPr>
        <w:t>Section 11.3(a)</w:t>
      </w:r>
      <w:r>
        <w:rPr>
          <w:rFonts w:ascii="Arial" w:cs="Arial" w:eastAsia="Arial" w:hAnsi="Arial"/>
          <w:sz w:val="16"/>
          <w:szCs w:val="16"/>
          <w:color w:val="auto"/>
        </w:rPr>
        <w:t xml:space="preserve"> in respect of a failure to observe or perform the covenant under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the actions described above will be permitted to occur only following the expiration of the ability to effectuate the Cure Right if such Cure Right has not been so exercised; and the Borrower shall not be permitted to borrow Revolving Credit Loans and Letters of Credit shall not be issued or renewed unless and until the Cure Right is made on or prior to the expiration of the 10th Business Day following the date financial statements referred to in </w:t>
      </w:r>
      <w:r>
        <w:rPr>
          <w:rFonts w:ascii="Arial" w:cs="Arial" w:eastAsia="Arial" w:hAnsi="Arial"/>
          <w:sz w:val="16"/>
          <w:szCs w:val="16"/>
          <w:u w:val="single" w:color="auto"/>
          <w:color w:val="auto"/>
        </w:rPr>
        <w:t>Sections 9.1(a)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are required to be delivered in respect of such fiscal period.</w:t>
      </w:r>
    </w:p>
    <w:p>
      <w:pPr>
        <w:spacing w:after="0" w:line="173"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 xml:space="preserve">11.13 </w:t>
      </w:r>
      <w:r>
        <w:rPr>
          <w:rFonts w:ascii="Arial" w:cs="Arial" w:eastAsia="Arial" w:hAnsi="Arial"/>
          <w:sz w:val="16"/>
          <w:szCs w:val="16"/>
          <w:u w:val="single" w:color="auto"/>
          <w:color w:val="auto"/>
        </w:rPr>
        <w:t>Application of Proceeds</w:t>
      </w:r>
      <w:r>
        <w:rPr>
          <w:rFonts w:ascii="Arial" w:cs="Arial" w:eastAsia="Arial" w:hAnsi="Arial"/>
          <w:sz w:val="16"/>
          <w:szCs w:val="16"/>
          <w:color w:val="auto"/>
        </w:rPr>
        <w:t xml:space="preserve">. Subject to the terms of the First Lien Intercreditor Agreement and the Second Lien Intercreditor Agreement, in each case, if executed, any amount received by the Administrative Agent or the Collateral Agent from any Credit Party (or from proceeds of any Collateral) following any acceleration of the Obligations under this Agreement or any Event of Default with respect to the Borrower under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shall be applied:</w:t>
      </w:r>
    </w:p>
    <w:p>
      <w:pPr>
        <w:spacing w:after="0" w:line="160" w:lineRule="exact"/>
        <w:rPr>
          <w:sz w:val="20"/>
          <w:szCs w:val="20"/>
          <w:color w:val="auto"/>
        </w:rPr>
      </w:pPr>
    </w:p>
    <w:p>
      <w:pPr>
        <w:ind w:left="660" w:right="100" w:firstLine="888"/>
        <w:spacing w:after="0" w:line="265" w:lineRule="auto"/>
        <w:tabs>
          <w:tab w:leader="none" w:pos="1918" w:val="left"/>
        </w:tabs>
        <w:numPr>
          <w:ilvl w:val="0"/>
          <w:numId w:val="193"/>
        </w:numPr>
        <w:rPr>
          <w:rFonts w:ascii="Arial" w:cs="Arial" w:eastAsia="Arial" w:hAnsi="Arial"/>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payment of all reasonable and documented costs and expenses incurred by the Administrative Agent or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Agent in connection with any collection or sale of the Collateral or otherwise in connection with any Credit Document, including all court costs and the reasonable fees and expenses of its agents and legal counsel, the repayment of all advances made by the Administrative Agent or the Collateral Agent hereunder or under any other Credit Document on behalf of any Credit Party and any other reasonable and documented costs or expenses incurred in connection with the exercise of any right or remedy hereunder or under any other Credit Document to the extent reimbursable hereunder or thereunder;</w:t>
      </w:r>
    </w:p>
    <w:p>
      <w:pPr>
        <w:spacing w:after="0" w:line="196" w:lineRule="exact"/>
        <w:rPr>
          <w:rFonts w:ascii="Arial" w:cs="Arial" w:eastAsia="Arial" w:hAnsi="Arial"/>
          <w:sz w:val="20"/>
          <w:szCs w:val="20"/>
          <w:color w:val="auto"/>
        </w:rPr>
      </w:pPr>
    </w:p>
    <w:p>
      <w:pPr>
        <w:ind w:left="660" w:right="80" w:firstLine="888"/>
        <w:spacing w:after="0" w:line="284" w:lineRule="auto"/>
        <w:tabs>
          <w:tab w:leader="none" w:pos="1973" w:val="left"/>
        </w:tabs>
        <w:numPr>
          <w:ilvl w:val="0"/>
          <w:numId w:val="193"/>
        </w:numPr>
        <w:rPr>
          <w:rFonts w:ascii="Arial" w:cs="Arial" w:eastAsia="Arial" w:hAnsi="Arial"/>
          <w:sz w:val="19"/>
          <w:szCs w:val="19"/>
          <w:color w:val="auto"/>
        </w:rPr>
      </w:pPr>
      <w:r>
        <w:rPr>
          <w:rFonts w:ascii="Arial" w:cs="Arial" w:eastAsia="Arial" w:hAnsi="Arial"/>
          <w:sz w:val="17"/>
          <w:szCs w:val="17"/>
          <w:i w:val="1"/>
          <w:iCs w:val="1"/>
          <w:color w:val="auto"/>
        </w:rPr>
        <w:t>second</w:t>
      </w:r>
      <w:r>
        <w:rPr>
          <w:rFonts w:ascii="Arial" w:cs="Arial" w:eastAsia="Arial" w:hAnsi="Arial"/>
          <w:sz w:val="17"/>
          <w:szCs w:val="17"/>
          <w:color w:val="auto"/>
        </w:rPr>
        <w:t>, to the Secured Parties, an amount (x) equal to all Obligations owing to them on the date of any distribution and (y)</w:t>
      </w:r>
      <w:r>
        <w:rPr>
          <w:rFonts w:ascii="Arial" w:cs="Arial" w:eastAsia="Arial" w:hAnsi="Arial"/>
          <w:sz w:val="17"/>
          <w:szCs w:val="17"/>
          <w:i w:val="1"/>
          <w:iCs w:val="1"/>
          <w:color w:val="auto"/>
        </w:rPr>
        <w:t xml:space="preserve"> </w:t>
      </w:r>
      <w:r>
        <w:rPr>
          <w:rFonts w:ascii="Arial" w:cs="Arial" w:eastAsia="Arial" w:hAnsi="Arial"/>
          <w:sz w:val="17"/>
          <w:szCs w:val="17"/>
          <w:color w:val="auto"/>
        </w:rPr>
        <w:t>sufficient to Cash Collateralize all Letters of Credit Outstanding on the date of any distribution, and, if such moneys shall be insufficient to pay such amounts in full and Cash Collateralize all Letters of Credit Outstanding, then ratably (without priority of any one over any other) to such Secured Parties in proportion to the unpaid amounts thereof and to Cash Collateralize the Letters of Credit Outstanding; and</w:t>
      </w:r>
    </w:p>
    <w:p>
      <w:pPr>
        <w:spacing w:after="0" w:line="181" w:lineRule="exact"/>
        <w:rPr>
          <w:rFonts w:ascii="Arial" w:cs="Arial" w:eastAsia="Arial" w:hAnsi="Arial"/>
          <w:sz w:val="19"/>
          <w:szCs w:val="19"/>
          <w:color w:val="auto"/>
        </w:rPr>
      </w:pPr>
    </w:p>
    <w:p>
      <w:pPr>
        <w:ind w:left="660" w:right="300" w:firstLine="888"/>
        <w:spacing w:after="0" w:line="266" w:lineRule="auto"/>
        <w:tabs>
          <w:tab w:leader="none" w:pos="2028" w:val="left"/>
        </w:tabs>
        <w:numPr>
          <w:ilvl w:val="0"/>
          <w:numId w:val="193"/>
        </w:numPr>
        <w:rPr>
          <w:rFonts w:ascii="Arial" w:cs="Arial" w:eastAsia="Arial" w:hAnsi="Arial"/>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any surplus then remaining shall be paid to the applicable Credit Parties or their successors or assigns or to whomsoever</w:t>
      </w:r>
      <w:r>
        <w:rPr>
          <w:rFonts w:ascii="Arial" w:cs="Arial" w:eastAsia="Arial" w:hAnsi="Arial"/>
          <w:sz w:val="18"/>
          <w:szCs w:val="18"/>
          <w:i w:val="1"/>
          <w:iCs w:val="1"/>
          <w:color w:val="auto"/>
        </w:rPr>
        <w:t xml:space="preserve"> </w:t>
      </w:r>
      <w:r>
        <w:rPr>
          <w:rFonts w:ascii="Arial" w:cs="Arial" w:eastAsia="Arial" w:hAnsi="Arial"/>
          <w:sz w:val="18"/>
          <w:szCs w:val="18"/>
          <w:color w:val="auto"/>
        </w:rPr>
        <w:t>may be lawfully entitled to receive the same or as a court of competent jurisdiction may direct;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-139-</w:t>
      </w:r>
    </w:p>
    <w:p>
      <w:pPr>
        <w:sectPr>
          <w:pgSz w:w="11900" w:h="16838" w:orient="portrait"/>
          <w:cols w:equalWidth="0" w:num="1">
            <w:col w:w="11420"/>
          </w:cols>
          <w:pgMar w:left="240" w:top="814" w:right="239" w:bottom="1440" w:gutter="0" w:footer="0" w:header="0"/>
        </w:sectPr>
      </w:pPr>
    </w:p>
    <w:bookmarkStart w:id="219" w:name="page220"/>
    <w:bookmarkEnd w:id="219"/>
    <w:p>
      <w:pPr>
        <w:spacing w:after="0" w:line="27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amount applied to Cash Collateralize any Letters of Credit Outstanding that has not been applied to reimburse the Borrower for Unpaid Drawings under the applicable Letters of Credit at the time of expiration of all such Letters of Credit shall be applied by the Administrative Agent in the order specified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above. Notwithstanding the foregoing, amounts received from any Guarantor that is not an “Eligible Contract Participant” (as defined in the Commodity Exchange Act) shall not be applied to its Obligations that are Excluded Swap Obligations.</w:t>
      </w:r>
    </w:p>
    <w:p>
      <w:pPr>
        <w:spacing w:after="0" w:line="171"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u w:val="single" w:color="auto"/>
          <w:color w:val="auto"/>
        </w:rPr>
        <w:t>Equity Cure</w:t>
      </w:r>
      <w:r>
        <w:rPr>
          <w:rFonts w:ascii="Arial" w:cs="Arial" w:eastAsia="Arial" w:hAnsi="Arial"/>
          <w:sz w:val="18"/>
          <w:szCs w:val="18"/>
          <w:color w:val="auto"/>
        </w:rPr>
        <w:t xml:space="preserve">. Notwithstanding anything to the contrary contained in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in the event that Holdings fails to comply with the requirement of the financial covenant set forth in </w:t>
      </w:r>
      <w:r>
        <w:rPr>
          <w:rFonts w:ascii="Arial" w:cs="Arial" w:eastAsia="Arial" w:hAnsi="Arial"/>
          <w:sz w:val="18"/>
          <w:szCs w:val="18"/>
          <w:u w:val="single" w:color="auto"/>
          <w:color w:val="auto"/>
        </w:rPr>
        <w:t>Section 10.7</w:t>
      </w:r>
      <w:r>
        <w:rPr>
          <w:rFonts w:ascii="Arial" w:cs="Arial" w:eastAsia="Arial" w:hAnsi="Arial"/>
          <w:sz w:val="18"/>
          <w:szCs w:val="18"/>
          <w:color w:val="auto"/>
        </w:rPr>
        <w:t>, from the end of any fiscal period until the expiration of the 10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Business Day following the date financial statements referred to in </w:t>
      </w:r>
      <w:r>
        <w:rPr>
          <w:rFonts w:ascii="Arial" w:cs="Arial" w:eastAsia="Arial" w:hAnsi="Arial"/>
          <w:sz w:val="18"/>
          <w:szCs w:val="18"/>
          <w:u w:val="single" w:color="auto"/>
          <w:color w:val="auto"/>
        </w:rPr>
        <w:t>Sections 9.1(a)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are required to be delivered in respect of such fiscal period for which such financial covenant is being measured, any holder of Capital Stock or Stock Equivalents of Holdings or any direct or indirect parent of Holdings shall have the right to cure such failure (the “</w:t>
      </w:r>
      <w:r>
        <w:rPr>
          <w:rFonts w:ascii="Arial" w:cs="Arial" w:eastAsia="Arial" w:hAnsi="Arial"/>
          <w:sz w:val="18"/>
          <w:szCs w:val="18"/>
          <w:b w:val="1"/>
          <w:bCs w:val="1"/>
          <w:color w:val="auto"/>
        </w:rPr>
        <w:t>Cure Right</w:t>
      </w:r>
      <w:r>
        <w:rPr>
          <w:rFonts w:ascii="Arial" w:cs="Arial" w:eastAsia="Arial" w:hAnsi="Arial"/>
          <w:sz w:val="18"/>
          <w:szCs w:val="18"/>
          <w:color w:val="auto"/>
        </w:rPr>
        <w:t>”) by causing cash net equity proceeds derived from an issuance of Capital Stock or Stock Equivalents (other than Disqualified Stock, unless reasonably satisfactory to the Administrative Agent) by Holdings (or from a contribution to the common equity capital of Holdings) to be contributed, directly or indirectly, as cash common equity to the Borrower, and upon receipt by the Borrower of such cash contribution (such cash amount being referred to as the “</w:t>
      </w:r>
      <w:r>
        <w:rPr>
          <w:rFonts w:ascii="Arial" w:cs="Arial" w:eastAsia="Arial" w:hAnsi="Arial"/>
          <w:sz w:val="18"/>
          <w:szCs w:val="18"/>
          <w:b w:val="1"/>
          <w:bCs w:val="1"/>
          <w:color w:val="auto"/>
        </w:rPr>
        <w:t>Cure Amount</w:t>
      </w:r>
      <w:r>
        <w:rPr>
          <w:rFonts w:ascii="Arial" w:cs="Arial" w:eastAsia="Arial" w:hAnsi="Arial"/>
          <w:sz w:val="18"/>
          <w:szCs w:val="18"/>
          <w:color w:val="auto"/>
        </w:rPr>
        <w:t>”) pursuant to the exercise of such Cure Right, such applicable financial covenant shall be recalculated giving effect to the following pro forma adjustments:</w:t>
      </w:r>
    </w:p>
    <w:p>
      <w:pPr>
        <w:spacing w:after="0" w:line="201" w:lineRule="exact"/>
        <w:rPr>
          <w:sz w:val="20"/>
          <w:szCs w:val="20"/>
          <w:color w:val="auto"/>
        </w:rPr>
      </w:pPr>
    </w:p>
    <w:p>
      <w:pPr>
        <w:jc w:val="both"/>
        <w:ind w:left="660" w:right="140" w:firstLine="645"/>
        <w:spacing w:after="0" w:line="259" w:lineRule="auto"/>
        <w:tabs>
          <w:tab w:leader="none" w:pos="168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Consolidated EBITDA shall be increased, solely for the purpose of determining the existence of an Event of Default resulting from a breach of the financial covenants set forth in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as applicable, with respect to any period of four consecutive fiscal quarters that includes the fiscal quarter for which the Cure Right was exercised and not for any other purpose under this Agreement, by an amount equal to the Cure Amount;</w:t>
      </w:r>
    </w:p>
    <w:p>
      <w:pPr>
        <w:spacing w:after="0" w:line="186" w:lineRule="exact"/>
        <w:rPr>
          <w:rFonts w:ascii="Arial" w:cs="Arial" w:eastAsia="Arial" w:hAnsi="Arial"/>
          <w:sz w:val="18"/>
          <w:szCs w:val="18"/>
          <w:color w:val="auto"/>
        </w:rPr>
      </w:pPr>
    </w:p>
    <w:p>
      <w:pPr>
        <w:ind w:left="660" w:right="80" w:firstLine="645"/>
        <w:spacing w:after="0" w:line="277" w:lineRule="auto"/>
        <w:tabs>
          <w:tab w:leader="none" w:pos="169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Consolidated Total Debt shall be decreased solely to the extent proceeds of the Cure Amount are actually applied to prepay any of the Credit Facilities; and</w:t>
      </w:r>
    </w:p>
    <w:p>
      <w:pPr>
        <w:spacing w:after="0" w:line="170" w:lineRule="exact"/>
        <w:rPr>
          <w:rFonts w:ascii="Arial" w:cs="Arial" w:eastAsia="Arial" w:hAnsi="Arial"/>
          <w:sz w:val="18"/>
          <w:szCs w:val="18"/>
          <w:color w:val="auto"/>
        </w:rPr>
      </w:pPr>
    </w:p>
    <w:p>
      <w:pPr>
        <w:ind w:left="660" w:firstLine="645"/>
        <w:spacing w:after="0" w:line="271" w:lineRule="auto"/>
        <w:tabs>
          <w:tab w:leader="none" w:pos="1688"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xml:space="preserve">if, after giving effect to the foregoing recalculations, Holdings shall then be in compliance with the requirements of the financial covenants set forth in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Holdings shall be deemed to have satisfied the requirements of such applicable financial covenant as of the relevant date of determination with the same effect as though there had been no failure to comply therewith at such date, and the applicable breach or default of such financial covenants that had occurred shall be deemed cured for the purposes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 each period of four consecutive fiscal quarters there shall be at least two fiscal quarters in which no Cure Right is made, (ii) there shall be a maximum of five Cure Rights made during the term of this Agreement, (iii) each Cure Amount shall be no greater than the amount required to cause the Borrower to be in compliance with the applicable financial covenant; and (iv) all Cure Amounts shall be disregarded for the purposes of any financial ratio determination under the Credit Documents other than for determining compliance with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as applicable.</w:t>
      </w:r>
    </w:p>
    <w:p>
      <w:pPr>
        <w:spacing w:after="0" w:line="17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color w:val="auto"/>
        </w:rPr>
        <w:t>The Agents</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u w:val="single" w:color="auto"/>
          <w:color w:val="auto"/>
        </w:rPr>
        <w:t>Appointment</w:t>
      </w:r>
      <w:r>
        <w:rPr>
          <w:rFonts w:ascii="Arial" w:cs="Arial" w:eastAsia="Arial" w:hAnsi="Arial"/>
          <w:sz w:val="16"/>
          <w:szCs w:val="16"/>
          <w:color w:val="auto"/>
        </w:rPr>
        <w:t>.</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-140-</w:t>
      </w:r>
    </w:p>
    <w:p>
      <w:pPr>
        <w:sectPr>
          <w:pgSz w:w="11900" w:h="16838" w:orient="portrait"/>
          <w:cols w:equalWidth="0" w:num="1">
            <w:col w:w="11400"/>
          </w:cols>
          <w:pgMar w:left="240" w:top="814" w:right="259" w:bottom="1440" w:gutter="0" w:footer="0" w:header="0"/>
        </w:sectPr>
      </w:pPr>
    </w:p>
    <w:bookmarkStart w:id="220" w:name="page221"/>
    <w:bookmarkEnd w:id="220"/>
    <w:p>
      <w:pPr>
        <w:ind w:right="20" w:firstLine="656"/>
        <w:spacing w:after="0" w:line="269" w:lineRule="auto"/>
        <w:tabs>
          <w:tab w:leader="none" w:pos="1028"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Each Lender hereby irrevocably designates and appoints the Administrative Agent as the agent of such Lender under this Agreement and the other Credit Documents and irrevocably authorizes the Administrative Agent, in such capacity, to take such action on its behalf under the provisions of this Agreement and the other Credit Documents and to exercise such powers and perform such duties as are expressly delegated to the Administrative Agent by the terms of this Agreement and the other Credit Documents, together with such other powers as are reasonably incidental thereto. The provisions of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12.1(c)</w:t>
      </w:r>
      <w:r>
        <w:rPr>
          <w:rFonts w:ascii="Arial" w:cs="Arial" w:eastAsia="Arial" w:hAnsi="Arial"/>
          <w:sz w:val="17"/>
          <w:szCs w:val="17"/>
          <w:color w:val="auto"/>
        </w:rPr>
        <w:t xml:space="preserve"> with respect to the Syndication Agents, the Documentation Agents, the Joint Lead Arrangers and Bookrunners and </w:t>
      </w:r>
      <w:r>
        <w:rPr>
          <w:rFonts w:ascii="Arial" w:cs="Arial" w:eastAsia="Arial" w:hAnsi="Arial"/>
          <w:sz w:val="17"/>
          <w:szCs w:val="17"/>
          <w:u w:val="single" w:color="auto"/>
          <w:color w:val="auto"/>
        </w:rPr>
        <w:t>Sections 12.1</w:t>
      </w:r>
      <w:r>
        <w:rPr>
          <w:rFonts w:ascii="Arial" w:cs="Arial" w:eastAsia="Arial" w:hAnsi="Arial"/>
          <w:sz w:val="17"/>
          <w:szCs w:val="17"/>
          <w:color w:val="auto"/>
        </w:rPr>
        <w:t xml:space="preserve">, </w:t>
      </w:r>
      <w:r>
        <w:rPr>
          <w:rFonts w:ascii="Arial" w:cs="Arial" w:eastAsia="Arial" w:hAnsi="Arial"/>
          <w:sz w:val="17"/>
          <w:szCs w:val="17"/>
          <w:u w:val="single" w:color="auto"/>
          <w:color w:val="auto"/>
        </w:rPr>
        <w:t>12.9</w:t>
      </w:r>
      <w:r>
        <w:rPr>
          <w:rFonts w:ascii="Arial" w:cs="Arial" w:eastAsia="Arial" w:hAnsi="Arial"/>
          <w:sz w:val="17"/>
          <w:szCs w:val="17"/>
          <w:color w:val="auto"/>
        </w:rPr>
        <w:t xml:space="preserve">, </w:t>
      </w:r>
      <w:r>
        <w:rPr>
          <w:rFonts w:ascii="Arial" w:cs="Arial" w:eastAsia="Arial" w:hAnsi="Arial"/>
          <w:sz w:val="17"/>
          <w:szCs w:val="17"/>
          <w:u w:val="single" w:color="auto"/>
          <w:color w:val="auto"/>
        </w:rPr>
        <w:t>12.11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12.12</w:t>
      </w:r>
      <w:r>
        <w:rPr>
          <w:rFonts w:ascii="Arial" w:cs="Arial" w:eastAsia="Arial" w:hAnsi="Arial"/>
          <w:sz w:val="17"/>
          <w:szCs w:val="17"/>
          <w:color w:val="auto"/>
        </w:rPr>
        <w:t xml:space="preserve"> with respect to Holdings) are solely for the benefit of the Agents and the Lenders, none of Holdings, the Borrower or any other Credit Party shall have rights as third party beneficiary of any such provision.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Credit Document or otherwise exist against the Administrative Agent. In performing its functions and duties hereunder, each Agent shall act solely as an agent of Lenders and does not assume and shall not be deemed to have assumed any obligation towards or relationship of agency or trust with or for Holdings, the Borrower or any of their respective Subsidiaries.</w:t>
      </w:r>
    </w:p>
    <w:p>
      <w:pPr>
        <w:spacing w:after="0" w:line="179" w:lineRule="exact"/>
        <w:rPr>
          <w:rFonts w:ascii="Arial" w:cs="Arial" w:eastAsia="Arial" w:hAnsi="Arial"/>
          <w:sz w:val="17"/>
          <w:szCs w:val="17"/>
          <w:color w:val="auto"/>
        </w:rPr>
      </w:pPr>
    </w:p>
    <w:p>
      <w:pPr>
        <w:ind w:firstLine="656"/>
        <w:spacing w:after="0" w:line="290" w:lineRule="auto"/>
        <w:tabs>
          <w:tab w:leader="none" w:pos="1035"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Administrative Agent, each Lender, the Swingline Lender and the Letter of Credit Issuer hereby irrevocably designate and appoint the Collateral Agent as the agent with respect to the Collateral, and each of the Administrative Agent, each Lender, the Swingline Lender and the Letter of Credit Issuer irrevocably authorizes the Collateral Agent, in such capacity, to take such action on its behalf under the provisions of this Agreement and the other Credit Documents and to exercise such powers and perform such duties as are expressly delegated to the Collateral Agent by the terms of this Agreement and the other Credit Documents, together with such other powers as are reasonably incidental thereto. Notwithstanding any provision to the contrary elsewhere in this Agreement, the Collateral Agent shall not have any duties or responsibilities except those expressly set forth herein, or any fiduciary relationship with any of the Administrative Agent, the Lenders, the Swingline Lender or the Letter of Credit Issuers, and no implied covenants, functions, responsibilities, duties, obligations or liabilities shall be read into this Agreement or any other Credit Document or otherwise exist against the Collateral Agent.</w:t>
      </w:r>
    </w:p>
    <w:p>
      <w:pPr>
        <w:spacing w:after="0" w:line="166" w:lineRule="exact"/>
        <w:rPr>
          <w:rFonts w:ascii="Arial" w:cs="Arial" w:eastAsia="Arial" w:hAnsi="Arial"/>
          <w:sz w:val="16"/>
          <w:szCs w:val="16"/>
          <w:color w:val="auto"/>
        </w:rPr>
      </w:pPr>
    </w:p>
    <w:p>
      <w:pPr>
        <w:ind w:right="220" w:firstLine="656"/>
        <w:spacing w:after="0" w:line="277" w:lineRule="auto"/>
        <w:tabs>
          <w:tab w:leader="none" w:pos="102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Each of the Syndication Agent, Documentation Agent, Joint Lead Arrangers and Bookrunners each in its capacity as such, shall not have any obligations, duties or responsibilities under this Agreement but shall be entitled to all benefits of this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and the Collateral Agent may each execute any of its duties under this Agreement and the other Credit Documents by or through agents, sub-agents, employees or attorneys-in-fact and shall be entitled to advice of counsel concerning all matters pertaining to such duties. Neither the Administrative Agent nor the Collateral Agent shall be responsible for the negligence or misconduct of any agents, subagents or attorneys-in-fact selected by it in the absence of its gross negligence or willful misconduct (as determined in the final non-appealable judgment of a court of competent jurisdiction).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-141-</w:t>
      </w:r>
    </w:p>
    <w:p>
      <w:pPr>
        <w:sectPr>
          <w:pgSz w:w="11900" w:h="16838" w:orient="portrait"/>
          <w:cols w:equalWidth="0" w:num="1">
            <w:col w:w="11420"/>
          </w:cols>
          <w:pgMar w:left="240" w:top="814" w:right="239" w:bottom="1440" w:gutter="0" w:footer="0" w:header="0"/>
        </w:sectPr>
      </w:pPr>
    </w:p>
    <w:bookmarkStart w:id="221" w:name="page222"/>
    <w:bookmarkEnd w:id="221"/>
    <w:p>
      <w:pPr>
        <w:ind w:firstLine="648"/>
        <w:spacing w:after="0" w:line="284"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xml:space="preserve">. No Agent nor any of its officers, directors, employees, agents, attorneys-in-fact or Affiliates shall be (a) liable for any action lawfully taken or omitted to be taken by any of them under or in connection with this Agreement or any other Credit Document (except for its or such Person’s own gross negligence or willful misconduct, as determined in the final non-appealable judgment of a court of competent jurisdiction, in connection with its duties expressly set forth herein) or (b) responsible in any manner to any of the Lenders or any participant for any recitals, statements, representations or warranties made by any Credit Party or any officer thereof contained in this Agreement or any other Credit Document or in any certificate, report, statement or other document referred to or provided for in, or received by such Agent under or in connection with, this Agreement or any other Credit Document or for the value, validity, effectiveness, genuineness, enforceability or sufficiency of this Agreement or any other Credit Document, or the creation, perfection or priority of any Lien or security interest created or purported to be created under the Security Documents, the value or sufficiency of the Collateral, or for any failure of any Credit Party to perform its obligations hereunder or thereunder. No Agent shall be under any obligation to any Lender to ascertain or to inquire as to the observance or performance of any of the agreements contained in, or conditions of, this Agreement or any other Credit Document, or to inspect the properties, books or records of any Credit Party or any Affiliate thereof. The Collateral Agent shall not be under any obligation to the Administrative Agent or any Lender to ascertain or to inquire as to the observance or performance of any of the agreements contained in, or conditions of, this Agreement or any other Credit Document, or to inspect the properties, books or records of any Credit Party. Without limiting the generality of the foregoing, (a) no Agent shall have any duty to take any discretionary action or exercise any discretionary powers, except discretionary rights and powers expressly contemplated hereby that such Agent is instructed in writing to exercise by the Required Lenders (or such other number or percentage of the Lenders as shall be necessary under the circumstances as provided in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Agent shall be required to take any action that, in its opinion or the opinion of its counsel, may expose such Agent to liability or that is contrary to any Credit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(b) except as expressly set forth in the Credit Documents, no Agent shall have any duty to disclose, nor shall it be liable for the failure to disclose, any information relating to Holdings, the Borrower or any of the other Subsidiaries that is communicated to or obtained by the bank serving as Administrative Agent and/or Collateral Agent or any of its Affiliates in any capacity. The Administrative Agent shall not be responsible or have any liability for, or have any duty to ascertain, inquire into, monitor or enforce, compliance with the provisions of this Agreement relating to Disqualified Lenders. Without limiting the generality of the foregoing, the Administrative Agent shall not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-142-</w:t>
      </w:r>
    </w:p>
    <w:p>
      <w:pPr>
        <w:sectPr>
          <w:pgSz w:w="11900" w:h="16838" w:orient="portrait"/>
          <w:cols w:equalWidth="0" w:num="1">
            <w:col w:w="11400"/>
          </w:cols>
          <w:pgMar w:left="240" w:top="814" w:right="259" w:bottom="1440" w:gutter="0" w:footer="0" w:header="0"/>
        </w:sectPr>
      </w:pPr>
    </w:p>
    <w:bookmarkStart w:id="222" w:name="page223"/>
    <w:bookmarkEnd w:id="222"/>
    <w:p>
      <w:pPr>
        <w:ind w:firstLine="648"/>
        <w:spacing w:after="0" w:line="267"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u w:val="single" w:color="auto"/>
          <w:color w:val="auto"/>
        </w:rPr>
        <w:t>Reliance by Agents</w:t>
      </w:r>
      <w:r>
        <w:rPr>
          <w:rFonts w:ascii="Arial" w:cs="Arial" w:eastAsia="Arial" w:hAnsi="Arial"/>
          <w:sz w:val="17"/>
          <w:szCs w:val="17"/>
          <w:color w:val="auto"/>
        </w:rPr>
        <w:t xml:space="preserve">. The Administrative Agent and the Collateral Agent shall be entitled to rely, and shall be fully protected in relying, upon any writing, resolution, notice, consent, certificate, affidavit, letter, telecopy, telex or teletype message, statement, order or other document or instruction believed by it to be genuine and correct and to have been signed, sent or made by the proper Person or Persons and upon advice and statements of legal counsel (including counsel to Holdings and the Borrower), independent accountants and other experts selected by the Administrative Agent or the Collateral Agent. The Administrative Agent may deem and treat the Lender specified in the Register with respect to any amount owing hereunder as the owner thereof for all purposes unless a written notice of assignment, negotiation or transfer thereof shall have been filed with the Administrative Agent. The Administrative Agent and the Collateral Agent shall be fully justified in failing or refusing to take any action under this Agreement or any other Credit Document unless it shall first receive such advice or concurrence of the Required Lenders as it deems appropriate or it shall first be indemnified to its satisfaction by the Lenders against any and all liability and expense that may be incurred by it by reason of taking or continuing to take any such action. In determining compliance with any condition hereunder to the making of a Loan, or the issuance, extension, renewal or increase of a Letter of Credit, that by its terms must be fulfilled to the satisfaction of a Lender or a Letter of Credit Issuer, the Administrative Agent may presume that such condition is satisfactory to such Lender or such Letter of Credit Issuer unless the Administrative Agent shall have received notice to the contrary from such Lender or such Letter of Credit Issuer prior to the making of such Loan or the issuance of such Letter of Credit. The Administrative Agent and the Collateral Agent shall in all cases be fully protected in acting, or in refraining from acting, under this Agreement and the other Credit Documents in accordance with a request of the Required Lenders, and such request and any action taken or failure to act pursuant thereto shall be binding upon all the Lenders and all future holders of the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and the Collateral Agent shall not be required to take any action that, in its opinion or in the opinion of its counsel, may expose it to liability or that is contrary to any Credit Document or applicable law.</w:t>
      </w:r>
    </w:p>
    <w:p>
      <w:pPr>
        <w:spacing w:after="0" w:line="19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Notice of Default</w:t>
      </w:r>
      <w:r>
        <w:rPr>
          <w:rFonts w:ascii="Arial" w:cs="Arial" w:eastAsia="Arial" w:hAnsi="Arial"/>
          <w:sz w:val="16"/>
          <w:szCs w:val="16"/>
          <w:color w:val="auto"/>
        </w:rPr>
        <w:t xml:space="preserve">. Neither the Administrative Agent nor the Collateral Agent shall be deemed to have knowledge or notice of the occurrence of any Default or Event of Default hereunder unless the Administrative Agent or the Collateral Agent has received written notice from a Lender or Holdings or the Borrower referring to this Agreement, describing such Default or Event of Default and stating that such notice is a “notice of default.” In the event that the Administrative Agent receives such a notice, it shall give notice thereof to the Lenders and the Collateral Agent. The Administrative Agent shall take such action with respect to such Default or Event of Default as shall be reasonably directed by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 except to the extent that this Agreement requires that such action be taken only with the approval of the Required Lenders or each of the Lenders, as applicable.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-143-</w:t>
      </w:r>
    </w:p>
    <w:p>
      <w:pPr>
        <w:sectPr>
          <w:pgSz w:w="11900" w:h="16838" w:orient="portrait"/>
          <w:cols w:equalWidth="0" w:num="1">
            <w:col w:w="11420"/>
          </w:cols>
          <w:pgMar w:left="240" w:top="814" w:right="239" w:bottom="1440" w:gutter="0" w:footer="0" w:header="0"/>
        </w:sectPr>
      </w:pPr>
    </w:p>
    <w:bookmarkStart w:id="223" w:name="page224"/>
    <w:bookmarkEnd w:id="223"/>
    <w:p>
      <w:pPr>
        <w:ind w:firstLine="648"/>
        <w:spacing w:after="0" w:line="285"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Non-Reliance on Administrative Agent, Collateral Agent, and Other Lenders</w:t>
      </w:r>
      <w:r>
        <w:rPr>
          <w:rFonts w:ascii="Arial" w:cs="Arial" w:eastAsia="Arial" w:hAnsi="Arial"/>
          <w:sz w:val="16"/>
          <w:szCs w:val="16"/>
          <w:color w:val="auto"/>
        </w:rPr>
        <w:t>. Each Lender expressly acknowledges that neither the Administrative Agent nor the Collateral Agent nor any of their respective officers, directors, employees, agents, attorneys-in-fact or Affiliates has made any representations or warranties to it and that no act by the Administrative Agent or the Collateral Agent hereinafter taken, including any review of the affairs of any Credit Party, shall be deemed to constitute any representation or warranty by the Administrative Agent or the Collateral Agent to any Lender, the Swingline Lender or any Letter of Credit Issuer. Each Lender, the Swingline Lender and the Letter of Credit Issuer represents to the Administrative Agent and the Collateral Agent that it has, independently and without reliance upon the Administrative Agent, the Collateral Agent or any other Lender, and based on such documents and information as it has deemed appropriate, made its own appraisal of and investigation into the business, operations, property, financial and other condition and creditworthiness of the Borrower and each other Credit Party and made its own decision to make its Loans hereunder and enter into this Agreement. Each Lender also represents that it will, independently and without reliance upon the Administrative Agent, the Collateral Agent or any other Lender, and based on such documents and information as it shall deem appropriate at the time, continue to make its own credit analysis, appraisals and decisions in taking or not taking action under this Agreement and the other Credit Documents, and to make such investigation as it deems necessary to inform itself as to the business, operations, property, financial and other condition and creditworthiness of any of the Credit Parties. Except for notices, reports, and other documents expressly required to be furnished to the Lenders by the Administrative Agent hereunder, neither the Administrative Agent nor the Collateral Agent shall have any duty or responsibility to provide any Lender with any credit or other information concerning the business, assets, operations, properties, financial condition, prospects or creditworthiness of any Credit Party that may come into the possession of the Administrative Agent or the Collateral Agent any of their respective officers, directors, employees, agents, attorneys-in-fact or Affiliates.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-144-</w:t>
      </w:r>
    </w:p>
    <w:p>
      <w:pPr>
        <w:sectPr>
          <w:pgSz w:w="11900" w:h="16838" w:orient="portrait"/>
          <w:cols w:equalWidth="0" w:num="1">
            <w:col w:w="11400"/>
          </w:cols>
          <w:pgMar w:left="240" w:top="814" w:right="259" w:bottom="1440" w:gutter="0" w:footer="0" w:header="0"/>
        </w:sectPr>
      </w:pPr>
    </w:p>
    <w:bookmarkStart w:id="224" w:name="page225"/>
    <w:bookmarkEnd w:id="224"/>
    <w:p>
      <w:pPr>
        <w:ind w:right="20" w:firstLine="648"/>
        <w:spacing w:after="0" w:line="284"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The Lenders agree to severally indemnify each Agent in its capacity as such (to the extent not reimbursed by the Credit Parties and without limiting the obligation of the Credit Parties to do so), ratably according to their respective portions of the Total Credit Exposure in effect on the date on which indemnification is sought (or, if indemnification is sought after the date upon which the Commitments shall have terminated and the Loans shall have been paid in full, ratably in accordance with their respective portions of the Total Credit Exposure in effect immediately prior to such date), from and against any and all liabilities, obligations, losses, damages, penalties, actions, judgments, suits, costs, expenses, or disbursements of any kind whatsoever that may at any time (including at any time following the payment of the Loans) be imposed on, incurred by or asserted against an Agent in any way relating to or arising out of the Commitments, this Agreement, any of the other Credit Documents or any documents contemplated by or referred to herein or therein or the transactions contemplated hereby or thereby or any action taken or omitted by the Administrative Agent or the Collateral Agent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to an Agent for the payment of any portion of such liabilities, obligations, losses, damages, penalties, actions, judgments, suits, costs, expenses or disbursements resulting from such Agent’s gross negligence or willful misconduct as determined by a final non-appealable judgment of a court of competent jurisdiction; provided, further, that no action taken by the Administrative Agent in accordance with the directions of the Required Lenders (or such other number or percentage of the Lenders as shall be required by the Credit Documents) shall be deemed to constitute gross negligence or willful misconduct for purposes of this </w:t>
      </w:r>
      <w:r>
        <w:rPr>
          <w:rFonts w:ascii="Arial" w:cs="Arial" w:eastAsia="Arial" w:hAnsi="Arial"/>
          <w:sz w:val="16"/>
          <w:szCs w:val="16"/>
          <w:u w:val="single" w:color="auto"/>
          <w:color w:val="auto"/>
        </w:rPr>
        <w:t>Section 12.7</w:t>
      </w:r>
      <w:r>
        <w:rPr>
          <w:rFonts w:ascii="Arial" w:cs="Arial" w:eastAsia="Arial" w:hAnsi="Arial"/>
          <w:sz w:val="16"/>
          <w:szCs w:val="16"/>
          <w:color w:val="auto"/>
        </w:rPr>
        <w:t xml:space="preserve">. In the case of any investigation, litigation or proceeding giving rise to any liabilities, obligations, losses, damages, penalties, actions, judgments, suits, costs, expenses or disbursements of any kind whatsoever that may at any time occur (including at any time following the payment of the Loans), this </w:t>
      </w:r>
      <w:r>
        <w:rPr>
          <w:rFonts w:ascii="Arial" w:cs="Arial" w:eastAsia="Arial" w:hAnsi="Arial"/>
          <w:sz w:val="16"/>
          <w:szCs w:val="16"/>
          <w:u w:val="single" w:color="auto"/>
          <w:color w:val="auto"/>
        </w:rPr>
        <w:t>Section 12.7</w:t>
      </w:r>
      <w:r>
        <w:rPr>
          <w:rFonts w:ascii="Arial" w:cs="Arial" w:eastAsia="Arial" w:hAnsi="Arial"/>
          <w:sz w:val="16"/>
          <w:szCs w:val="16"/>
          <w:color w:val="auto"/>
        </w:rPr>
        <w:t xml:space="preserve"> applies whether any such investigation, litigation or proceeding is brought by any Lender or any other Person. Without limitation of the foregoing, each Lender shall reimburse each Agent upon demand for its ratable share of any costs or out-of-pocket expenses (including attorneys’ fees) incurred by such Agent in connection with the preparation, execution, delivery, administration, modification, amendment or enforcement (whether through negotiations, legal proceedings or otherwise) of, or legal advice rendered in respect of rights or responsibilities under, this Agreement, any other Credit Document, or any document contemplated by or referred to herein, to the extent that such Agent is not reimbursed for such expenses by or on behalf of Holdings or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reimbursement by the Lenders shall not affect Holdings’ or the Borrower’s continuing reimbursement obligations with respect thereto. If any indemnity furnished to any Agent for any purpose shall, in the opinion of such Agent, be insufficient or become impaired, such Agent may call for additional indemnity and cease, or not commence, to do the acts indemnified against until such additional indemnity is furnished; provided, in no event shall this sentence require any Lender to indemnify any Agent against any liability, obligation, loss, damage, penalty, action, judgment, suit, cost, expense or disbursement in excess of such Lender’s pro rata portion thereof;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this sentence shall not be deemed to require any Lender to indemnify any Agent against any liability, obligation, loss, damage, penalty, action, judgment, suit, cost, expense or disbursement resulting from such Agent’s gross negligence or willful misconduct as determined by a final non-appealable judgment of a court of competent jurisdiction. The agreements in this </w:t>
      </w:r>
      <w:r>
        <w:rPr>
          <w:rFonts w:ascii="Arial" w:cs="Arial" w:eastAsia="Arial" w:hAnsi="Arial"/>
          <w:sz w:val="16"/>
          <w:szCs w:val="16"/>
          <w:u w:val="single" w:color="auto"/>
          <w:color w:val="auto"/>
        </w:rPr>
        <w:t>Section 12.7</w:t>
      </w:r>
      <w:r>
        <w:rPr>
          <w:rFonts w:ascii="Arial" w:cs="Arial" w:eastAsia="Arial" w:hAnsi="Arial"/>
          <w:sz w:val="16"/>
          <w:szCs w:val="16"/>
          <w:color w:val="auto"/>
        </w:rPr>
        <w:t xml:space="preserve"> shall survive the payment of the Loans and all other amounts payable hereunder. The indemnity provided to each Agent under this </w:t>
      </w:r>
      <w:r>
        <w:rPr>
          <w:rFonts w:ascii="Arial" w:cs="Arial" w:eastAsia="Arial" w:hAnsi="Arial"/>
          <w:sz w:val="16"/>
          <w:szCs w:val="16"/>
          <w:u w:val="single" w:color="auto"/>
          <w:color w:val="auto"/>
        </w:rPr>
        <w:t>Section 12.7</w:t>
      </w:r>
      <w:r>
        <w:rPr>
          <w:rFonts w:ascii="Arial" w:cs="Arial" w:eastAsia="Arial" w:hAnsi="Arial"/>
          <w:sz w:val="16"/>
          <w:szCs w:val="16"/>
          <w:color w:val="auto"/>
        </w:rPr>
        <w:t xml:space="preserve"> shall also apply to such Agent’s respective Affiliates, directors, officers, members, controlling persons, employees, trustees, investment advisors and agents and successors.</w:t>
      </w:r>
    </w:p>
    <w:p>
      <w:pPr>
        <w:spacing w:after="0" w:line="16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12.8 </w:t>
      </w:r>
      <w:r>
        <w:rPr>
          <w:rFonts w:ascii="Arial" w:cs="Arial" w:eastAsia="Arial" w:hAnsi="Arial"/>
          <w:sz w:val="16"/>
          <w:szCs w:val="16"/>
          <w:u w:val="single" w:color="auto"/>
          <w:color w:val="auto"/>
        </w:rPr>
        <w:t>Agents in Their Individual Capacities</w:t>
      </w:r>
      <w:r>
        <w:rPr>
          <w:rFonts w:ascii="Arial" w:cs="Arial" w:eastAsia="Arial" w:hAnsi="Arial"/>
          <w:sz w:val="16"/>
          <w:szCs w:val="16"/>
          <w:color w:val="auto"/>
        </w:rPr>
        <w:t>. The agency hereby created shall in no way impair or affect any of the rights and powers of, or impose any duties or obligations upon, any Agent in its individual capacity as a Lender hereunder. Each Agent and its Affiliates may make loans to, accept deposits from and generally engage in any kind of business with any Credit Party as though such Agent were not an Agent hereunder and under the other Credit Documents. With respect to the Loans made by it, each Agent shall have the same rights and powers under this Agreement and the other Credit Documents as any Lender and may exercise the same as though it were not an Agent, and the terms Lender and Lenders shall include each Agent in its individual capacity.</w:t>
      </w:r>
    </w:p>
    <w:p>
      <w:pPr>
        <w:spacing w:after="0" w:line="15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5"/>
          <w:szCs w:val="15"/>
          <w:u w:val="single" w:color="auto"/>
          <w:color w:val="auto"/>
        </w:rPr>
        <w:t>Successor Agents</w:t>
      </w:r>
      <w:r>
        <w:rPr>
          <w:rFonts w:ascii="Arial" w:cs="Arial" w:eastAsia="Arial" w:hAnsi="Arial"/>
          <w:sz w:val="15"/>
          <w:szCs w:val="15"/>
          <w:color w:val="auto"/>
        </w:rPr>
        <w:t>.</w:t>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-145-</w:t>
      </w:r>
    </w:p>
    <w:p>
      <w:pPr>
        <w:sectPr>
          <w:pgSz w:w="11900" w:h="16838" w:orient="portrait"/>
          <w:cols w:equalWidth="0" w:num="1">
            <w:col w:w="11380"/>
          </w:cols>
          <w:pgMar w:left="240" w:top="814" w:right="279" w:bottom="1440" w:gutter="0" w:footer="0" w:header="0"/>
        </w:sectPr>
      </w:pPr>
    </w:p>
    <w:bookmarkStart w:id="225" w:name="page226"/>
    <w:bookmarkEnd w:id="225"/>
    <w:p>
      <w:pPr>
        <w:ind w:left="-60" w:right="80" w:firstLine="656"/>
        <w:spacing w:after="0" w:line="270" w:lineRule="auto"/>
        <w:tabs>
          <w:tab w:leader="none" w:pos="968"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Each of the Administrative Agent and the Collateral Agent may at any time give notice of its resignation to the Lenders, the Letter of Credit Issuer and Holdings. Upon receipt of any such notice of resignation, the Required Lenders shall have the right, subject to the consent of the Borrower (not to be unreasonably withheld or delayed) so long as no Event of Default under </w:t>
      </w:r>
      <w:r>
        <w:rPr>
          <w:rFonts w:ascii="Arial" w:cs="Arial" w:eastAsia="Arial" w:hAnsi="Arial"/>
          <w:sz w:val="17"/>
          <w:szCs w:val="17"/>
          <w:u w:val="single" w:color="auto"/>
          <w:color w:val="auto"/>
        </w:rPr>
        <w:t>Sections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11.5</w:t>
      </w:r>
      <w:r>
        <w:rPr>
          <w:rFonts w:ascii="Arial" w:cs="Arial" w:eastAsia="Arial" w:hAnsi="Arial"/>
          <w:sz w:val="17"/>
          <w:szCs w:val="17"/>
          <w:color w:val="auto"/>
        </w:rPr>
        <w:t xml:space="preserve"> is continuing, to appoint a successor, which shall be a bank or trust company with an office in the United States, or an Affiliate of any such bank or trust company with an office in the United States (other than any Disqualified Lender). If no such successor shall have been so appointed by the Required Lenders and shall have accepted such appointment within 30 days after the retiring Agent gives notice of its resignation (the “</w:t>
      </w:r>
      <w:r>
        <w:rPr>
          <w:rFonts w:ascii="Arial" w:cs="Arial" w:eastAsia="Arial" w:hAnsi="Arial"/>
          <w:sz w:val="17"/>
          <w:szCs w:val="17"/>
          <w:b w:val="1"/>
          <w:bCs w:val="1"/>
          <w:color w:val="auto"/>
        </w:rPr>
        <w:t>Resignation Effective Date</w:t>
      </w:r>
      <w:r>
        <w:rPr>
          <w:rFonts w:ascii="Arial" w:cs="Arial" w:eastAsia="Arial" w:hAnsi="Arial"/>
          <w:sz w:val="17"/>
          <w:szCs w:val="17"/>
          <w:color w:val="auto"/>
        </w:rPr>
        <w:t xml:space="preserve">”), then the retiring Agent may on behalf of the Lenders, appoint a successor Agent meeting the qualifications set forth above (including receipt of the Borrower’s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such successor Administrative Agent be a Defaulting Lender or Disqualified Lender, and further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Administrative Agent or the Collateral Agent shall notify the Borrower and the Lenders that no qualifying Person has accepted such appointment, then such resignation shall nonetheless become effective in accordance with such notice.</w:t>
      </w:r>
    </w:p>
    <w:p>
      <w:pPr>
        <w:spacing w:after="0" w:line="177" w:lineRule="exact"/>
        <w:rPr>
          <w:rFonts w:ascii="Arial" w:cs="Arial" w:eastAsia="Arial" w:hAnsi="Arial"/>
          <w:sz w:val="17"/>
          <w:szCs w:val="17"/>
          <w:color w:val="auto"/>
        </w:rPr>
      </w:pPr>
    </w:p>
    <w:p>
      <w:pPr>
        <w:ind w:left="-60" w:firstLine="656"/>
        <w:spacing w:after="0" w:line="255" w:lineRule="auto"/>
        <w:tabs>
          <w:tab w:leader="none" w:pos="97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If the Person serving as the Administrative Agent is a Defaulting Lender pursuant to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of the definition of “Lender Default”, the Required Lenders may to the extent permitted by applicable law, subject to the consent of the Borrower (not to be unreasonably withheld or delayed), by notice in writing to the Borrower and such Person remove such Person as the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8"/>
          <w:szCs w:val="18"/>
          <w:b w:val="1"/>
          <w:bCs w:val="1"/>
          <w:color w:val="auto"/>
        </w:rPr>
        <w:t>Removal Effective Date</w:t>
      </w:r>
      <w:r>
        <w:rPr>
          <w:rFonts w:ascii="Arial" w:cs="Arial" w:eastAsia="Arial" w:hAnsi="Arial"/>
          <w:sz w:val="18"/>
          <w:szCs w:val="18"/>
          <w:color w:val="auto"/>
        </w:rPr>
        <w:t>”), then such removal shall nonetheless become effective in accordance with such notice on the Removal Effective Date.</w:t>
      </w:r>
    </w:p>
    <w:p>
      <w:pPr>
        <w:spacing w:after="0" w:line="193" w:lineRule="exact"/>
        <w:rPr>
          <w:rFonts w:ascii="Arial" w:cs="Arial" w:eastAsia="Arial" w:hAnsi="Arial"/>
          <w:sz w:val="18"/>
          <w:szCs w:val="18"/>
          <w:color w:val="auto"/>
        </w:rPr>
      </w:pPr>
    </w:p>
    <w:p>
      <w:pPr>
        <w:ind w:left="-60" w:right="20" w:firstLine="656"/>
        <w:spacing w:after="0" w:line="285" w:lineRule="auto"/>
        <w:tabs>
          <w:tab w:leader="none" w:pos="96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With effect from the Resignation Effective Date or the Removal Effective Date (as applicable), (1) the retiring or removed agent shall be discharged from its duties and obligations hereunder and under the other Credit Documents (except that in the case of any collateral security held by the Collateral Agent on behalf of the Lenders or the Letter of Credit Issuer under any of the Credit Documents, the retiring or removed Collateral Agent shall continue to hold such collateral security as nominee until such time as a successor Collateral Agent is appointed) and (2) all payments, communications and determinations provided to be made by, to or through the retiring or removed Administrative Agent shall instead be made by or to each Lender and the Letter of Credit Issuer directly, until such time as the Required Lenders appoint a successor Agent as provided for above in this paragraph (and otherwise subject to the terms above). Upon the acceptance of a successor’s appointment as the Administrative Agent or the Collateral Agent, as the case may be, hereunder, and upon the execution and filing or recording of such financing statements, or amendments thereto, and such amendments or supplements to the Mortgages, and such other instruments or notices, as may be necessary or desirable, or as the Required Lenders may request, in order to continue the perfection of the Liens granted or purported to be granted by the Security Documents, such successor shall succeed to and become vested with all of the rights, powers, privileges and duties of the retiring (or retired) or removed Agent, and the retiring or removed Agent shall be discharged from all of its duties and obligations hereunder or under the other Credit Documents (if not already discharged therefrom as provided above in this </w:t>
      </w:r>
      <w:r>
        <w:rPr>
          <w:rFonts w:ascii="Arial" w:cs="Arial" w:eastAsia="Arial" w:hAnsi="Arial"/>
          <w:sz w:val="16"/>
          <w:szCs w:val="16"/>
          <w:u w:val="single" w:color="auto"/>
          <w:color w:val="auto"/>
        </w:rPr>
        <w:t>Section 12.9</w:t>
      </w:r>
      <w:r>
        <w:rPr>
          <w:rFonts w:ascii="Arial" w:cs="Arial" w:eastAsia="Arial" w:hAnsi="Arial"/>
          <w:sz w:val="16"/>
          <w:szCs w:val="16"/>
          <w:color w:val="auto"/>
        </w:rPr>
        <w:t xml:space="preserve">). Except as provided above, any resignation or removal of Bank of America, N.A. as the Administrative Agent pursuant to this </w:t>
      </w:r>
      <w:r>
        <w:rPr>
          <w:rFonts w:ascii="Arial" w:cs="Arial" w:eastAsia="Arial" w:hAnsi="Arial"/>
          <w:sz w:val="16"/>
          <w:szCs w:val="16"/>
          <w:u w:val="single" w:color="auto"/>
          <w:color w:val="auto"/>
        </w:rPr>
        <w:t>Section 12.9</w:t>
      </w:r>
      <w:r>
        <w:rPr>
          <w:rFonts w:ascii="Arial" w:cs="Arial" w:eastAsia="Arial" w:hAnsi="Arial"/>
          <w:sz w:val="16"/>
          <w:szCs w:val="16"/>
          <w:color w:val="auto"/>
        </w:rPr>
        <w:t xml:space="preserve"> shall also constitute the resignation or removal of Bank of America, N.A. as the Collateral Agent. The fees payable by Holdings or the Borrower (following the effectiveness of such appointment) to such Agent shall be the same as those payable to its predecessor unless otherwise agreed between Holdings or Borrower and such successor. After the retiring or removed Agent’s resignation or removal hereunder and under the other Credit Documents, the provisions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 12.7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13.5</w:t>
      </w:r>
      <w:r>
        <w:rPr>
          <w:rFonts w:ascii="Arial" w:cs="Arial" w:eastAsia="Arial" w:hAnsi="Arial"/>
          <w:sz w:val="16"/>
          <w:szCs w:val="16"/>
          <w:color w:val="auto"/>
        </w:rPr>
        <w:t xml:space="preserve"> shall continue in effect for the benefit of such retiring or removed Agent, its sub-agents and their respective Related Parties in respect of any actions taken or omitted to be taken by any of them while the retiring or removed Agent was acting as an Agent.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-146-</w:t>
      </w:r>
    </w:p>
    <w:p>
      <w:pPr>
        <w:sectPr>
          <w:pgSz w:w="11900" w:h="16838" w:orient="portrait"/>
          <w:cols w:equalWidth="0" w:num="1">
            <w:col w:w="11300"/>
          </w:cols>
          <w:pgMar w:left="300" w:top="814" w:right="299" w:bottom="1440" w:gutter="0" w:footer="0" w:header="0"/>
        </w:sectPr>
      </w:pPr>
    </w:p>
    <w:bookmarkStart w:id="226" w:name="page227"/>
    <w:bookmarkEnd w:id="226"/>
    <w:p>
      <w:pPr>
        <w:ind w:right="80" w:firstLine="656"/>
        <w:spacing w:after="0" w:line="286" w:lineRule="auto"/>
        <w:tabs>
          <w:tab w:leader="none" w:pos="1028" w:val="left"/>
        </w:tabs>
        <w:numPr>
          <w:ilvl w:val="1"/>
          <w:numId w:val="197"/>
        </w:numPr>
        <w:rPr>
          <w:rFonts w:ascii="Arial" w:cs="Arial" w:eastAsia="Arial" w:hAnsi="Arial"/>
          <w:sz w:val="16"/>
          <w:szCs w:val="16"/>
          <w:color w:val="auto"/>
        </w:rPr>
      </w:pPr>
      <w:r>
        <w:rPr>
          <w:rFonts w:ascii="Arial" w:cs="Arial" w:eastAsia="Arial" w:hAnsi="Arial"/>
          <w:sz w:val="16"/>
          <w:szCs w:val="16"/>
          <w:color w:val="auto"/>
        </w:rPr>
        <w:t xml:space="preserve">Any resignation by or removal of Bank of America, N.A. as the Administrative Agent pursuant to this </w:t>
      </w:r>
      <w:r>
        <w:rPr>
          <w:rFonts w:ascii="Arial" w:cs="Arial" w:eastAsia="Arial" w:hAnsi="Arial"/>
          <w:sz w:val="16"/>
          <w:szCs w:val="16"/>
          <w:u w:val="single" w:color="auto"/>
          <w:color w:val="auto"/>
        </w:rPr>
        <w:t>Section 12.9</w:t>
      </w:r>
      <w:r>
        <w:rPr>
          <w:rFonts w:ascii="Arial" w:cs="Arial" w:eastAsia="Arial" w:hAnsi="Arial"/>
          <w:sz w:val="16"/>
          <w:szCs w:val="16"/>
          <w:color w:val="auto"/>
        </w:rPr>
        <w:t xml:space="preserve"> shall also constitute its resignation or removal as Swingline Lender and its Affiliate’s or its resignation or removal, as applicable, as a Letter of Credit Issuer (if such Affiliate or Bank of America, N.A. is a Letter of Credit Issuer). Upon the acceptance of a successor’s appointment as the Administrative Agent hereunder, (a) such successor shall succeed to and become vested with all of the rights, powers, privileges and duties of the retiring Letter of Credit Issuer and Swingline Lender,</w:t>
      </w:r>
    </w:p>
    <w:p>
      <w:pPr>
        <w:spacing w:after="0" w:line="1" w:lineRule="exact"/>
        <w:rPr>
          <w:rFonts w:ascii="Arial" w:cs="Arial" w:eastAsia="Arial" w:hAnsi="Arial"/>
          <w:sz w:val="16"/>
          <w:szCs w:val="16"/>
          <w:color w:val="auto"/>
        </w:rPr>
      </w:pPr>
    </w:p>
    <w:p>
      <w:pPr>
        <w:ind w:right="60" w:firstLine="8"/>
        <w:spacing w:after="0" w:line="290" w:lineRule="auto"/>
        <w:tabs>
          <w:tab w:leader="none" w:pos="25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retiring Letter of Credit Issuer (if an Affiliate of Bank of America, N.A. is a Letter of Credit Issuer or if Bank of America, N.A. is a Letter of Credit Issuer) and Swingline Lender shall be discharged from all of their respective duties and obligations hereunder or under the other Credit Documents, and (c) the successor Letter of Credit Issuer shall issue letters of credit in substitution for the Letters of Credit issued by such Affiliate of the Administrative Agent or the Administrative Agent, if any, outstanding at the time of such succession or make other arrangements satisfactory to the retiring Letter of Credit Issuer (if an Affiliate of Bank of America, N.A. or Bank of America, N.A. is a Letter of Credit Issuer) to effectively assume the obligations of the retiring Letter of Credit Issuer (if an Affiliate or Bank of America, N.A. or Bank of America, N.A. is a Letter of Credit Issuer) with respect to such Letters of Credit.</w:t>
      </w:r>
    </w:p>
    <w:p>
      <w:pPr>
        <w:spacing w:after="0" w:line="16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12.10 </w:t>
      </w:r>
      <w:r>
        <w:rPr>
          <w:rFonts w:ascii="Arial" w:cs="Arial" w:eastAsia="Arial" w:hAnsi="Arial"/>
          <w:sz w:val="17"/>
          <w:szCs w:val="17"/>
          <w:u w:val="single" w:color="auto"/>
          <w:color w:val="auto"/>
        </w:rPr>
        <w:t>Withholding Tax</w:t>
      </w:r>
      <w:r>
        <w:rPr>
          <w:rFonts w:ascii="Arial" w:cs="Arial" w:eastAsia="Arial" w:hAnsi="Arial"/>
          <w:sz w:val="17"/>
          <w:szCs w:val="17"/>
          <w:color w:val="auto"/>
        </w:rPr>
        <w:t xml:space="preserve">. To the extent required by any applicable law, the Administrative Agent may withhold from any payment to any Lender under any Credit Document an amount equivalent to any applicable withholding Tax. If the Internal Revenue Service or any Governmental Authority of the United States or other jurisdiction asserts a claim that the Administrative Agent did not properly withhold Tax from amounts paid to or for the account of any Lender for any reason (including because the appropriate form was not delivered, was not properly executed, or because such Lender failed to notify the Administrative Agent of a change in circumstances that rendered the exemption from, or reduction of, withholding Tax ineffective) whether or not such claim is correctly or legally asserted, or if the Administrative Agent reasonably determines that a payment was made to a Lender pursuant to this Agreement without deduction of applicable withholding Tax from such payment, such Lender shall indemnify the Administrative Agent (to the extent that the Administrative Agent has not already been reimbursed by any applicable Credit Party and without limiting the obligation of any applicable Credit Party to do so) fully for all amounts paid, directly or indirectly, by the Administrative Agent as Tax or otherwise, including penalties, additions to Tax and interest, together with all expenses incurred, including legal expenses, allocated staff costs and any out of pocket expenses.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Credit Document against any amount due to the Administrative Agent under this </w:t>
      </w:r>
      <w:r>
        <w:rPr>
          <w:rFonts w:ascii="Arial" w:cs="Arial" w:eastAsia="Arial" w:hAnsi="Arial"/>
          <w:sz w:val="17"/>
          <w:szCs w:val="17"/>
          <w:u w:val="single" w:color="auto"/>
          <w:color w:val="auto"/>
        </w:rPr>
        <w:t>Section 12.10</w:t>
      </w:r>
      <w:r>
        <w:rPr>
          <w:rFonts w:ascii="Arial" w:cs="Arial" w:eastAsia="Arial" w:hAnsi="Arial"/>
          <w:sz w:val="17"/>
          <w:szCs w:val="17"/>
          <w:color w:val="auto"/>
        </w:rPr>
        <w:t xml:space="preserve">. The agreements in </w:t>
      </w:r>
      <w:r>
        <w:rPr>
          <w:rFonts w:ascii="Arial" w:cs="Arial" w:eastAsia="Arial" w:hAnsi="Arial"/>
          <w:sz w:val="17"/>
          <w:szCs w:val="17"/>
          <w:u w:val="single" w:color="auto"/>
          <w:color w:val="auto"/>
        </w:rPr>
        <w:t>Section 12.10</w:t>
      </w:r>
      <w:r>
        <w:rPr>
          <w:rFonts w:ascii="Arial" w:cs="Arial" w:eastAsia="Arial" w:hAnsi="Arial"/>
          <w:sz w:val="17"/>
          <w:szCs w:val="17"/>
          <w:color w:val="auto"/>
        </w:rPr>
        <w:t xml:space="preserve"> shall survive the resignation and/or replacement of the Administrative Agent, any assignment of rights by, or the replacement of, a Lender, the termination of the Commitments and the repayment, satisfaction or discharge of all other Obligations. For the avoidance of doubt, for purposes of this </w:t>
      </w:r>
      <w:r>
        <w:rPr>
          <w:rFonts w:ascii="Arial" w:cs="Arial" w:eastAsia="Arial" w:hAnsi="Arial"/>
          <w:sz w:val="17"/>
          <w:szCs w:val="17"/>
          <w:u w:val="single" w:color="auto"/>
          <w:color w:val="auto"/>
        </w:rPr>
        <w:t>Section 12.10</w:t>
      </w:r>
      <w:r>
        <w:rPr>
          <w:rFonts w:ascii="Arial" w:cs="Arial" w:eastAsia="Arial" w:hAnsi="Arial"/>
          <w:sz w:val="17"/>
          <w:szCs w:val="17"/>
          <w:color w:val="auto"/>
        </w:rPr>
        <w:t>, the term Lender includes the Letter of Credit Issuer and the Swingline Lender.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-147-</w:t>
      </w:r>
    </w:p>
    <w:p>
      <w:pPr>
        <w:sectPr>
          <w:pgSz w:w="11900" w:h="16838" w:orient="portrait"/>
          <w:cols w:equalWidth="0" w:num="1">
            <w:col w:w="11420"/>
          </w:cols>
          <w:pgMar w:left="240" w:top="814" w:right="239" w:bottom="1440" w:gutter="0" w:footer="0" w:header="0"/>
        </w:sectPr>
      </w:pPr>
    </w:p>
    <w:bookmarkStart w:id="227" w:name="page228"/>
    <w:bookmarkEnd w:id="227"/>
    <w:p>
      <w:pPr>
        <w:jc w:val="both"/>
        <w:ind w:firstLine="648"/>
        <w:spacing w:after="0" w:line="285" w:lineRule="auto"/>
        <w:rPr>
          <w:sz w:val="20"/>
          <w:szCs w:val="20"/>
          <w:color w:val="auto"/>
        </w:rPr>
      </w:pPr>
      <w:r>
        <w:rPr>
          <w:rFonts w:ascii="Arial" w:cs="Arial" w:eastAsia="Arial" w:hAnsi="Arial"/>
          <w:sz w:val="16"/>
          <w:szCs w:val="16"/>
          <w:color w:val="auto"/>
        </w:rPr>
        <w:t xml:space="preserve">12.11 </w:t>
      </w:r>
      <w:r>
        <w:rPr>
          <w:rFonts w:ascii="Arial" w:cs="Arial" w:eastAsia="Arial" w:hAnsi="Arial"/>
          <w:sz w:val="16"/>
          <w:szCs w:val="16"/>
          <w:u w:val="single" w:color="auto"/>
          <w:color w:val="auto"/>
        </w:rPr>
        <w:t>Agents Under Security Documents and Guarantee</w:t>
      </w:r>
      <w:r>
        <w:rPr>
          <w:rFonts w:ascii="Arial" w:cs="Arial" w:eastAsia="Arial" w:hAnsi="Arial"/>
          <w:sz w:val="16"/>
          <w:szCs w:val="16"/>
          <w:color w:val="auto"/>
        </w:rPr>
        <w:t xml:space="preserve">. Each Secured Party hereby further authorizes the Administrative Agent or the Collateral Agent, as applicable, on behalf of and for the benefit of the Secured Parties, to be the agent for and representative of the Secured Parties with respect to the Collateral and the Security Documents. Subject to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without further written consent or authorization from any Secured Party, the Administrative Agent or the Collateral Agent, as applicable, may execute any documents or instruments necessary to (a) release any Lien on any property granted to or held by the Administrative Agent or the Collateral Agent (or any sub-agent thereof) under any Credit Document (i) upon the final maturity date and the payment in full (or Cash Collateralization) of all Obligations (except for contingent indemnification obligations in respect of which a claim has not yet been made and Secured Hedge Obligations and Secured Cash Management Obligations), (ii) that is sold or to be sold or transferred as part of or in connection with any sale or other transfer permitted hereunder or under any other Credit Document to a Person that is not a Credit Party or in connection with the designation of any Restricted Subsidiary as an Unrestricted Subsidiary, (iii) if the property subject to such Lien is owned by a Credit Party, upon the release of such Credit Party from its Guarantee otherwise in accordance with the Credit Documents, (iv) as to the extent provided in the Security Documents, (v) that constitutes Excluded Property or Excluded Stock and Stock Equivalents or (vi) if approved, authorized or ratified in writing in accordance with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(b) release any Guarantor from its obligations under the Guarantee if such Person ceases to be a Restricted Subsidiary (or becomes an Excluded Subsidiary) as a result of a transaction or designation permitted hereunder; (c) subordinate any Lien on any property granted to or held by the Administrative Agent or the Collateral Agent under any Credit Document to the holder of any Lien permitted under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(solely with respect to </w:t>
      </w:r>
      <w:r>
        <w:rPr>
          <w:rFonts w:ascii="Arial" w:cs="Arial" w:eastAsia="Arial" w:hAnsi="Arial"/>
          <w:sz w:val="16"/>
          <w:szCs w:val="16"/>
          <w:u w:val="single" w:color="auto"/>
          <w:color w:val="auto"/>
        </w:rPr>
        <w:t>Section 10.1(d))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of the definition of “Permitted Lien”; or (d) enter into subordination or intercreditor agreements with respect to Indebtedness to the extent the Administrative Agent or the Collateral Agent is otherwise contemplated herein as being a party to such intercreditor or subordination agreement, including any First Lien Interceditor Agreement and the Second Lien Intercreditor Agreement.</w:t>
      </w:r>
    </w:p>
    <w:p>
      <w:pPr>
        <w:spacing w:after="0" w:line="17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The Collateral Agent shall have its own independent right to demand payment of the amounts payable by the Borrower under this </w:t>
      </w:r>
      <w:r>
        <w:rPr>
          <w:rFonts w:ascii="Arial" w:cs="Arial" w:eastAsia="Arial" w:hAnsi="Arial"/>
          <w:sz w:val="18"/>
          <w:szCs w:val="18"/>
          <w:u w:val="single" w:color="auto"/>
          <w:color w:val="auto"/>
        </w:rPr>
        <w:t>Section 12.11</w:t>
      </w:r>
      <w:r>
        <w:rPr>
          <w:rFonts w:ascii="Arial" w:cs="Arial" w:eastAsia="Arial" w:hAnsi="Arial"/>
          <w:sz w:val="18"/>
          <w:szCs w:val="18"/>
          <w:color w:val="auto"/>
        </w:rPr>
        <w:t>, irrespective of any discharge of the Borrower’s obligations to pay those amounts to the other Lenders resulting from failure by them to take appropriate steps in insolvency proceedings affecting the Borrower to preserve their entitlement to be paid those amounts.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Any amount due and payable by the Borrower to the Collateral Agent under this </w:t>
      </w:r>
      <w:r>
        <w:rPr>
          <w:rFonts w:ascii="Arial" w:cs="Arial" w:eastAsia="Arial" w:hAnsi="Arial"/>
          <w:sz w:val="18"/>
          <w:szCs w:val="18"/>
          <w:u w:val="single" w:color="auto"/>
          <w:color w:val="auto"/>
        </w:rPr>
        <w:t>Section 12.11</w:t>
      </w:r>
      <w:r>
        <w:rPr>
          <w:rFonts w:ascii="Arial" w:cs="Arial" w:eastAsia="Arial" w:hAnsi="Arial"/>
          <w:sz w:val="18"/>
          <w:szCs w:val="18"/>
          <w:color w:val="auto"/>
        </w:rPr>
        <w:t xml:space="preserve"> shall be decreased to the extent that the other Lenders have received (and are able to retain) payment in full of the corresponding amount under the other provisions of the Credit Documents and any amount due and payable by the Borrower to the Collateral Agent under those provisions shall be decreased to the extent that the Collateral Agent has received (and is able to retain) payment in full of the corresponding amount under this </w:t>
      </w:r>
      <w:r>
        <w:rPr>
          <w:rFonts w:ascii="Arial" w:cs="Arial" w:eastAsia="Arial" w:hAnsi="Arial"/>
          <w:sz w:val="18"/>
          <w:szCs w:val="18"/>
          <w:u w:val="single" w:color="auto"/>
          <w:color w:val="auto"/>
        </w:rPr>
        <w:t>Section 12.11</w:t>
      </w: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-148-</w:t>
      </w:r>
    </w:p>
    <w:p>
      <w:pPr>
        <w:sectPr>
          <w:pgSz w:w="11900" w:h="16838" w:orient="portrait"/>
          <w:cols w:equalWidth="0" w:num="1">
            <w:col w:w="11420"/>
          </w:cols>
          <w:pgMar w:left="240" w:top="814" w:right="239" w:bottom="1440" w:gutter="0" w:footer="0" w:header="0"/>
        </w:sectPr>
      </w:pPr>
    </w:p>
    <w:bookmarkStart w:id="228" w:name="page229"/>
    <w:bookmarkEnd w:id="228"/>
    <w:p>
      <w:pPr>
        <w:ind w:firstLine="648"/>
        <w:spacing w:after="0" w:line="285" w:lineRule="auto"/>
        <w:rPr>
          <w:sz w:val="20"/>
          <w:szCs w:val="20"/>
          <w:color w:val="auto"/>
        </w:rPr>
      </w:pPr>
      <w:r>
        <w:rPr>
          <w:rFonts w:ascii="Arial" w:cs="Arial" w:eastAsia="Arial" w:hAnsi="Arial"/>
          <w:sz w:val="16"/>
          <w:szCs w:val="16"/>
          <w:color w:val="auto"/>
        </w:rPr>
        <w:t xml:space="preserve">12.12 </w:t>
      </w:r>
      <w:r>
        <w:rPr>
          <w:rFonts w:ascii="Arial" w:cs="Arial" w:eastAsia="Arial" w:hAnsi="Arial"/>
          <w:sz w:val="16"/>
          <w:szCs w:val="16"/>
          <w:u w:val="single" w:color="auto"/>
          <w:color w:val="auto"/>
        </w:rPr>
        <w:t>Right to Realize on Collateral and Enforce Guarantee</w:t>
      </w:r>
      <w:r>
        <w:rPr>
          <w:rFonts w:ascii="Arial" w:cs="Arial" w:eastAsia="Arial" w:hAnsi="Arial"/>
          <w:sz w:val="16"/>
          <w:szCs w:val="16"/>
          <w:color w:val="auto"/>
        </w:rPr>
        <w:t>. Anything contained in any of the Credit Documents to the contrary notwithstanding, Holdings, the Agents, and each Secured Party hereby agree that (i) no Secured Party shall have any right individually to realize upon any of the Collateral or to enforce the Guarantee,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Collateral Agent, and (ii)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Secured Parties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 No holder of Secured Hedge Obligations or Secured Cash Management Obligations shall have any rights in connection with the management or release of any Collateral or of the obligations of any Credit Party under this Agreement. No holder of Secured Hedge Obligations or Secured Cash Management Obligations that obtains the benefits of any Guarantee or any Collateral by virtue of the provisions hereof or of any other Credit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or Agent and, in such case, only to the extent expressly provided in the Credit Documents. Notwithstanding any other provision of this Agreement to the contrary, the Administrative Agent shall not be required to verify the payment of, or that other satisfactory arrangements have been made with respect to, Obligations arising under Secured Hedge Agreements and Secured Cash Management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38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12.13 </w:t>
      </w:r>
      <w:r>
        <w:rPr>
          <w:rFonts w:ascii="Arial" w:cs="Arial" w:eastAsia="Arial" w:hAnsi="Arial"/>
          <w:sz w:val="16"/>
          <w:szCs w:val="16"/>
          <w:u w:val="single" w:color="auto"/>
          <w:color w:val="auto"/>
        </w:rPr>
        <w:t>Intercreditor Agreements Govern</w:t>
      </w:r>
      <w:r>
        <w:rPr>
          <w:rFonts w:ascii="Arial" w:cs="Arial" w:eastAsia="Arial" w:hAnsi="Arial"/>
          <w:sz w:val="16"/>
          <w:szCs w:val="16"/>
          <w:color w:val="auto"/>
        </w:rPr>
        <w:t>. The Administrative Agent, the Collateral Agent, and each Lender (a) hereby agrees that it will be bound by and will take no actions contrary to the provisions of any intercreditor agreement entered into pursuant to the terms hereof, (b) hereby authorizes and instructs the Administrative Agent and the Collateral Agent to enter into each intercreditor agreement (including any First Lien Intercreditor Agreement and the Second Lien Intercreditor Agreement) entered into pursuant to the terms hereof and to subject the Liens securing the Obligations to the provisions thereof, and (c) hereby authorizes and instructs the Administrative Agent and the Collateral Agent to enter into any intercreditor agreement that includes, or to amend any then existing intercreditor agreement to provide for, the terms described in the definition of “Permitted Other Indebtedness”. In the event of any conflict or inconsistency between the provisions of each such intercreditor agreement (including any First Lien Intercreditor Agreement and the Second Lien Intercreditor Agreement) and this Agreement, the provisions of such intercreditor agreement shall control.</w:t>
      </w:r>
    </w:p>
    <w:p>
      <w:pPr>
        <w:spacing w:after="0" w:line="16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12.14</w:t>
      </w:r>
      <w:r>
        <w:rPr>
          <w:sz w:val="20"/>
          <w:szCs w:val="20"/>
          <w:color w:val="auto"/>
        </w:rPr>
        <w:tab/>
      </w:r>
      <w:r>
        <w:rPr>
          <w:rFonts w:ascii="Arial" w:cs="Arial" w:eastAsia="Arial" w:hAnsi="Arial"/>
          <w:sz w:val="16"/>
          <w:szCs w:val="16"/>
          <w:u w:val="single" w:color="auto"/>
          <w:color w:val="auto"/>
        </w:rPr>
        <w:t>Certain ERISA Matters</w:t>
      </w:r>
      <w:r>
        <w:rPr>
          <w:rFonts w:ascii="Arial" w:cs="Arial" w:eastAsia="Arial" w:hAnsi="Arial"/>
          <w:sz w:val="16"/>
          <w:szCs w:val="16"/>
          <w:color w:val="auto"/>
        </w:rPr>
        <w:t>.</w:t>
      </w:r>
    </w:p>
    <w:p>
      <w:pPr>
        <w:spacing w:after="0" w:line="225" w:lineRule="exact"/>
        <w:rPr>
          <w:sz w:val="20"/>
          <w:szCs w:val="20"/>
          <w:color w:val="auto"/>
        </w:rPr>
      </w:pPr>
    </w:p>
    <w:p>
      <w:pPr>
        <w:ind w:right="120" w:firstLine="656"/>
        <w:spacing w:after="0" w:line="312" w:lineRule="auto"/>
        <w:tabs>
          <w:tab w:leader="none" w:pos="1028" w:val="left"/>
        </w:tabs>
        <w:numPr>
          <w:ilvl w:val="0"/>
          <w:numId w:val="199"/>
        </w:numPr>
        <w:rPr>
          <w:rFonts w:ascii="Arial" w:cs="Arial" w:eastAsia="Arial" w:hAnsi="Arial"/>
          <w:sz w:val="16"/>
          <w:szCs w:val="16"/>
          <w:color w:val="auto"/>
        </w:rPr>
      </w:pPr>
      <w:r>
        <w:rPr>
          <w:rFonts w:ascii="Arial" w:cs="Arial" w:eastAsia="Arial" w:hAnsi="Arial"/>
          <w:sz w:val="16"/>
          <w:szCs w:val="16"/>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Credit Party, that at least one of the following is and will be true:</w:t>
      </w:r>
    </w:p>
    <w:p>
      <w:pPr>
        <w:spacing w:after="0" w:line="160" w:lineRule="exact"/>
        <w:rPr>
          <w:rFonts w:ascii="Arial" w:cs="Arial" w:eastAsia="Arial" w:hAnsi="Arial"/>
          <w:sz w:val="16"/>
          <w:szCs w:val="16"/>
          <w:color w:val="auto"/>
        </w:rPr>
      </w:pPr>
    </w:p>
    <w:p>
      <w:pPr>
        <w:ind w:left="660" w:right="40" w:firstLine="888"/>
        <w:spacing w:after="0" w:line="265" w:lineRule="auto"/>
        <w:tabs>
          <w:tab w:leader="none" w:pos="1918" w:val="left"/>
        </w:tabs>
        <w:numPr>
          <w:ilvl w:val="1"/>
          <w:numId w:val="199"/>
        </w:numPr>
        <w:rPr>
          <w:rFonts w:ascii="Arial" w:cs="Arial" w:eastAsia="Arial" w:hAnsi="Arial"/>
          <w:sz w:val="20"/>
          <w:szCs w:val="20"/>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-149-</w:t>
      </w:r>
    </w:p>
    <w:p>
      <w:pPr>
        <w:sectPr>
          <w:pgSz w:w="11900" w:h="16838" w:orient="portrait"/>
          <w:cols w:equalWidth="0" w:num="1">
            <w:col w:w="11420"/>
          </w:cols>
          <w:pgMar w:left="240" w:top="814" w:right="239" w:bottom="1440" w:gutter="0" w:footer="0" w:header="0"/>
        </w:sectPr>
      </w:pPr>
    </w:p>
    <w:bookmarkStart w:id="229" w:name="page230"/>
    <w:bookmarkEnd w:id="229"/>
    <w:p>
      <w:pPr>
        <w:ind w:left="660" w:right="40" w:firstLine="888"/>
        <w:spacing w:after="0" w:line="283" w:lineRule="auto"/>
        <w:tabs>
          <w:tab w:leader="none" w:pos="1973" w:val="left"/>
        </w:tabs>
        <w:numPr>
          <w:ilvl w:val="1"/>
          <w:numId w:val="200"/>
        </w:numPr>
        <w:rPr>
          <w:rFonts w:ascii="Arial" w:cs="Arial" w:eastAsia="Arial" w:hAnsi="Arial"/>
          <w:sz w:val="19"/>
          <w:szCs w:val="19"/>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3" w:lineRule="exact"/>
        <w:rPr>
          <w:rFonts w:ascii="Arial" w:cs="Arial" w:eastAsia="Arial" w:hAnsi="Arial"/>
          <w:sz w:val="19"/>
          <w:szCs w:val="19"/>
          <w:color w:val="auto"/>
        </w:rPr>
      </w:pPr>
    </w:p>
    <w:p>
      <w:pPr>
        <w:ind w:left="660" w:right="60" w:firstLine="888"/>
        <w:spacing w:after="0" w:line="290" w:lineRule="auto"/>
        <w:tabs>
          <w:tab w:leader="none" w:pos="2028" w:val="left"/>
        </w:tabs>
        <w:numPr>
          <w:ilvl w:val="1"/>
          <w:numId w:val="200"/>
        </w:numPr>
        <w:rPr>
          <w:rFonts w:ascii="Arial" w:cs="Arial" w:eastAsia="Arial" w:hAnsi="Arial"/>
          <w:sz w:val="18"/>
          <w:szCs w:val="18"/>
          <w:color w:val="auto"/>
        </w:rPr>
      </w:pPr>
      <w:r>
        <w:rPr>
          <w:rFonts w:ascii="Arial" w:cs="Arial" w:eastAsia="Arial" w:hAnsi="Arial"/>
          <w:sz w:val="16"/>
          <w:szCs w:val="16"/>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w:t>
      </w:r>
    </w:p>
    <w:p>
      <w:pPr>
        <w:spacing w:after="0" w:line="2" w:lineRule="exact"/>
        <w:rPr>
          <w:rFonts w:ascii="Arial" w:cs="Arial" w:eastAsia="Arial" w:hAnsi="Arial"/>
          <w:sz w:val="18"/>
          <w:szCs w:val="18"/>
          <w:color w:val="auto"/>
        </w:rPr>
      </w:pPr>
    </w:p>
    <w:p>
      <w:pPr>
        <w:jc w:val="both"/>
        <w:ind w:left="660" w:right="80" w:hanging="4"/>
        <w:spacing w:after="0" w:line="279" w:lineRule="auto"/>
        <w:tabs>
          <w:tab w:leader="none" w:pos="91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2" w:lineRule="exact"/>
        <w:rPr>
          <w:rFonts w:ascii="Arial" w:cs="Arial" w:eastAsia="Arial" w:hAnsi="Arial"/>
          <w:sz w:val="18"/>
          <w:szCs w:val="18"/>
          <w:color w:val="auto"/>
        </w:rPr>
      </w:pPr>
    </w:p>
    <w:p>
      <w:pPr>
        <w:ind w:left="660" w:right="640" w:firstLine="888"/>
        <w:spacing w:after="0" w:line="266" w:lineRule="auto"/>
        <w:tabs>
          <w:tab w:leader="none" w:pos="2017" w:val="left"/>
        </w:tabs>
        <w:numPr>
          <w:ilvl w:val="1"/>
          <w:numId w:val="201"/>
        </w:numPr>
        <w:rPr>
          <w:rFonts w:ascii="Arial" w:cs="Arial" w:eastAsia="Arial" w:hAnsi="Arial"/>
          <w:sz w:val="20"/>
          <w:szCs w:val="20"/>
          <w:color w:val="auto"/>
        </w:rPr>
      </w:pPr>
      <w:r>
        <w:rPr>
          <w:rFonts w:ascii="Arial" w:cs="Arial" w:eastAsia="Arial" w:hAnsi="Arial"/>
          <w:sz w:val="18"/>
          <w:szCs w:val="18"/>
          <w:color w:val="auto"/>
        </w:rPr>
        <w:t>such other representation, warranty or covenant as may be agreed in writing between the Administrative Agent, in its sole discretion, and such Lender.</w:t>
      </w:r>
    </w:p>
    <w:p>
      <w:pPr>
        <w:spacing w:after="0" w:line="177" w:lineRule="exact"/>
        <w:rPr>
          <w:sz w:val="20"/>
          <w:szCs w:val="20"/>
          <w:color w:val="auto"/>
        </w:rPr>
      </w:pPr>
    </w:p>
    <w:p>
      <w:pPr>
        <w:ind w:firstLine="656"/>
        <w:spacing w:after="0" w:line="254" w:lineRule="auto"/>
        <w:tabs>
          <w:tab w:leader="none" w:pos="103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 addition, unless either (1) sub-clause (i) in the immediately preceding clause (a) is true with respect to a Lender or (2) a Lender has provided another representation, warranty or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Credit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Credit Document or any documents related hereto or thereto).</w:t>
      </w:r>
    </w:p>
    <w:p>
      <w:pPr>
        <w:spacing w:after="0" w:line="19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color w:val="auto"/>
        </w:rPr>
        <w:t>Miscellaneous</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u w:val="single" w:color="auto"/>
          <w:color w:val="auto"/>
        </w:rPr>
        <w:t>Amendments, Waivers, and Releases</w:t>
      </w:r>
      <w:r>
        <w:rPr>
          <w:rFonts w:ascii="Arial" w:cs="Arial" w:eastAsia="Arial" w:hAnsi="Arial"/>
          <w:sz w:val="17"/>
          <w:szCs w:val="17"/>
          <w:color w:val="auto"/>
        </w:rPr>
        <w:t xml:space="preserve">. Except as otherwise expressly set forth in this Agreement or, with respect to the other Credit Documents, this Agreement and the other Credit Documents, neither this Agreement nor any other Credit Document, nor any terms hereof or thereof, may be amended, supplemented or modified except in accordance with the provisions of this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Except as provided to the contrary under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below in respect of Replacement Term Loans, and other than with respect to any amendment, modification or waiver contemplated in the proviso to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below, which shall only require the consent of the Lenders expressly set forth therein and not the Required Lenders, the Required Lenders may (with prior or contemporaneous notice to the Administrative Agent of the effectiveness thereof), or, with the written consent of the Required Lenders, the Administrative Agent and/or the Collateral Agent may, from time to time, (a) enter into with the relevant Credit Party or Credit Parties written amendments, supplements or modifications hereto and to the other Credit Documents for the purpose of adding any provisions to this Agreement or the other Credit Documents or changing in any manner the rights of the Lenders or of the Credit Parties hereunder or thereunder or (b) waive in writing, on such terms and conditions as the Required Lenders or the Administrative Agent and/or the Collateral Agent, as the case may be, may specify in such instrument, any of the requirements of this Agreement or the other Credit Documents or any Default or Event of Default and its consequences;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such waiver and each such amendment, supplement or modification shall be effective only in the specific instance and for the specific purpose for which given;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such waiver and no such amendment, supplement or modification shall (x) (i) forgive or reduce any portion of any Loan or extend the final scheduled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-150-</w:t>
      </w:r>
    </w:p>
    <w:p>
      <w:pPr>
        <w:sectPr>
          <w:pgSz w:w="11900" w:h="16838" w:orient="portrait"/>
          <w:cols w:equalWidth="0" w:num="1">
            <w:col w:w="11420"/>
          </w:cols>
          <w:pgMar w:left="240" w:top="828" w:right="239" w:bottom="1440" w:gutter="0" w:footer="0" w:header="0"/>
        </w:sectPr>
      </w:pPr>
    </w:p>
    <w:bookmarkStart w:id="230" w:name="page231"/>
    <w:bookmarkEnd w:id="230"/>
    <w:p>
      <w:pPr>
        <w:spacing w:after="0" w:line="283" w:lineRule="auto"/>
        <w:rPr>
          <w:sz w:val="20"/>
          <w:szCs w:val="20"/>
          <w:color w:val="auto"/>
        </w:rPr>
      </w:pPr>
      <w:r>
        <w:rPr>
          <w:rFonts w:ascii="Arial" w:cs="Arial" w:eastAsia="Arial" w:hAnsi="Arial"/>
          <w:sz w:val="16"/>
          <w:szCs w:val="16"/>
          <w:color w:val="auto"/>
        </w:rPr>
        <w:t xml:space="preserve">maturity date of any Loan or reduce the stated rate (it being understood that only the consent of the Required Lenders shall be necessary to waive any obligation of the Borrower to pay interest at the “default rate” or amend </w:t>
      </w:r>
      <w:r>
        <w:rPr>
          <w:rFonts w:ascii="Arial" w:cs="Arial" w:eastAsia="Arial" w:hAnsi="Arial"/>
          <w:sz w:val="16"/>
          <w:szCs w:val="16"/>
          <w:u w:val="single" w:color="auto"/>
          <w:color w:val="auto"/>
        </w:rPr>
        <w:t>Section 2.8(c)</w:t>
      </w:r>
      <w:r>
        <w:rPr>
          <w:rFonts w:ascii="Arial" w:cs="Arial" w:eastAsia="Arial" w:hAnsi="Arial"/>
          <w:sz w:val="16"/>
          <w:szCs w:val="16"/>
          <w:color w:val="auto"/>
        </w:rPr>
        <w:t xml:space="preserve">), or forgive any portion thereof, or extend the date for the payment, of any interest or fee payable hereunder (other than as a result of waiving the applicability of any post-default increase in interest rates), or extend the final expiration date of any Letter of Credit beyond the L/C Facility Maturity Date, or amend or modify any provisions of </w:t>
      </w:r>
      <w:r>
        <w:rPr>
          <w:rFonts w:ascii="Arial" w:cs="Arial" w:eastAsia="Arial" w:hAnsi="Arial"/>
          <w:sz w:val="16"/>
          <w:szCs w:val="16"/>
          <w:u w:val="single" w:color="auto"/>
          <w:color w:val="auto"/>
        </w:rPr>
        <w:t>Sections 5.3(a)</w:t>
      </w:r>
      <w:r>
        <w:rPr>
          <w:rFonts w:ascii="Arial" w:cs="Arial" w:eastAsia="Arial" w:hAnsi="Arial"/>
          <w:sz w:val="16"/>
          <w:szCs w:val="16"/>
          <w:color w:val="auto"/>
        </w:rPr>
        <w:t xml:space="preserve"> (with respect to the ratable allocation of any payments only), </w:t>
      </w:r>
      <w:r>
        <w:rPr>
          <w:rFonts w:ascii="Arial" w:cs="Arial" w:eastAsia="Arial" w:hAnsi="Arial"/>
          <w:sz w:val="16"/>
          <w:szCs w:val="16"/>
          <w:u w:val="single" w:color="auto"/>
          <w:color w:val="auto"/>
        </w:rPr>
        <w:t>11.13 13.8(a)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13.20</w:t>
      </w:r>
      <w:r>
        <w:rPr>
          <w:rFonts w:ascii="Arial" w:cs="Arial" w:eastAsia="Arial" w:hAnsi="Arial"/>
          <w:sz w:val="16"/>
          <w:szCs w:val="16"/>
          <w:color w:val="auto"/>
        </w:rPr>
        <w:t xml:space="preserve">, or make any Loan, interest, Fee or other amount payable in any currency other than expressly provided herein, in each case without the written consent of each Lender directly and adversely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waiver of any condition precedent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of this Agreement, the waiver of any Default, Event of Default, default interest, mandatory prepayment or reductions, any modification, waiver or amendment to the financial covenant definitions or financial ratios or any component thereof or the waiver of any other covenant shall not constitute an increase of any Commitment of a Lender, a reduction or forgiveness in the interest rates or the fees or premiums or a postponement of any date scheduled for the payment of principal, premium or interest or an extension of the final maturity of any Loan or the scheduled termination date of any Commitment, in each case for purposes of this clause (i), or (ii) consent to the assignment or transfer by Holdings or the Borrower of its rights and obligations under any Credit Document to which it is a party (except as permitted pursuant to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in each case without the written consent of each Lender directly and adversely affected thereby, or (iii) directly and adversely affect the rights or duties of the Administrative Agent or Collateral Agent, in its capacity as such, under this Agreement or any other Credit Document without the written consent of the Administrative Agent or Collateral Agent, as applicable, or (iv) directly and adversely affect the rights or duties of any Letter of Credit Issuer, in its capacity as such, under this Agreement or any other Credit Document without the consent of such Letter of Credit Issuer, or (v) amend, modify or waive any provisions hereof relating to Swingline Loans without the written consent of the Swingline Lender in a manner that directly and adversely affects such Person, or (vi) change any Revolving Credit Commitment to a Term Loan Commitment, or change any Term Loan Commitment to a Revolving Credit Commitment, in each case without the prior written consent of each Lender directly and adversely affected thereby, or (vii) release all or substantially all of the Guarantors under the Guarantees (except as expressly permitted by the Guarantees, the First Lien Intercreditor Agreement (if any), the Second Lien Intercreditor Agreement or this Agreement) or release all or substantially all of the Collateral under the Security Documents (except as expressly permitted by the Security Documents, the First Lien Intercreditor Agreement (if any), the Second Lien Intercreditor Agreement or this Agreement) without the prior written consent of each Lender, or (viii) decrease the Term A Loan Repayment Amount applicable to Term A Loans or extend any scheduled Term A Loan Repayment Date applicable to Term A Loans, in each case without the written consent of each Lender directly and adversely affected thereby, or (ix) reduce the percentages specified in the definitions of the terms Required Lenders, Required Revolving Credit Lenders or Required Term A Loan Lenders or amend, modify or waive any provision of this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that has the effect of decreasing the number of Lenders that must approve any amendment, modification or waiver, without the written consent of each Lender, (y) notwithstanding anything to the contrary in clause (x), (i) extend the final expiration date of any Lender’s Commitment or (ii) increase the aggregate amount of the Commitments of any Lender, in each case, without the written consent of such Lender, or (z) in connection with an amendment that addresses solely a repricing transaction in which any Class of Term Loans is refinanced with a replacement Class of Term Loans bearing (or is modified in such a manner such that the resulting Term Loans bear) a lower effective yield, only the consent of the Lenders holding Term Loans subject to such permitted repricing transaction that will continue as a Lender in respect of the repriced tranche of Term Loans or modified Term Loans.</w:t>
      </w:r>
    </w:p>
    <w:p>
      <w:pPr>
        <w:spacing w:after="0" w:line="200" w:lineRule="exact"/>
        <w:rPr>
          <w:sz w:val="20"/>
          <w:szCs w:val="20"/>
          <w:color w:val="auto"/>
        </w:rPr>
      </w:pPr>
    </w:p>
    <w:p>
      <w:pPr>
        <w:spacing w:after="0" w:line="20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Notwithstanding anything in this Agreement or any other Credit Document to the contrary, this Agreement may be amended, supplemented or otherwise modified to effect the provisions of </w:t>
      </w:r>
      <w:r>
        <w:rPr>
          <w:rFonts w:ascii="Arial" w:cs="Arial" w:eastAsia="Arial" w:hAnsi="Arial"/>
          <w:sz w:val="18"/>
          <w:szCs w:val="18"/>
          <w:u w:val="single" w:color="auto"/>
          <w:color w:val="auto"/>
        </w:rPr>
        <w:t>Section 2.10(d)</w:t>
      </w:r>
      <w:r>
        <w:rPr>
          <w:rFonts w:ascii="Arial" w:cs="Arial" w:eastAsia="Arial" w:hAnsi="Arial"/>
          <w:sz w:val="18"/>
          <w:szCs w:val="18"/>
          <w:color w:val="auto"/>
        </w:rPr>
        <w:t xml:space="preserve"> in accordance with the terms of such </w:t>
      </w:r>
      <w:r>
        <w:rPr>
          <w:rFonts w:ascii="Arial" w:cs="Arial" w:eastAsia="Arial" w:hAnsi="Arial"/>
          <w:sz w:val="18"/>
          <w:szCs w:val="18"/>
          <w:u w:val="single" w:color="auto"/>
          <w:color w:val="auto"/>
        </w:rPr>
        <w:t>Section 2.10(d)</w:t>
      </w:r>
      <w:r>
        <w:rPr>
          <w:rFonts w:ascii="Arial" w:cs="Arial" w:eastAsia="Arial" w:hAnsi="Arial"/>
          <w:sz w:val="18"/>
          <w:szCs w:val="18"/>
          <w:color w:val="auto"/>
        </w:rPr>
        <w:t xml:space="preserve">, with only the consent of the Persons set forth in </w:t>
      </w:r>
      <w:r>
        <w:rPr>
          <w:rFonts w:ascii="Arial" w:cs="Arial" w:eastAsia="Arial" w:hAnsi="Arial"/>
          <w:sz w:val="18"/>
          <w:szCs w:val="18"/>
          <w:u w:val="single" w:color="auto"/>
          <w:color w:val="auto"/>
        </w:rPr>
        <w:t>Section 2.10(d)</w:t>
      </w:r>
      <w:r>
        <w:rPr>
          <w:rFonts w:ascii="Arial" w:cs="Arial" w:eastAsia="Arial" w:hAnsi="Arial"/>
          <w:sz w:val="18"/>
          <w:szCs w:val="18"/>
          <w:color w:val="auto"/>
        </w:rPr>
        <w:t xml:space="preserve"> hereof.</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Notwithstanding anything to the contrary herein, no Defaulting Lender shall have any right to approve or disapprove any amendment, waiver or consent hereunder, except (x) that the Commitment of such Lender may not be increased or extended without the consent of such Lender and (y) for any such amendment, waiver or consent that treats such Defaulting Lender disproportionately and adversely from the other Lender of the same Class (other than because of its status as a Defaulting Lender).</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-151-</w:t>
      </w:r>
    </w:p>
    <w:p>
      <w:pPr>
        <w:sectPr>
          <w:pgSz w:w="11900" w:h="16838" w:orient="portrait"/>
          <w:cols w:equalWidth="0" w:num="1">
            <w:col w:w="11400"/>
          </w:cols>
          <w:pgMar w:left="240" w:top="814" w:right="259" w:bottom="1440" w:gutter="0" w:footer="0" w:header="0"/>
        </w:sectPr>
      </w:pPr>
    </w:p>
    <w:bookmarkStart w:id="231" w:name="page232"/>
    <w:bookmarkEnd w:id="231"/>
    <w:p>
      <w:pPr>
        <w:ind w:firstLine="648"/>
        <w:spacing w:after="0" w:line="255" w:lineRule="auto"/>
        <w:rPr>
          <w:sz w:val="20"/>
          <w:szCs w:val="20"/>
          <w:color w:val="auto"/>
        </w:rPr>
      </w:pPr>
      <w:r>
        <w:rPr>
          <w:rFonts w:ascii="Arial" w:cs="Arial" w:eastAsia="Arial" w:hAnsi="Arial"/>
          <w:sz w:val="18"/>
          <w:szCs w:val="18"/>
          <w:color w:val="auto"/>
        </w:rPr>
        <w:t>Any such waiver and any such amendment, supplement or modification shall apply equally to each of the affected Lenders and shall be binding upon Holdings, the Borrower, such Lenders, the Administrative Agent and all future holders of the affected Loans. In the case of any waiver, Holdings, the Borrower, the Lenders and the Administrative Agent shall be restored to their former positions and rights hereunder and under the other Credit Documents, and any Default or Event of Default waived shall be deemed to be cured and not continuing, it being understood that no such waiver shall extend to any subsequent or other Default or Event of Default or impair any right consequent thereon. In connection with the foregoing provisions, the Administrative Agent may, but shall have no obligations to, with the concurrence of any Lender, execute amendments, modifications, waivers or consents on behalf of such Lender.</w:t>
      </w:r>
    </w:p>
    <w:p>
      <w:pPr>
        <w:spacing w:after="0" w:line="18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Notwithstanding the foregoing, in addition to any credit extensions and related Joinder Agreement(s) effectuated without the consent of Lenders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 this Agreement may be amended (or amended and restated) with the written consent of the Required Lenders, the Administrative Agent, Holdings and the Borrower (a) to add one or more additional credit facilities to this Agreement and to permit the extensions of credit from time to time outstanding thereunder and the accrued interest and fees in respect thereof to share ratably in the benefits of this Agreement and the other Credit Documents with the Term Loans and the Revolving Credit Loans and the accrued interest and fees in respect thereof and (b) to include appropriately the Lenders holding such credit facilities in any determination of the Required Lenders and other definitions related to such new Term Loans and Revolving Credit Loans.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notwithstanding the foregoing, this Agreement may be amended with the written consent of the Administrative Agent, Holdings,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Borrower and the Lenders providing the relevant Replacement Term Loans to permit the refinancing of all outstanding Term Loans of any Class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Refinanced Term Loans</w:t>
      </w:r>
      <w:r>
        <w:rPr>
          <w:rFonts w:ascii="Arial" w:cs="Arial" w:eastAsia="Arial" w:hAnsi="Arial"/>
          <w:sz w:val="17"/>
          <w:szCs w:val="17"/>
          <w:color w:val="auto"/>
        </w:rPr>
        <w:t>”) with a replacement term loan tranche (“</w:t>
      </w:r>
      <w:r>
        <w:rPr>
          <w:rFonts w:ascii="Arial" w:cs="Arial" w:eastAsia="Arial" w:hAnsi="Arial"/>
          <w:sz w:val="17"/>
          <w:szCs w:val="17"/>
          <w:b w:val="1"/>
          <w:bCs w:val="1"/>
          <w:color w:val="auto"/>
        </w:rPr>
        <w:t>Replacement Term Loans</w:t>
      </w:r>
      <w:r>
        <w:rPr>
          <w:rFonts w:ascii="Arial" w:cs="Arial" w:eastAsia="Arial" w:hAnsi="Arial"/>
          <w:sz w:val="17"/>
          <w:szCs w:val="17"/>
          <w:color w:val="auto"/>
        </w:rPr>
        <w:t xml:space="preserv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aggregate principal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amount of such Replacement Term Loans shall not exceed the aggregate principal amount of such Refinanced Term Loans (</w:t>
      </w:r>
      <w:r>
        <w:rPr>
          <w:rFonts w:ascii="Arial" w:cs="Arial" w:eastAsia="Arial" w:hAnsi="Arial"/>
          <w:sz w:val="16"/>
          <w:szCs w:val="16"/>
          <w:i w:val="1"/>
          <w:iCs w:val="1"/>
          <w:color w:val="auto"/>
        </w:rPr>
        <w:t>plus</w:t>
      </w:r>
      <w:r>
        <w:rPr>
          <w:rFonts w:ascii="Arial" w:cs="Arial" w:eastAsia="Arial" w:hAnsi="Arial"/>
          <w:sz w:val="16"/>
          <w:szCs w:val="16"/>
          <w:color w:val="auto"/>
        </w:rPr>
        <w:t xml:space="preserve"> an amount equal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accrued but unpaid interest, fees, premiums, and expenses incurred in connection therewith), (b) the Applicable Margin for such Replacement Term Loans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not be higher than the Applicable Margin for such Refinanced Term Loans, unless any such Applicable Margin applies after the Term A Loan Maturity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with respect to Replacement Term Loans that are Term A Loans, (c) the weighted average life to maturity of such Replacement Term Loans shall not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shorter than the weighted average life to maturity of such Refinanced Term Loans at the time of such refinancing (except to the extent of nominal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amortization for periods where amortization has been eliminated as a result of prepayment of the applicable Term Loans), and (d) the covenants, events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default and guarantees shall be not materially more restrictive (taken as a whole) (as determined in good faith by the Borrower) to the Lenders providing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Replacement Term Loans than the covenants, events of default and guarantees applicable to such Refinanced Term Loans, except to the extent necessary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 for covenants, events of default and guarantees applicable to any period after the maturity date in respect of the Refinanced Term Loans in effect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immediately prior to such refinancing.</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-152-</w:t>
      </w:r>
    </w:p>
    <w:p>
      <w:pPr>
        <w:sectPr>
          <w:pgSz w:w="11900" w:h="16838" w:orient="portrait"/>
          <w:cols w:equalWidth="0" w:num="1">
            <w:col w:w="11400"/>
          </w:cols>
          <w:pgMar w:left="240" w:top="814" w:right="259" w:bottom="1440" w:gutter="0" w:footer="0" w:header="0"/>
        </w:sectPr>
      </w:pPr>
    </w:p>
    <w:bookmarkStart w:id="232" w:name="page233"/>
    <w:bookmarkEnd w:id="232"/>
    <w:p>
      <w:pPr>
        <w:ind w:firstLine="648"/>
        <w:spacing w:after="0" w:line="285" w:lineRule="auto"/>
        <w:rPr>
          <w:sz w:val="20"/>
          <w:szCs w:val="20"/>
          <w:color w:val="auto"/>
        </w:rPr>
      </w:pPr>
      <w:r>
        <w:rPr>
          <w:rFonts w:ascii="Arial" w:cs="Arial" w:eastAsia="Arial" w:hAnsi="Arial"/>
          <w:sz w:val="16"/>
          <w:szCs w:val="16"/>
          <w:color w:val="auto"/>
        </w:rPr>
        <w:t xml:space="preserve">The Lenders hereby irrevocably agree that the Liens granted to the Collateral Agent by the Credit Parties on any Collateral shall be automatically released (i) in full, upon the termination of this Agreement and the payment of all Obligations hereunder (except for (w) contingent indemnification obligations in respect of which a claim has not yet been made, (x) Secured Hedge Obligations, (y) cash collateralized Letters of Credit pursuant to arrangements reasonably acceptable to the applicable Letter of Credit Issuer, and (z) Secured Cash Management Obligations), (ii) upon the sale or other disposition of such Collateral (including as part of or in connection with any other sale or other disposition permitted hereunder) to any Person other than another Credit Party, to the extent such sale or other disposition is made in compliance with the terms of this Agreement (and the Collateral Agent may rely conclusively on a certificate to that effect provided to it by any Credit Party upon its reasonable request without further inquiry), (iii) to the extent such Collateral is comprised of property leased to a Credit Party, upon termination or expiration of such lease, (iv) if the release of such Lien is approved, authorized or ratified in writing by the Required Lenders (or such other percentage of the Lenders whose consent may be required in accordance with this </w:t>
      </w:r>
      <w:r>
        <w:rPr>
          <w:rFonts w:ascii="Arial" w:cs="Arial" w:eastAsia="Arial" w:hAnsi="Arial"/>
          <w:sz w:val="16"/>
          <w:szCs w:val="16"/>
          <w:u w:val="single" w:color="auto"/>
          <w:color w:val="auto"/>
        </w:rPr>
        <w:t>Section 13.1</w:t>
      </w:r>
      <w:r>
        <w:rPr>
          <w:rFonts w:ascii="Arial" w:cs="Arial" w:eastAsia="Arial" w:hAnsi="Arial"/>
          <w:sz w:val="16"/>
          <w:szCs w:val="16"/>
          <w:color w:val="auto"/>
        </w:rPr>
        <w:t>), (v) to the extent the property constituting such Collateral is owned by any Guarantor, upon the release of such Guarantor from its obligations under the applicable Guarantee (in accordance with the second following sentence), (vi) as required to effect any sale or other disposition of Collateral in connection with any exercise of remedies of the Collateral Agent pursuant to the Security Documents, and (vii) if such assets constitute Excluded Property or Excluded Stock or Stock Equivalents. Any such release shall not in any manner discharge, affect, or impair the Obligations or any Liens (other than those being released) upon (or obligations (other than those being released) of the Credit Parties in respect of) all interests retained by the Credit Parties, including the proceeds of any sale, all of which shall continue to constitute part of the Collateral except to the extent otherwise released in accordance with the provisions of the Credit Documents. Additionally, the Lenders hereby irrevocably agree that any Restricted Subsidiary that is a Guarantor shall be released from the Guarantees upon consummation of any transaction not prohibited hereunder resulting in such Subsidiary ceasing to constitute a Restricted Subsidiary. The Lenders hereby authorize the Administrative Agent and the Collateral Agent, as applicable, to execute and deliver any instruments, documents, and agreements necessary or desirable to evidence and confirm the release of any Guarantor or Collateral pursuant to the foregoing provisions of this paragraph, all without the further consent or joinder of any Lender.</w:t>
      </w:r>
    </w:p>
    <w:p>
      <w:pPr>
        <w:spacing w:after="0" w:line="38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Notwithstanding anything herein to the contrary, the Credit Documents may be amended to add syndication or documentation agents and make customary changes and references related thereto with the consent of only the Borrower and the Administrative Agent.</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-153-</w:t>
      </w:r>
    </w:p>
    <w:p>
      <w:pPr>
        <w:sectPr>
          <w:pgSz w:w="11900" w:h="16838" w:orient="portrait"/>
          <w:cols w:equalWidth="0" w:num="1">
            <w:col w:w="11340"/>
          </w:cols>
          <w:pgMar w:left="240" w:top="814" w:right="319" w:bottom="1440" w:gutter="0" w:footer="0" w:header="0"/>
        </w:sectPr>
      </w:pPr>
    </w:p>
    <w:bookmarkStart w:id="233" w:name="page234"/>
    <w:bookmarkEnd w:id="233"/>
    <w:p>
      <w:pPr>
        <w:ind w:firstLine="648"/>
        <w:spacing w:after="0" w:line="284" w:lineRule="auto"/>
        <w:rPr>
          <w:sz w:val="20"/>
          <w:szCs w:val="20"/>
          <w:color w:val="auto"/>
        </w:rPr>
      </w:pPr>
      <w:r>
        <w:rPr>
          <w:rFonts w:ascii="Arial" w:cs="Arial" w:eastAsia="Arial" w:hAnsi="Arial"/>
          <w:sz w:val="16"/>
          <w:szCs w:val="16"/>
          <w:color w:val="auto"/>
        </w:rPr>
        <w:t xml:space="preserve">Notwithstanding anything in this Agreement (including, without limitation, this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or any other Credit Document to the contrary, (i) this Agreement and the other Credit Documents may be amended to effect an incremental facility or extension facility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(and the Administrative Agent and the Borrower may effect such amendments to this Agreement and the other Credit Documents without the consent of any other party as may be necessary or appropriate, in the reasonable opinion of the Administrative Agent and the Borrower, to effect the terms of any such incremental facility or extension facility); (ii) no Lender consent is required to effect any amendment or supplement to the First Lien Intercreditor Agreement (if any), any intercreditor agreement or arrangement permitted under this Agreement that is for the purpose of adding the holders of any Indebtedness as expressly contemplated by the terms of the First Lien Intercreditor Agreement (if any) or such other intercreditor agreement or arrangement permitted under this Agreement, as applicable (it being understood that any such amendment or supplement may make such other changes to the applicable intercreditor agreement as, in the good faith determination of the Administrative Agent, are required to effectuate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other changes are not adverse, in any material respect, to the interests of the Lenders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such agreement shall amend, modify or otherwise directly and adversely affect the rights or duties of the Administrative Agent hereunder or under any other Credit Document without the prior written consent of the Administrative Agent; (iii) any provision of this Agreement or any other Credit Document may be amended by an agreement in writing entered into by the Borrower and the Administrative Agent to (x) cure any ambiguity, omission, mistake, defect or inconsistency (as reasonably determined by the Administrative Agent and the Borrower) and (y) effect administrative changes of a technical or immaterial nature (including to effect changes to the terms and conditions applicable solely to the Letter of Credit Issuer in respect of Issuances of Letters of Credit and such amendment shall be deemed approved by the Lenders if the Lenders shall have received at least five Business Days’ prior written notice of such change and the Administrative Agent shall not have received, within five Business Days of the date of such notice to the Lenders, a written notice from the Required Lenders stating that the Required Lenders object to such amendment; and (iv) guarantees, collateral documents and related documents executed by Credit Parties in connection with this Agreement may be in a form reasonably determined by the Administrative Agent and may be, together with any other Credit Document, entered into, amended, supplemented or waived, without the consent of any other Person, by the applicable Credit Party or Credit Parties and the Administrative Agent or the Collateral Agent in its or their respective sole discretion, to (A) effect the granting, perfection, protection, expansion or enhancement of any security interest in any Collateral or additional property to become Collateral for the benefit of the Secured Parties, (B) as required by local law or advice of counsel to give effect to, or protect any security interest for the benefit of the Secured Parties, in any property or so that the security interests therein comply with applicable requirements of law, or (C) to cure ambiguities, omissions, mistakes or defects (as reasonably determined by the Administrative Agent and the Borrower) or to cause such guarantee, collateral security document or other document to be consistent with this Agreement and the other Credit Documents.</w:t>
      </w:r>
    </w:p>
    <w:p>
      <w:pPr>
        <w:spacing w:after="0" w:line="17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Notwithstanding anything in this Agreement or any Security Document to the contrary, the Administrative Agent may, in its sole discretion, grant extensions of time for the satisfaction of any of the requirements under </w:t>
      </w:r>
      <w:r>
        <w:rPr>
          <w:rFonts w:ascii="Arial" w:cs="Arial" w:eastAsia="Arial" w:hAnsi="Arial"/>
          <w:sz w:val="17"/>
          <w:szCs w:val="17"/>
          <w:u w:val="single" w:color="auto"/>
          <w:color w:val="auto"/>
        </w:rPr>
        <w:t>Sections 9.12</w:t>
      </w:r>
      <w:r>
        <w:rPr>
          <w:rFonts w:ascii="Arial" w:cs="Arial" w:eastAsia="Arial" w:hAnsi="Arial"/>
          <w:sz w:val="17"/>
          <w:szCs w:val="17"/>
          <w:color w:val="auto"/>
        </w:rPr>
        <w:t xml:space="preserve">, </w:t>
      </w:r>
      <w:r>
        <w:rPr>
          <w:rFonts w:ascii="Arial" w:cs="Arial" w:eastAsia="Arial" w:hAnsi="Arial"/>
          <w:sz w:val="17"/>
          <w:szCs w:val="17"/>
          <w:u w:val="single" w:color="auto"/>
          <w:color w:val="auto"/>
        </w:rPr>
        <w:t>9.13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9.14</w:t>
      </w:r>
      <w:r>
        <w:rPr>
          <w:rFonts w:ascii="Arial" w:cs="Arial" w:eastAsia="Arial" w:hAnsi="Arial"/>
          <w:sz w:val="17"/>
          <w:szCs w:val="17"/>
          <w:color w:val="auto"/>
        </w:rPr>
        <w:t xml:space="preserve"> or any Security Documents in respect of any particular Collateral or any particular Subsidiary if it determines that the satisfaction thereof with respect to such Collateral or such Subsidiary cannot be accomplished without undue expense or unreasonable effort or due to factors beyond the control of Holdings and the Restricted Subsidiaries by the time or times at which it would otherwise be required to be satisfied under this Agreement or any Security Document.</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Notices</w:t>
      </w:r>
      <w:r>
        <w:rPr>
          <w:rFonts w:ascii="Arial" w:cs="Arial" w:eastAsia="Arial" w:hAnsi="Arial"/>
          <w:sz w:val="18"/>
          <w:szCs w:val="18"/>
          <w:color w:val="auto"/>
        </w:rPr>
        <w:t>. Unless otherwise expressly provided herein, all notices and other communications provided for hereunder or under any other Credit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-154-</w:t>
      </w:r>
    </w:p>
    <w:p>
      <w:pPr>
        <w:sectPr>
          <w:pgSz w:w="11900" w:h="16838" w:orient="portrait"/>
          <w:cols w:equalWidth="0" w:num="1">
            <w:col w:w="11380"/>
          </w:cols>
          <w:pgMar w:left="240" w:top="814" w:right="279" w:bottom="1440" w:gutter="0" w:footer="0" w:header="0"/>
        </w:sectPr>
      </w:pPr>
    </w:p>
    <w:bookmarkStart w:id="234" w:name="page235"/>
    <w:bookmarkEnd w:id="234"/>
    <w:p>
      <w:pPr>
        <w:ind w:left="660" w:firstLine="645"/>
        <w:spacing w:after="0" w:line="312" w:lineRule="auto"/>
        <w:tabs>
          <w:tab w:leader="none" w:pos="1688"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if to Holdings, the Borrower, the Administrative Agent, the Collateral Agent, the Letter of Credit Issuer or the Swingline Lender, to the address, facsimile number, electronic mail address or telephone number specified for such Person on </w:t>
      </w:r>
      <w:r>
        <w:rPr>
          <w:rFonts w:ascii="Arial" w:cs="Arial" w:eastAsia="Arial" w:hAnsi="Arial"/>
          <w:sz w:val="16"/>
          <w:szCs w:val="16"/>
          <w:u w:val="single" w:color="auto"/>
          <w:color w:val="auto"/>
        </w:rPr>
        <w:t>Schedule 13.2</w:t>
      </w:r>
      <w:r>
        <w:rPr>
          <w:rFonts w:ascii="Arial" w:cs="Arial" w:eastAsia="Arial" w:hAnsi="Arial"/>
          <w:sz w:val="16"/>
          <w:szCs w:val="16"/>
          <w:color w:val="auto"/>
        </w:rPr>
        <w:t xml:space="preserve"> or to such other address, facsimile number, electronic mail address or telephone number as shall be designated by such party in a notice to the other parties; and</w:t>
      </w:r>
    </w:p>
    <w:p>
      <w:pPr>
        <w:spacing w:after="0" w:line="146" w:lineRule="exact"/>
        <w:rPr>
          <w:rFonts w:ascii="Arial" w:cs="Arial" w:eastAsia="Arial" w:hAnsi="Arial"/>
          <w:sz w:val="16"/>
          <w:szCs w:val="16"/>
          <w:color w:val="auto"/>
        </w:rPr>
      </w:pPr>
    </w:p>
    <w:p>
      <w:pPr>
        <w:ind w:left="660" w:right="240" w:firstLine="645"/>
        <w:spacing w:after="0" w:line="312" w:lineRule="auto"/>
        <w:tabs>
          <w:tab w:leader="none" w:pos="1698"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Holdings and the Borrower, the Administrative Agent, the Collateral Agent, the Letter of Credit Issuer and the Swingline Lender.</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All such notices and other communications shall be deemed to be given or made upon the earlier to occur of (i) actual receipt by the relevant party hereto and</w:t>
      </w:r>
    </w:p>
    <w:p>
      <w:pPr>
        <w:spacing w:after="0" w:line="46" w:lineRule="exact"/>
        <w:rPr>
          <w:sz w:val="20"/>
          <w:szCs w:val="20"/>
          <w:color w:val="auto"/>
        </w:rPr>
      </w:pPr>
    </w:p>
    <w:p>
      <w:pPr>
        <w:ind w:left="280" w:hanging="272"/>
        <w:spacing w:after="0"/>
        <w:tabs>
          <w:tab w:leader="none" w:pos="28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(A) if delivered by hand or by courier, when signed for by or on behalf of the relevant party hereto; (B) if delivered by mail, three Business Days after</w:t>
      </w:r>
    </w:p>
    <w:p>
      <w:pPr>
        <w:spacing w:after="0" w:line="20" w:lineRule="exact"/>
        <w:rPr>
          <w:rFonts w:ascii="Arial" w:cs="Arial" w:eastAsia="Arial" w:hAnsi="Arial"/>
          <w:sz w:val="17"/>
          <w:szCs w:val="17"/>
          <w:color w:val="auto"/>
        </w:rPr>
      </w:pPr>
    </w:p>
    <w:p>
      <w:pPr>
        <w:ind w:right="80"/>
        <w:spacing w:after="0" w:line="255" w:lineRule="auto"/>
        <w:rPr>
          <w:rFonts w:ascii="Arial" w:cs="Arial" w:eastAsia="Arial" w:hAnsi="Arial"/>
          <w:sz w:val="17"/>
          <w:szCs w:val="17"/>
          <w:color w:val="auto"/>
        </w:rPr>
      </w:pPr>
      <w:r>
        <w:rPr>
          <w:rFonts w:ascii="Arial" w:cs="Arial" w:eastAsia="Arial" w:hAnsi="Arial"/>
          <w:sz w:val="18"/>
          <w:szCs w:val="18"/>
          <w:color w:val="auto"/>
        </w:rPr>
        <w:t xml:space="preserve">deposit in the mails, postage prepaid; (C) if delivered by facsimile, when sent and receipt has been confirmed by telephone; and (D) if delivered by electronic mail, when delivered;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notices and other communications to the Administrative Agent or the Lenders pursuant to </w:t>
      </w:r>
      <w:r>
        <w:rPr>
          <w:rFonts w:ascii="Arial" w:cs="Arial" w:eastAsia="Arial" w:hAnsi="Arial"/>
          <w:sz w:val="18"/>
          <w:szCs w:val="18"/>
          <w:u w:val="single" w:color="auto"/>
          <w:color w:val="auto"/>
        </w:rPr>
        <w:t>Sections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w:t>
      </w:r>
      <w:r>
        <w:rPr>
          <w:rFonts w:ascii="Arial" w:cs="Arial" w:eastAsia="Arial" w:hAnsi="Arial"/>
          <w:sz w:val="18"/>
          <w:szCs w:val="18"/>
          <w:u w:val="single" w:color="auto"/>
          <w:color w:val="auto"/>
        </w:rPr>
        <w:t>2.9</w:t>
      </w:r>
      <w:r>
        <w:rPr>
          <w:rFonts w:ascii="Arial" w:cs="Arial" w:eastAsia="Arial" w:hAnsi="Arial"/>
          <w:sz w:val="18"/>
          <w:szCs w:val="18"/>
          <w:color w:val="auto"/>
        </w:rPr>
        <w:t xml:space="preserve">,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shall not be effective until received.</w:t>
      </w:r>
    </w:p>
    <w:p>
      <w:pPr>
        <w:spacing w:after="0" w:line="190"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the Administrative Agent, the Collateral Agent or any Lender, any right, remedy, power or privilege hereunder or under the other Credit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8"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in the other Credit Documents and in any document, certificate or statement delivered pursuant hereto or in connection herewith shall survive the execution and delivery of this Agreement and the making of the Loans hereunder.</w:t>
      </w:r>
    </w:p>
    <w:p>
      <w:pPr>
        <w:spacing w:after="0" w:line="18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u w:val="single" w:color="auto"/>
          <w:color w:val="auto"/>
        </w:rPr>
        <w:t>Payment of Expenses; Indemnification</w:t>
      </w:r>
      <w:r>
        <w:rPr>
          <w:rFonts w:ascii="Arial" w:cs="Arial" w:eastAsia="Arial" w:hAnsi="Arial"/>
          <w:sz w:val="16"/>
          <w:szCs w:val="16"/>
          <w:color w:val="auto"/>
        </w:rPr>
        <w:t>.</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-155-</w:t>
      </w:r>
    </w:p>
    <w:p>
      <w:pPr>
        <w:sectPr>
          <w:pgSz w:w="11900" w:h="16838" w:orient="portrait"/>
          <w:cols w:equalWidth="0" w:num="1">
            <w:col w:w="11420"/>
          </w:cols>
          <w:pgMar w:left="240" w:top="814" w:right="239" w:bottom="1440" w:gutter="0" w:footer="0" w:header="0"/>
        </w:sectPr>
      </w:pPr>
    </w:p>
    <w:bookmarkStart w:id="235" w:name="page236"/>
    <w:bookmarkEnd w:id="235"/>
    <w:p>
      <w:pPr>
        <w:ind w:left="-40" w:firstLine="656"/>
        <w:spacing w:after="0" w:line="283" w:lineRule="auto"/>
        <w:tabs>
          <w:tab w:leader="none" w:pos="988" w:val="left"/>
        </w:tabs>
        <w:numPr>
          <w:ilvl w:val="0"/>
          <w:numId w:val="205"/>
        </w:numPr>
        <w:rPr>
          <w:rFonts w:ascii="Arial" w:cs="Arial" w:eastAsia="Arial" w:hAnsi="Arial"/>
          <w:sz w:val="16"/>
          <w:szCs w:val="16"/>
          <w:color w:val="auto"/>
        </w:rPr>
      </w:pPr>
      <w:r>
        <w:rPr>
          <w:rFonts w:ascii="Arial" w:cs="Arial" w:eastAsia="Arial" w:hAnsi="Arial"/>
          <w:sz w:val="16"/>
          <w:szCs w:val="16"/>
          <w:color w:val="auto"/>
        </w:rPr>
        <w:t>Each of Holdings and the Borrower, jointly and severally, agree (i) to pay or reimburse each of the Agents for all their reasonable and documented out-of-pocket costs and expenses (without duplication) incurred in connection with the development, preparation, execution and delivery of, and any amendment, supplement, modification to, waiver and/or enforcement this Agreement and the other Credit Documents and any other documents prepared in connection herewith or therewith, and the consummation and administration of the transactions contemplated hereby and thereby, including the reasonable fees, disbursements and other charges of Cahill Gordon &amp; Reindel LLP (or such other counsel as may be agreed by the Administrative Agent and the Borrower), one counsel in each relevant local jurisdiction with the consent of the Borrower (such consent not to be unreasonably withheld or delayed), (ii) to pay or reimburse each Agent for all their reasonable and documented out-of-pocket costs and expenses incurred in connection with the enforcement or preservation of any rights under this Agreement, the other Credit Documents and any such other documents, including the reasonable fees, disbursements and other charges of one firm or counsel to the Administrative Agent and the Collateral Agent, and, to the extent required, one firm or local counsel in each relevant local jurisdiction with the Borrower’s consent (such consent not to be unreasonably withheld or delayed (which may include a single special counsel acting in multiple jurisdictions), and (iii) to pay, indemnify and hold harmless each Lender, each Agent, the Letter of Credit Issuer and their respective Related Parties (without duplication) (the “</w:t>
      </w:r>
      <w:r>
        <w:rPr>
          <w:rFonts w:ascii="Arial" w:cs="Arial" w:eastAsia="Arial" w:hAnsi="Arial"/>
          <w:sz w:val="16"/>
          <w:szCs w:val="16"/>
          <w:b w:val="1"/>
          <w:bCs w:val="1"/>
          <w:color w:val="auto"/>
        </w:rPr>
        <w:t>Indemnified Persons</w:t>
      </w:r>
      <w:r>
        <w:rPr>
          <w:rFonts w:ascii="Arial" w:cs="Arial" w:eastAsia="Arial" w:hAnsi="Arial"/>
          <w:sz w:val="16"/>
          <w:szCs w:val="16"/>
          <w:color w:val="auto"/>
        </w:rPr>
        <w:t>”) from and against any and all losses, claims, damages, liabilities, obligations, demands, actions, judgements, suits, costs, expenses, disbursements or penalties of any kind or nature whatsoever (and the reasonable and documented out-of-pocket fees, expenses, disbursements and other charges of one firm of counsel for all Indemnified Persons, taken as a whole (and, in the case of an actual or perceived conflict of interest where the Indemnified Person affected by such conflict notifies the Borrower of any existence of such conflict and in connection with the investigating or defending any of the foregoing (including the reasonable fees) has retained its own counsel, of another firm of counsel for such affected Indemnified Person), and to the extent required, one firm or local counsel in each relevant jurisdiction (which may include a single special counsel acting in multiple jurisdictions)) of any such Indemnified Person arising out of or relating to any action, claim, litigation, investigation or other proceeding (regardless of whether such Indemnified Person is a party thereto or whether or not such action, claim, litigation or proceeding (including any inquiry or investigation of the foregoing) was brought by Holdings, any of its subsidiaries or any other Person), arising out of, or with respect to the Transactions or to the execution, enforcement, delivery, performance and administration of this Agreement, the other Credit Documents and any such other documents, including any of the foregoing relating to the violation of, noncompliance with or liability under, any Environmental Law or any actual or alleged presence, Release or threatened Release of Hazardous Materials attributable to Holdings or any of its Subsidiaries (all the foregoing in this clause (iii), collectively, the “</w:t>
      </w:r>
      <w:r>
        <w:rPr>
          <w:rFonts w:ascii="Arial" w:cs="Arial" w:eastAsia="Arial" w:hAnsi="Arial"/>
          <w:sz w:val="16"/>
          <w:szCs w:val="16"/>
          <w:b w:val="1"/>
          <w:bCs w:val="1"/>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Holdings and the Borrower shall have no obligation hereunder to any Indemnified Person with respect to indemnified liabilities to the extent arising from (i) the gross negligence, bad faith or willful misconduct of such Indemnified Person or any of its Related Parties as determined in a final and non-appealable judgment of a court of competent jurisdiction, (ii) a material breach of the obligations of such Indemnified Person or any of its Related Parties under the terms of this Agreement by such Indemnified Person or any of its Related Parties as determined in a final and non-appealable judgment of a court of competent jurisdiction, or (iii) any proceeding between and among Indemnified Persons that does not involve an act or omission by Holdings, the Borrower or its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Agents, to the extent acting in their capacity as such, shall remain indemnified in respect of such proceeding, to the extent that neither of the exceptions set forth in clause (i) or (ii) of the immediately preceding proviso applies to such person at such time. The agreements in this Section 13.5 shall survive repayment of the Loans and all other amounts payable hereunder. This Section 13.5 shall not apply with respect to Taxes, other than any Taxes that represent losses, claims, damages, liabilities, obligations, penalties, actions, judgments, suits, costs, expenses or disbursements arising from any non-Tax claim.</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-156-</w:t>
      </w:r>
    </w:p>
    <w:p>
      <w:pPr>
        <w:sectPr>
          <w:pgSz w:w="11900" w:h="16838" w:orient="portrait"/>
          <w:cols w:equalWidth="0" w:num="1">
            <w:col w:w="11340"/>
          </w:cols>
          <w:pgMar w:left="280" w:top="814" w:right="279" w:bottom="1440" w:gutter="0" w:footer="0" w:header="0"/>
        </w:sectPr>
      </w:pPr>
    </w:p>
    <w:bookmarkStart w:id="236" w:name="page237"/>
    <w:bookmarkEnd w:id="236"/>
    <w:p>
      <w:pPr>
        <w:ind w:right="100" w:firstLine="656"/>
        <w:spacing w:after="0" w:line="271" w:lineRule="auto"/>
        <w:tabs>
          <w:tab w:leader="none" w:pos="1038"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No Credit Party nor any Indemnified Person shall have any liability for any special, punitive, indirect or consequential damages resulting from this Agreement or any other Credit Document or arising out of its activities in connection herewith or therewith (whether before or after the Restatement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limit Holdings’ and the Borrower’s indemnification obligations to the Indemnified Persons pursuant to </w:t>
      </w:r>
      <w:r>
        <w:rPr>
          <w:rFonts w:ascii="Arial" w:cs="Arial" w:eastAsia="Arial" w:hAnsi="Arial"/>
          <w:sz w:val="17"/>
          <w:szCs w:val="17"/>
          <w:u w:val="single" w:color="auto"/>
          <w:color w:val="auto"/>
        </w:rPr>
        <w:t>Section 13.5(a)</w:t>
      </w:r>
      <w:r>
        <w:rPr>
          <w:rFonts w:ascii="Arial" w:cs="Arial" w:eastAsia="Arial" w:hAnsi="Arial"/>
          <w:sz w:val="17"/>
          <w:szCs w:val="17"/>
          <w:color w:val="auto"/>
        </w:rPr>
        <w:t xml:space="preserve"> in respect of damages incurred or paid by an Indemnified Person to a third party. No Indemnified Person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 except to the extent that such damages have resulted from the willful misconduct, bad faith or gross negligence of any Indemnified Person or any of its Related Parties as determined by a final and non-appealable judgment of a court of competent jurisdiction.</w:t>
      </w:r>
    </w:p>
    <w:p>
      <w:pPr>
        <w:spacing w:after="0" w:line="178" w:lineRule="exact"/>
        <w:rPr>
          <w:rFonts w:ascii="Arial" w:cs="Arial" w:eastAsia="Arial" w:hAnsi="Arial"/>
          <w:sz w:val="17"/>
          <w:szCs w:val="17"/>
          <w:color w:val="auto"/>
        </w:rPr>
      </w:pPr>
    </w:p>
    <w:p>
      <w:pPr>
        <w:jc w:val="both"/>
        <w:ind w:right="80" w:firstLine="656"/>
        <w:spacing w:after="0" w:line="264" w:lineRule="auto"/>
        <w:tabs>
          <w:tab w:leader="none" w:pos="102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Notwithstanding the foregoing, each Indemnified Person shall be obligated to refund or return any and all amounts paid by the Borrower under this </w:t>
      </w:r>
      <w:r>
        <w:rPr>
          <w:rFonts w:ascii="Arial" w:cs="Arial" w:eastAsia="Arial" w:hAnsi="Arial"/>
          <w:sz w:val="18"/>
          <w:szCs w:val="18"/>
          <w:u w:val="single" w:color="auto"/>
          <w:color w:val="auto"/>
        </w:rPr>
        <w:t>Section 13.5</w:t>
      </w:r>
      <w:r>
        <w:rPr>
          <w:rFonts w:ascii="Arial" w:cs="Arial" w:eastAsia="Arial" w:hAnsi="Arial"/>
          <w:sz w:val="18"/>
          <w:szCs w:val="18"/>
          <w:color w:val="auto"/>
        </w:rPr>
        <w:t xml:space="preserve"> to such Indemnified Person for any losses, claims, damages, liabilities and expenses to the extent such Indemnified Person is not entitled to payment of such amounts in accordance with the terms hereof.</w:t>
      </w:r>
    </w:p>
    <w:p>
      <w:pPr>
        <w:spacing w:after="0" w:line="18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u w:val="single" w:color="auto"/>
          <w:color w:val="auto"/>
        </w:rPr>
        <w:t>Successors and Assigns; Participations and Assignments</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90" w:lineRule="auto"/>
        <w:tabs>
          <w:tab w:leader="none" w:pos="1025"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shall be binding upon and inure to the benefit of the parties hereto and their respective successors and assigns permitted hereby, except that (i) except as expressly permitted by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the Borrower may not assign or otherwise transfer any of their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in accordance with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and, to the extent expressly contemplated hereby, the Related Parties of each of the Administrative Agent, the Collateral Agent, the Letter of Credit Issuer and the Lenders and each other Person entitled to indemnification under </w:t>
      </w:r>
      <w:r>
        <w:rPr>
          <w:rFonts w:ascii="Arial" w:cs="Arial" w:eastAsia="Arial" w:hAnsi="Arial"/>
          <w:sz w:val="16"/>
          <w:szCs w:val="16"/>
          <w:u w:val="single" w:color="auto"/>
          <w:color w:val="auto"/>
        </w:rPr>
        <w:t>Section 13.5</w:t>
      </w:r>
      <w:r>
        <w:rPr>
          <w:rFonts w:ascii="Arial" w:cs="Arial" w:eastAsia="Arial" w:hAnsi="Arial"/>
          <w:sz w:val="16"/>
          <w:szCs w:val="16"/>
          <w:color w:val="auto"/>
        </w:rPr>
        <w:t>) any legal or equitable right, remedy or claim under or by reason of this Agreement.</w:t>
      </w:r>
    </w:p>
    <w:p>
      <w:pPr>
        <w:spacing w:after="0" w:line="166" w:lineRule="exact"/>
        <w:rPr>
          <w:rFonts w:ascii="Arial" w:cs="Arial" w:eastAsia="Arial" w:hAnsi="Arial"/>
          <w:sz w:val="16"/>
          <w:szCs w:val="16"/>
          <w:color w:val="auto"/>
        </w:rPr>
      </w:pPr>
    </w:p>
    <w:p>
      <w:pPr>
        <w:jc w:val="both"/>
        <w:ind w:right="160" w:firstLine="656"/>
        <w:spacing w:after="0" w:line="297" w:lineRule="auto"/>
        <w:tabs>
          <w:tab w:leader="none" w:pos="1038"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(i). Subject to the conditions set forth in </w:t>
      </w:r>
      <w:r>
        <w:rPr>
          <w:rFonts w:ascii="Arial" w:cs="Arial" w:eastAsia="Arial" w:hAnsi="Arial"/>
          <w:sz w:val="16"/>
          <w:szCs w:val="16"/>
          <w:u w:val="single" w:color="auto"/>
          <w:color w:val="auto"/>
        </w:rPr>
        <w:t>clause (b)(ii)</w:t>
      </w:r>
      <w:r>
        <w:rPr>
          <w:rFonts w:ascii="Arial" w:cs="Arial" w:eastAsia="Arial" w:hAnsi="Arial"/>
          <w:sz w:val="16"/>
          <w:szCs w:val="16"/>
          <w:color w:val="auto"/>
        </w:rPr>
        <w:t xml:space="preserve"> below and </w:t>
      </w:r>
      <w:r>
        <w:rPr>
          <w:rFonts w:ascii="Arial" w:cs="Arial" w:eastAsia="Arial" w:hAnsi="Arial"/>
          <w:sz w:val="16"/>
          <w:szCs w:val="16"/>
          <w:u w:val="single" w:color="auto"/>
          <w:color w:val="auto"/>
        </w:rPr>
        <w:t>Section 13.7</w:t>
      </w:r>
      <w:r>
        <w:rPr>
          <w:rFonts w:ascii="Arial" w:cs="Arial" w:eastAsia="Arial" w:hAnsi="Arial"/>
          <w:sz w:val="16"/>
          <w:szCs w:val="16"/>
          <w:color w:val="auto"/>
        </w:rPr>
        <w:t>, any Lender may at any time assign to one or more assignees all or a portion of its rights and obligations under this Agreement (including all or a portion of its Commitments and the Loans (including participations in L/C Obligations or Swingline Loans) at the time owing to it) with the prior written consent (such consent not to be unreasonably withheld or delayed; it being understood that, without limitation, the Borrower shall have the right to withhold its consent to any assignment if, in order for such assignment to comply with applicable law, the Borrower would be required to obtain the consent of, or make any filing or registration with, any Governmental Authority) of:</w:t>
      </w:r>
    </w:p>
    <w:p>
      <w:pPr>
        <w:spacing w:after="0" w:line="158" w:lineRule="exact"/>
        <w:rPr>
          <w:rFonts w:ascii="Arial" w:cs="Arial" w:eastAsia="Arial" w:hAnsi="Arial"/>
          <w:sz w:val="16"/>
          <w:szCs w:val="16"/>
          <w:color w:val="auto"/>
        </w:rPr>
      </w:pPr>
    </w:p>
    <w:p>
      <w:pPr>
        <w:ind w:left="660" w:right="40" w:firstLine="645"/>
        <w:spacing w:after="0" w:line="264" w:lineRule="auto"/>
        <w:tabs>
          <w:tab w:leader="none" w:pos="173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 xml:space="preserve">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Borrower shall be required for (1) an assignment of Term Loans to (X) a Lender, (Y) an Affiliate of a Lender, or (Z) an Approved Fund or (2) an assignment of Loans or Commitments to any assignee if an Event of Default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(with respect to Holdings or the Borrower) has occurred and is continuing; and</w:t>
      </w:r>
    </w:p>
    <w:p>
      <w:pPr>
        <w:spacing w:after="0" w:line="181" w:lineRule="exact"/>
        <w:rPr>
          <w:rFonts w:ascii="Arial" w:cs="Arial" w:eastAsia="Arial" w:hAnsi="Arial"/>
          <w:sz w:val="18"/>
          <w:szCs w:val="18"/>
          <w:color w:val="auto"/>
        </w:rPr>
      </w:pPr>
    </w:p>
    <w:p>
      <w:pPr>
        <w:ind w:left="660" w:right="300" w:firstLine="645"/>
        <w:spacing w:after="0" w:line="286" w:lineRule="auto"/>
        <w:tabs>
          <w:tab w:leader="none" w:pos="1728" w:val="left"/>
        </w:tabs>
        <w:numPr>
          <w:ilvl w:val="1"/>
          <w:numId w:val="207"/>
        </w:numPr>
        <w:rPr>
          <w:rFonts w:ascii="Arial" w:cs="Arial" w:eastAsia="Arial" w:hAnsi="Arial"/>
          <w:sz w:val="17"/>
          <w:szCs w:val="17"/>
          <w:color w:val="auto"/>
        </w:rPr>
      </w:pPr>
      <w:r>
        <w:rPr>
          <w:rFonts w:ascii="Arial" w:cs="Arial" w:eastAsia="Arial" w:hAnsi="Arial"/>
          <w:sz w:val="17"/>
          <w:szCs w:val="17"/>
          <w:color w:val="auto"/>
        </w:rPr>
        <w:t xml:space="preserve">the Administrative Agent (not to be unreasonably withheld or delayed) and, in the case of Revolving Credit Commitments or Revolving Credit Loans only, the Swingline Lender and the Letter of Credit Issuer;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consent of the Administrative Agent shall be required for an assignment of any Term Loan to a Lender, an Affiliate of a Lender or an Approved Fund.</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the foregoing, (i) no such assignment shall be made to a natural Person, Disqualified Lender or Defaulting Lender and (ii) Holdings, the Borrower or Affiliates. For the avoidance of doubt, the Administrative Agent shall bear no responsibility or liability for monitoring and enforcing the list of Persons who are Disqualified Lenders at any time.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-157-</w:t>
      </w:r>
    </w:p>
    <w:p>
      <w:pPr>
        <w:sectPr>
          <w:pgSz w:w="11900" w:h="16838" w:orient="portrait"/>
          <w:cols w:equalWidth="0" w:num="1">
            <w:col w:w="11420"/>
          </w:cols>
          <w:pgMar w:left="240" w:top="814" w:right="239" w:bottom="1440" w:gutter="0" w:footer="0" w:header="0"/>
        </w:sectPr>
      </w:pPr>
    </w:p>
    <w:bookmarkStart w:id="237" w:name="page238"/>
    <w:bookmarkEnd w:id="237"/>
    <w:p>
      <w:pPr>
        <w:ind w:left="1300" w:hanging="421"/>
        <w:spacing w:after="0"/>
        <w:tabs>
          <w:tab w:leader="none" w:pos="1300" w:val="left"/>
        </w:tabs>
        <w:numPr>
          <w:ilvl w:val="0"/>
          <w:numId w:val="208"/>
        </w:numPr>
        <w:rPr>
          <w:rFonts w:ascii="Arial" w:cs="Arial" w:eastAsia="Arial" w:hAnsi="Arial"/>
          <w:sz w:val="20"/>
          <w:szCs w:val="20"/>
          <w:color w:val="auto"/>
        </w:rPr>
      </w:pPr>
      <w:r>
        <w:rPr>
          <w:rFonts w:ascii="Arial" w:cs="Arial" w:eastAsia="Arial" w:hAnsi="Arial"/>
          <w:sz w:val="18"/>
          <w:szCs w:val="18"/>
          <w:color w:val="auto"/>
        </w:rPr>
        <w:t>Assignments shall be subject to the following additional conditions:</w:t>
      </w:r>
    </w:p>
    <w:p>
      <w:pPr>
        <w:spacing w:after="0" w:line="202" w:lineRule="exact"/>
        <w:rPr>
          <w:rFonts w:ascii="Arial" w:cs="Arial" w:eastAsia="Arial" w:hAnsi="Arial"/>
          <w:sz w:val="20"/>
          <w:szCs w:val="20"/>
          <w:color w:val="auto"/>
        </w:rPr>
      </w:pPr>
    </w:p>
    <w:p>
      <w:pPr>
        <w:ind w:left="640" w:right="100" w:firstLine="645"/>
        <w:spacing w:after="0" w:line="270" w:lineRule="auto"/>
        <w:tabs>
          <w:tab w:leader="none" w:pos="1718" w:val="left"/>
        </w:tabs>
        <w:numPr>
          <w:ilvl w:val="1"/>
          <w:numId w:val="208"/>
        </w:numPr>
        <w:rPr>
          <w:rFonts w:ascii="Arial" w:cs="Arial" w:eastAsia="Arial" w:hAnsi="Arial"/>
          <w:sz w:val="17"/>
          <w:szCs w:val="17"/>
          <w:color w:val="auto"/>
        </w:rPr>
      </w:pPr>
      <w:r>
        <w:rPr>
          <w:rFonts w:ascii="Arial" w:cs="Arial" w:eastAsia="Arial" w:hAnsi="Arial"/>
          <w:sz w:val="17"/>
          <w:szCs w:val="17"/>
          <w:color w:val="auto"/>
        </w:rPr>
        <w:t xml:space="preserve">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Acceptance with respect to such assignment is delivered to the Administrative Agent) shall not be less than $5,000,000 in the case of Revolving Credit Commitments and $1,000,000 in the case of Term Loans, unless each of the Borrower and the Administrative Agent otherwise consents (which consents shall not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consent of the Borrower shall be required if an Event of Default under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has occurred and is continuing;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contemporaneous assignments by a Lender and its Affiliates or Approved Funds shall be aggregated for purposes of meeting the minimum assignment amount requirements stated above (and simultaneous assignments to or by two or more Related Funds shall be treated as one assignment), if any;</w:t>
      </w:r>
    </w:p>
    <w:p>
      <w:pPr>
        <w:spacing w:after="0" w:line="181" w:lineRule="exact"/>
        <w:rPr>
          <w:rFonts w:ascii="Arial" w:cs="Arial" w:eastAsia="Arial" w:hAnsi="Arial"/>
          <w:sz w:val="17"/>
          <w:szCs w:val="17"/>
          <w:color w:val="auto"/>
        </w:rPr>
      </w:pPr>
    </w:p>
    <w:p>
      <w:pPr>
        <w:ind w:left="640" w:right="40" w:firstLine="645"/>
        <w:spacing w:after="0" w:line="264" w:lineRule="auto"/>
        <w:tabs>
          <w:tab w:leader="none" w:pos="1708" w:val="left"/>
        </w:tabs>
        <w:numPr>
          <w:ilvl w:val="1"/>
          <w:numId w:val="208"/>
        </w:numPr>
        <w:rPr>
          <w:rFonts w:ascii="Arial" w:cs="Arial" w:eastAsia="Arial" w:hAnsi="Arial"/>
          <w:sz w:val="18"/>
          <w:szCs w:val="18"/>
          <w:color w:val="auto"/>
        </w:rPr>
      </w:pPr>
      <w:r>
        <w:rPr>
          <w:rFonts w:ascii="Arial" w:cs="Arial" w:eastAsia="Arial" w:hAnsi="Arial"/>
          <w:sz w:val="18"/>
          <w:szCs w:val="18"/>
          <w:color w:val="auto"/>
        </w:rPr>
        <w:t xml:space="preserve">each partial assignment shall be made as an assignment of a proportionate part of all the assigning Lender’s rights and obligations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shall not be construed to prohibit the assignment of a proportionate part of all the assigning Lender’s rights and obligations in respect of one Class of Commitments or Loans;</w:t>
      </w:r>
    </w:p>
    <w:p>
      <w:pPr>
        <w:spacing w:after="0" w:line="181" w:lineRule="exact"/>
        <w:rPr>
          <w:rFonts w:ascii="Arial" w:cs="Arial" w:eastAsia="Arial" w:hAnsi="Arial"/>
          <w:sz w:val="18"/>
          <w:szCs w:val="18"/>
          <w:color w:val="auto"/>
        </w:rPr>
      </w:pPr>
    </w:p>
    <w:p>
      <w:pPr>
        <w:jc w:val="both"/>
        <w:ind w:left="640" w:right="80" w:firstLine="645"/>
        <w:spacing w:after="0" w:line="259" w:lineRule="auto"/>
        <w:tabs>
          <w:tab w:leader="none" w:pos="1708" w:val="left"/>
        </w:tabs>
        <w:numPr>
          <w:ilvl w:val="1"/>
          <w:numId w:val="208"/>
        </w:numPr>
        <w:rPr>
          <w:rFonts w:ascii="Arial" w:cs="Arial" w:eastAsia="Arial" w:hAnsi="Arial"/>
          <w:sz w:val="18"/>
          <w:szCs w:val="18"/>
          <w:color w:val="auto"/>
        </w:rPr>
      </w:pPr>
      <w:r>
        <w:rPr>
          <w:rFonts w:ascii="Arial" w:cs="Arial" w:eastAsia="Arial" w:hAnsi="Arial"/>
          <w:sz w:val="18"/>
          <w:szCs w:val="18"/>
          <w:color w:val="auto"/>
        </w:rPr>
        <w:t xml:space="preserve">the parties to each assignment shall execute and deliver to the Administrative Agent an Assignment and Acceptance via an electronic settlement system or other method reasonably acceptable to the Administrative Agent,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in its sole discretion, elect to waive such processing and recordation fee in the case of any assignment; and</w:t>
      </w:r>
    </w:p>
    <w:p>
      <w:pPr>
        <w:spacing w:after="0" w:line="186" w:lineRule="exact"/>
        <w:rPr>
          <w:rFonts w:ascii="Arial" w:cs="Arial" w:eastAsia="Arial" w:hAnsi="Arial"/>
          <w:sz w:val="18"/>
          <w:szCs w:val="18"/>
          <w:color w:val="auto"/>
        </w:rPr>
      </w:pPr>
    </w:p>
    <w:p>
      <w:pPr>
        <w:ind w:left="640" w:right="140" w:firstLine="645"/>
        <w:spacing w:after="0" w:line="308" w:lineRule="auto"/>
        <w:tabs>
          <w:tab w:leader="none" w:pos="1718" w:val="left"/>
        </w:tabs>
        <w:numPr>
          <w:ilvl w:val="1"/>
          <w:numId w:val="208"/>
        </w:numPr>
        <w:rPr>
          <w:rFonts w:ascii="Arial" w:cs="Arial" w:eastAsia="Arial" w:hAnsi="Arial"/>
          <w:sz w:val="17"/>
          <w:szCs w:val="17"/>
          <w:color w:val="auto"/>
        </w:rPr>
      </w:pPr>
      <w:r>
        <w:rPr>
          <w:rFonts w:ascii="Arial" w:cs="Arial" w:eastAsia="Arial" w:hAnsi="Arial"/>
          <w:sz w:val="17"/>
          <w:szCs w:val="17"/>
          <w:color w:val="auto"/>
        </w:rPr>
        <w:t>the assignee, if it shall not be a Lender, shall deliver to the Administrative Agent an administrative questionnaire in a form approved by the Administrative Agent (the “</w:t>
      </w:r>
      <w:r>
        <w:rPr>
          <w:rFonts w:ascii="Arial" w:cs="Arial" w:eastAsia="Arial" w:hAnsi="Arial"/>
          <w:sz w:val="17"/>
          <w:szCs w:val="17"/>
          <w:b w:val="1"/>
          <w:bCs w:val="1"/>
          <w:color w:val="auto"/>
        </w:rPr>
        <w:t>Administrative Questionnaire</w:t>
      </w:r>
      <w:r>
        <w:rPr>
          <w:rFonts w:ascii="Arial" w:cs="Arial" w:eastAsia="Arial" w:hAnsi="Arial"/>
          <w:sz w:val="17"/>
          <w:szCs w:val="17"/>
          <w:color w:val="auto"/>
        </w:rPr>
        <w:t xml:space="preserve">”) and applicable tax forms (as required under </w:t>
      </w:r>
      <w:r>
        <w:rPr>
          <w:rFonts w:ascii="Arial" w:cs="Arial" w:eastAsia="Arial" w:hAnsi="Arial"/>
          <w:sz w:val="17"/>
          <w:szCs w:val="17"/>
          <w:u w:val="single" w:color="auto"/>
          <w:color w:val="auto"/>
        </w:rPr>
        <w:t>Section 5.4(e))</w:t>
      </w:r>
      <w:r>
        <w:rPr>
          <w:rFonts w:ascii="Arial" w:cs="Arial" w:eastAsia="Arial" w:hAnsi="Arial"/>
          <w:sz w:val="17"/>
          <w:szCs w:val="17"/>
          <w:color w:val="auto"/>
        </w:rPr>
        <w:t>.</w:t>
      </w:r>
    </w:p>
    <w:p>
      <w:pPr>
        <w:spacing w:after="0" w:line="160" w:lineRule="exact"/>
        <w:rPr>
          <w:rFonts w:ascii="Arial" w:cs="Arial" w:eastAsia="Arial" w:hAnsi="Arial"/>
          <w:sz w:val="17"/>
          <w:szCs w:val="17"/>
          <w:color w:val="auto"/>
        </w:rPr>
      </w:pPr>
    </w:p>
    <w:p>
      <w:pPr>
        <w:ind w:left="-20" w:firstLine="899"/>
        <w:spacing w:after="0" w:line="301" w:lineRule="auto"/>
        <w:tabs>
          <w:tab w:leader="none" w:pos="1348" w:val="left"/>
        </w:tabs>
        <w:numPr>
          <w:ilvl w:val="0"/>
          <w:numId w:val="208"/>
        </w:numPr>
        <w:rPr>
          <w:rFonts w:ascii="Arial" w:cs="Arial" w:eastAsia="Arial" w:hAnsi="Arial"/>
          <w:sz w:val="18"/>
          <w:szCs w:val="18"/>
          <w:color w:val="auto"/>
        </w:rPr>
      </w:pPr>
      <w:r>
        <w:rPr>
          <w:rFonts w:ascii="Arial" w:cs="Arial" w:eastAsia="Arial" w:hAnsi="Arial"/>
          <w:sz w:val="16"/>
          <w:szCs w:val="16"/>
          <w:color w:val="auto"/>
        </w:rPr>
        <w:t xml:space="preserve">Subject to acceptance and recording thereof pursuant to </w:t>
      </w:r>
      <w:r>
        <w:rPr>
          <w:rFonts w:ascii="Arial" w:cs="Arial" w:eastAsia="Arial" w:hAnsi="Arial"/>
          <w:sz w:val="16"/>
          <w:szCs w:val="16"/>
          <w:u w:val="single" w:color="auto"/>
          <w:color w:val="auto"/>
        </w:rPr>
        <w:t>clause (b)(v)</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13.5</w:t>
      </w:r>
      <w:r>
        <w:rPr>
          <w:rFonts w:ascii="Arial" w:cs="Arial" w:eastAsia="Arial" w:hAnsi="Arial"/>
          <w:sz w:val="16"/>
          <w:szCs w:val="16"/>
          <w:color w:val="auto"/>
        </w:rPr>
        <w:t xml:space="preserve">). Any assignment or transfer by a Lender of rights or obligations under this Agreement that does not comply with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For the avoidance of doubt, in case of an assignment to a new Lender pursuant to this </w:t>
      </w:r>
      <w:r>
        <w:rPr>
          <w:rFonts w:ascii="Arial" w:cs="Arial" w:eastAsia="Arial" w:hAnsi="Arial"/>
          <w:sz w:val="16"/>
          <w:szCs w:val="16"/>
          <w:u w:val="single" w:color="auto"/>
          <w:color w:val="auto"/>
        </w:rPr>
        <w:t>Section 13.6</w:t>
      </w:r>
      <w:r>
        <w:rPr>
          <w:rFonts w:ascii="Arial" w:cs="Arial" w:eastAsia="Arial" w:hAnsi="Arial"/>
          <w:sz w:val="16"/>
          <w:szCs w:val="16"/>
          <w:color w:val="auto"/>
        </w:rPr>
        <w:t>, (i) the Administrative Agent, the new Lender and other Lenders shall acquire the same rights and assume the same obligations between themselves as they would have acquired and assumed had the new Lender been an original Lender signatory to this Agreement with the rights and/or obligations acquired or assumed by it as a result of the assignment and to the extent of the assignment the assigning Lender shall each be released from further obligations under the Credit Documents and (ii) the benefit of each Security Document shall be maintained in favor of the new Lender.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-158-</w:t>
      </w:r>
    </w:p>
    <w:p>
      <w:pPr>
        <w:sectPr>
          <w:pgSz w:w="11900" w:h="16838" w:orient="portrait"/>
          <w:cols w:equalWidth="0" w:num="1">
            <w:col w:w="11380"/>
          </w:cols>
          <w:pgMar w:left="260" w:top="828" w:right="259" w:bottom="1440" w:gutter="0" w:footer="0" w:header="0"/>
        </w:sectPr>
      </w:pPr>
    </w:p>
    <w:bookmarkStart w:id="238" w:name="page239"/>
    <w:bookmarkEnd w:id="238"/>
    <w:p>
      <w:pPr>
        <w:ind w:left="-20" w:right="120" w:firstLine="899"/>
        <w:spacing w:after="0" w:line="302" w:lineRule="auto"/>
        <w:tabs>
          <w:tab w:leader="none" w:pos="1334" w:val="left"/>
        </w:tabs>
        <w:numPr>
          <w:ilvl w:val="1"/>
          <w:numId w:val="209"/>
        </w:numPr>
        <w:rPr>
          <w:rFonts w:ascii="Arial" w:cs="Arial" w:eastAsia="Arial" w:hAnsi="Arial"/>
          <w:sz w:val="18"/>
          <w:szCs w:val="18"/>
          <w:color w:val="auto"/>
        </w:rPr>
      </w:pPr>
      <w:r>
        <w:rPr>
          <w:rFonts w:ascii="Arial" w:cs="Arial" w:eastAsia="Arial" w:hAnsi="Arial"/>
          <w:sz w:val="16"/>
          <w:szCs w:val="16"/>
          <w:color w:val="auto"/>
        </w:rPr>
        <w:t>The Administrative Agent, acting for this purpose as a non-fiduciary agent of the Borrower, shall maintain at the Administrative Agent’s Office a copy of each Assignment and Acceptance delivered to it and a register for the recordation of the names and addresses of the Lenders, and the Commitments of, and principal amount of the Loans (and stated interest amounts) and any payment made by the Letter of Credit Issuer under any Letter of Credit owing to each Lender pursuant to the terms hereof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The entries in the Register shall be conclusive, absent manifest error, and the Borrower, the Administrative Agent, the Collateral Agent, the Letter of Credit Issuer and the Lenders shall treat each Person whose name is recorded in the Register pursuant to the terms hereof as a Lender hereunder for all purposes of this Agreement, notwithstanding notice to the contrary. The Register shall be available for inspection by the Borrower, the Collateral Agent, the Letter of Credit Issuer, the Administrative Agent and its Affiliates and, with respect to itself, any Lender, at any reasonable time and from time to time upon reasonable prior notice.</w:t>
      </w:r>
    </w:p>
    <w:p>
      <w:pPr>
        <w:spacing w:after="0" w:line="171" w:lineRule="exact"/>
        <w:rPr>
          <w:rFonts w:ascii="Arial" w:cs="Arial" w:eastAsia="Arial" w:hAnsi="Arial"/>
          <w:sz w:val="18"/>
          <w:szCs w:val="18"/>
          <w:color w:val="auto"/>
        </w:rPr>
      </w:pPr>
    </w:p>
    <w:p>
      <w:pPr>
        <w:ind w:left="-20" w:right="40" w:firstLine="899"/>
        <w:spacing w:after="0" w:line="305" w:lineRule="auto"/>
        <w:tabs>
          <w:tab w:leader="none" w:pos="1282" w:val="left"/>
        </w:tabs>
        <w:numPr>
          <w:ilvl w:val="1"/>
          <w:numId w:val="209"/>
        </w:numPr>
        <w:rPr>
          <w:rFonts w:ascii="Arial" w:cs="Arial" w:eastAsia="Arial" w:hAnsi="Arial"/>
          <w:sz w:val="18"/>
          <w:szCs w:val="18"/>
          <w:color w:val="auto"/>
        </w:rPr>
      </w:pPr>
      <w:r>
        <w:rPr>
          <w:rFonts w:ascii="Arial" w:cs="Arial" w:eastAsia="Arial" w:hAnsi="Arial"/>
          <w:sz w:val="16"/>
          <w:szCs w:val="16"/>
          <w:color w:val="auto"/>
        </w:rPr>
        <w:t xml:space="preserve">Upon its receipt of a duly completed Assignment and Acceptance executed by an assigning Lender and an assignee, the assignee’s completed Administrative Questionnaire and applicable tax forms (unless the assignee shall already be a Lender hereunder), the processing and recordation fee referred to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and any written consent to such assignment required by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the Administrative Agent shall promptly accept such Assignment and Acceptance and record the information contained therein in the Register. No assignment, whether or not evidenced by a promissory note, shall be effective for purposes of this Agreement unless it has been recorded in the Register as provided in this clause (b)(v).</w:t>
      </w:r>
    </w:p>
    <w:p>
      <w:pPr>
        <w:spacing w:after="0" w:line="152" w:lineRule="exact"/>
        <w:rPr>
          <w:rFonts w:ascii="Arial" w:cs="Arial" w:eastAsia="Arial" w:hAnsi="Arial"/>
          <w:sz w:val="18"/>
          <w:szCs w:val="18"/>
          <w:color w:val="auto"/>
        </w:rPr>
      </w:pPr>
    </w:p>
    <w:p>
      <w:pPr>
        <w:ind w:left="-20" w:firstLine="656"/>
        <w:spacing w:after="0" w:line="267" w:lineRule="auto"/>
        <w:tabs>
          <w:tab w:leader="none" w:pos="1008" w:val="left"/>
        </w:tabs>
        <w:numPr>
          <w:ilvl w:val="0"/>
          <w:numId w:val="210"/>
        </w:numPr>
        <w:rPr>
          <w:rFonts w:ascii="Arial" w:cs="Arial" w:eastAsia="Arial" w:hAnsi="Arial"/>
          <w:sz w:val="17"/>
          <w:szCs w:val="17"/>
          <w:color w:val="auto"/>
        </w:rPr>
      </w:pPr>
      <w:r>
        <w:rPr>
          <w:rFonts w:ascii="Arial" w:cs="Arial" w:eastAsia="Arial" w:hAnsi="Arial"/>
          <w:sz w:val="17"/>
          <w:szCs w:val="17"/>
          <w:color w:val="auto"/>
        </w:rPr>
        <w:t xml:space="preserve">(i). Any Lender may, without the consent of the Borrower or the Administrative Agent, the Letter of Credit Issuer or the Swingline Lender, sell participations to one or more banks or other entities (other than (x) a natural person (or a holding company, investment vehicle or trust for, or owned and operated by or for the primary benefit of a natural Person), (y) Holdings and its Subsidiaries or Affiliates and (z) any Disqualified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clause (y) hereof, participations may be sold to Disqualified Lenders unless a list of Disqualified Lenders has been made available to all Lenders) (each, a “</w:t>
      </w:r>
      <w:r>
        <w:rPr>
          <w:rFonts w:ascii="Arial" w:cs="Arial" w:eastAsia="Arial" w:hAnsi="Arial"/>
          <w:sz w:val="17"/>
          <w:szCs w:val="17"/>
          <w:b w:val="1"/>
          <w:bCs w:val="1"/>
          <w:color w:val="auto"/>
        </w:rPr>
        <w:t>Participant</w:t>
      </w:r>
      <w:r>
        <w:rPr>
          <w:rFonts w:ascii="Arial" w:cs="Arial" w:eastAsia="Arial" w:hAnsi="Arial"/>
          <w:sz w:val="17"/>
          <w:szCs w:val="17"/>
          <w:color w:val="auto"/>
        </w:rPr>
        <w:t xml:space="preserve">”) in all or a portion of such Lender’s rights and obligations under this Agreement (including all or a portion of its Commitments and the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Letter of Credit Issuer, and the other Lenders shall continue to deal solely and directly with such Lender in connection with such Lender’s rights and obligations under this Agreement. For the avoidance of doubt, the Administrative Agent shall bear no responsibility or liability for monitoring and enforcing the list of Disqualified Lenders or the sales of participations thereto at any time. Any agreement or instrument pursuant to which a Lender sells such a participation shall provide that such Lender shall retain the sole right to enforce this Agreement and to approve any amendment, modification or waiver of any provision of this Agreement or any other Credit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modification or waiver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of the second proviso to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that affects such Participant. Subject to </w:t>
      </w:r>
      <w:r>
        <w:rPr>
          <w:rFonts w:ascii="Arial" w:cs="Arial" w:eastAsia="Arial" w:hAnsi="Arial"/>
          <w:sz w:val="17"/>
          <w:szCs w:val="17"/>
          <w:u w:val="single" w:color="auto"/>
          <w:color w:val="auto"/>
        </w:rPr>
        <w:t>clause (c)(ii)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the Borrower agrees that each Participant shall be entitled to the benefits of </w:t>
      </w:r>
      <w:r>
        <w:rPr>
          <w:rFonts w:ascii="Arial" w:cs="Arial" w:eastAsia="Arial" w:hAnsi="Arial"/>
          <w:sz w:val="17"/>
          <w:szCs w:val="17"/>
          <w:u w:val="single" w:color="auto"/>
          <w:color w:val="auto"/>
        </w:rPr>
        <w:t>Sections 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to the same extent as if it were a Lender (subject to the limitations and requirements of those Sections as though it were a Lender and had acquired its interest by assignment pursuant to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including the requirements of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(it being agreed that any documentation required under Section 5.4(e) shall be provided solely to the participating Lender)). To the extent permitted by law, each Participant also shall be entitled to the benefits of </w:t>
      </w:r>
      <w:r>
        <w:rPr>
          <w:rFonts w:ascii="Arial" w:cs="Arial" w:eastAsia="Arial" w:hAnsi="Arial"/>
          <w:sz w:val="17"/>
          <w:szCs w:val="17"/>
          <w:u w:val="single" w:color="auto"/>
          <w:color w:val="auto"/>
        </w:rPr>
        <w:t>Section 13.8(b)</w:t>
      </w:r>
      <w:r>
        <w:rPr>
          <w:rFonts w:ascii="Arial" w:cs="Arial" w:eastAsia="Arial" w:hAnsi="Arial"/>
          <w:sz w:val="17"/>
          <w:szCs w:val="17"/>
          <w:color w:val="auto"/>
        </w:rPr>
        <w:t xml:space="preserve">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Participant shall be subject to </w:t>
      </w:r>
      <w:r>
        <w:rPr>
          <w:rFonts w:ascii="Arial" w:cs="Arial" w:eastAsia="Arial" w:hAnsi="Arial"/>
          <w:sz w:val="17"/>
          <w:szCs w:val="17"/>
          <w:u w:val="single" w:color="auto"/>
          <w:color w:val="auto"/>
        </w:rPr>
        <w:t>Section 13.8(a)</w:t>
      </w:r>
      <w:r>
        <w:rPr>
          <w:rFonts w:ascii="Arial" w:cs="Arial" w:eastAsia="Arial" w:hAnsi="Arial"/>
          <w:sz w:val="17"/>
          <w:szCs w:val="17"/>
          <w:color w:val="auto"/>
        </w:rPr>
        <w:t xml:space="preserve"> as though it were a Lender.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-159-</w:t>
      </w:r>
    </w:p>
    <w:p>
      <w:pPr>
        <w:sectPr>
          <w:pgSz w:w="11900" w:h="16838" w:orient="portrait"/>
          <w:cols w:equalWidth="0" w:num="1">
            <w:col w:w="11380"/>
          </w:cols>
          <w:pgMar w:left="260" w:top="828" w:right="259" w:bottom="1440" w:gutter="0" w:footer="0" w:header="0"/>
        </w:sectPr>
      </w:pPr>
    </w:p>
    <w:bookmarkStart w:id="239" w:name="page240"/>
    <w:bookmarkEnd w:id="239"/>
    <w:p>
      <w:pPr>
        <w:ind w:left="-20" w:firstLine="899"/>
        <w:spacing w:after="0" w:line="282" w:lineRule="auto"/>
        <w:tabs>
          <w:tab w:leader="none" w:pos="1283" w:val="left"/>
        </w:tabs>
        <w:numPr>
          <w:ilvl w:val="1"/>
          <w:numId w:val="211"/>
        </w:numPr>
        <w:rPr>
          <w:rFonts w:ascii="Arial" w:cs="Arial" w:eastAsia="Arial" w:hAnsi="Arial"/>
          <w:sz w:val="19"/>
          <w:szCs w:val="19"/>
          <w:color w:val="auto"/>
        </w:rPr>
      </w:pPr>
      <w:r>
        <w:rPr>
          <w:rFonts w:ascii="Arial" w:cs="Arial" w:eastAsia="Arial" w:hAnsi="Arial"/>
          <w:sz w:val="17"/>
          <w:szCs w:val="17"/>
          <w:color w:val="auto"/>
        </w:rPr>
        <w:t xml:space="preserve">A Participant shall not be entitled to receive any greater payment under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than the applicable Lender would have been entitled to receive absent the sale of such the participation sold to such Participant, unless the sale of the participation to such Participant is made with the Borrower’s prior written consent (which consent shall not be unreasonably withheld). Each Lender that sells a participation shall, acting solely for this purpose as a non-fiduciary agent of the Borrower, maintain a register on which it enters the name and address of each Participant and the principal amounts (and stated interest amounts) of each Participant’s interest in the Loans or other obligations under this Agreement (the “</w:t>
      </w:r>
      <w:r>
        <w:rPr>
          <w:rFonts w:ascii="Arial" w:cs="Arial" w:eastAsia="Arial" w:hAnsi="Arial"/>
          <w:sz w:val="17"/>
          <w:szCs w:val="17"/>
          <w:b w:val="1"/>
          <w:bCs w:val="1"/>
          <w:color w:val="auto"/>
        </w:rPr>
        <w:t>Participant Register</w:t>
      </w:r>
      <w:r>
        <w:rPr>
          <w:rFonts w:ascii="Arial" w:cs="Arial" w:eastAsia="Arial" w:hAnsi="Arial"/>
          <w:sz w:val="17"/>
          <w:szCs w:val="17"/>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Credit Document) except to the extent that such disclosure is necessary to establish that such commitment, loan, letter of credit or other obligation is in registered form under Section 5f.103-1(c) of the United States Treasury Regulations.</w:t>
      </w:r>
    </w:p>
    <w:p>
      <w:pPr>
        <w:spacing w:after="0" w:line="174" w:lineRule="exact"/>
        <w:rPr>
          <w:rFonts w:ascii="Arial" w:cs="Arial" w:eastAsia="Arial" w:hAnsi="Arial"/>
          <w:sz w:val="19"/>
          <w:szCs w:val="19"/>
          <w:color w:val="auto"/>
        </w:rPr>
      </w:pPr>
    </w:p>
    <w:p>
      <w:pPr>
        <w:jc w:val="both"/>
        <w:ind w:left="-20" w:right="20" w:firstLine="656"/>
        <w:spacing w:after="0" w:line="257" w:lineRule="auto"/>
        <w:tabs>
          <w:tab w:leader="none" w:pos="100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having jurisdiction over such Lender and this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8" w:lineRule="exact"/>
        <w:rPr>
          <w:rFonts w:ascii="Arial" w:cs="Arial" w:eastAsia="Arial" w:hAnsi="Arial"/>
          <w:sz w:val="18"/>
          <w:szCs w:val="18"/>
          <w:color w:val="auto"/>
        </w:rPr>
      </w:pPr>
    </w:p>
    <w:p>
      <w:pPr>
        <w:ind w:left="-20" w:right="20" w:firstLine="656"/>
        <w:spacing w:after="0" w:line="257" w:lineRule="auto"/>
        <w:tabs>
          <w:tab w:leader="none" w:pos="100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13.16</w:t>
      </w:r>
      <w:r>
        <w:rPr>
          <w:rFonts w:ascii="Arial" w:cs="Arial" w:eastAsia="Arial" w:hAnsi="Arial"/>
          <w:sz w:val="18"/>
          <w:szCs w:val="18"/>
          <w:color w:val="auto"/>
        </w:rPr>
        <w:t>, the Borrower authorizes each Lender to disclose to any Participant, secured creditor of such Lender or assignee (each, a “</w:t>
      </w:r>
      <w:r>
        <w:rPr>
          <w:rFonts w:ascii="Arial" w:cs="Arial" w:eastAsia="Arial" w:hAnsi="Arial"/>
          <w:sz w:val="18"/>
          <w:szCs w:val="18"/>
          <w:b w:val="1"/>
          <w:bCs w:val="1"/>
          <w:color w:val="auto"/>
        </w:rPr>
        <w:t>Transferee</w:t>
      </w:r>
      <w:r>
        <w:rPr>
          <w:rFonts w:ascii="Arial" w:cs="Arial" w:eastAsia="Arial" w:hAnsi="Arial"/>
          <w:sz w:val="18"/>
          <w:szCs w:val="18"/>
          <w:color w:val="auto"/>
        </w:rPr>
        <w:t>”) and any prospective Transferee any and all financial information in such Lender’s possession concerning the Borrower and their Affiliates that has been delivered to such Lender by or on behalf of the Borrower and their Affiliates pursuant to this Agreement or that has been delivered to such Lender by or on behalf of the Borrower and their Affiliates in connection with such Lender’s credit evaluation of the Borrower and their Affiliates prior to becoming a party to this Agreement.</w:t>
      </w:r>
    </w:p>
    <w:p>
      <w:pPr>
        <w:spacing w:after="0" w:line="188" w:lineRule="exact"/>
        <w:rPr>
          <w:rFonts w:ascii="Arial" w:cs="Arial" w:eastAsia="Arial" w:hAnsi="Arial"/>
          <w:sz w:val="18"/>
          <w:szCs w:val="18"/>
          <w:color w:val="auto"/>
        </w:rPr>
      </w:pPr>
    </w:p>
    <w:p>
      <w:pPr>
        <w:ind w:left="-20" w:right="100" w:firstLine="656"/>
        <w:spacing w:after="0" w:line="270" w:lineRule="auto"/>
        <w:tabs>
          <w:tab w:leader="none" w:pos="985"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The words “execution,” “signed,” “signature,” and words of like import used in connection with this Agreement and the transactions contemplated hereby (including without limitation Assignment and Acceptances, amendments or other modifications, Notices of Borrowing,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contained herein to the contrary, the Administrative Agent nor any Letter of Credit Issuer or Lenders is under no obligation to agree to accept electronic signatures in any form or in any format unless expressly agreed to by the Administrative Agent pursuant to procedures approved by it.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-160-</w:t>
      </w:r>
    </w:p>
    <w:p>
      <w:pPr>
        <w:sectPr>
          <w:pgSz w:w="11900" w:h="16838" w:orient="portrait"/>
          <w:cols w:equalWidth="0" w:num="1">
            <w:col w:w="11380"/>
          </w:cols>
          <w:pgMar w:left="260" w:top="827" w:right="259" w:bottom="1440" w:gutter="0" w:footer="0" w:header="0"/>
        </w:sectPr>
      </w:pPr>
    </w:p>
    <w:bookmarkStart w:id="240" w:name="page241"/>
    <w:bookmarkEnd w:id="240"/>
    <w:p>
      <w:pPr>
        <w:ind w:firstLine="656"/>
        <w:spacing w:after="0" w:line="284" w:lineRule="auto"/>
        <w:tabs>
          <w:tab w:leader="none" w:pos="1038"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SPV Lender</w:t>
      </w:r>
      <w:r>
        <w:rPr>
          <w:rFonts w:ascii="Arial" w:cs="Arial" w:eastAsia="Arial" w:hAnsi="Arial"/>
          <w:sz w:val="16"/>
          <w:szCs w:val="16"/>
          <w:color w:val="auto"/>
        </w:rPr>
        <w:t>. Notwithstanding anything to the contrary contained herein, any Lender (a “</w:t>
      </w:r>
      <w:r>
        <w:rPr>
          <w:rFonts w:ascii="Arial" w:cs="Arial" w:eastAsia="Arial" w:hAnsi="Arial"/>
          <w:sz w:val="16"/>
          <w:szCs w:val="16"/>
          <w:b w:val="1"/>
          <w:bCs w:val="1"/>
          <w:color w:val="auto"/>
        </w:rPr>
        <w:t>Granting Lender</w:t>
      </w:r>
      <w:r>
        <w:rPr>
          <w:rFonts w:ascii="Arial" w:cs="Arial" w:eastAsia="Arial" w:hAnsi="Arial"/>
          <w:sz w:val="16"/>
          <w:szCs w:val="16"/>
          <w:color w:val="auto"/>
        </w:rPr>
        <w:t>”) may grant to a special purpose funding vehicle (an “</w:t>
      </w:r>
      <w:r>
        <w:rPr>
          <w:rFonts w:ascii="Arial" w:cs="Arial" w:eastAsia="Arial" w:hAnsi="Arial"/>
          <w:sz w:val="16"/>
          <w:szCs w:val="16"/>
          <w:b w:val="1"/>
          <w:bCs w:val="1"/>
          <w:color w:val="auto"/>
        </w:rPr>
        <w:t>SPV</w:t>
      </w:r>
      <w:r>
        <w:rPr>
          <w:rFonts w:ascii="Arial" w:cs="Arial" w:eastAsia="Arial" w:hAnsi="Arial"/>
          <w:sz w:val="16"/>
          <w:szCs w:val="16"/>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the Borrower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nothing herein shall constitute a commitment by any SPV to make any Loan and (ii) if an SPV elects not to exercise such option 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it shall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the Administrative Agent) other than a Disqualified Lender providing liquidity and/or credit support to or for the account of such SPV to support the funding or maintenance of Loans and (ii) subject to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disclose on a confidential basis any non-public information relating to its Loans to any rating agency, commercial paper dealer or provider of any surety, guarantee or credit or liquidity enhancement to such SPV. This </w:t>
      </w:r>
      <w:r>
        <w:rPr>
          <w:rFonts w:ascii="Arial" w:cs="Arial" w:eastAsia="Arial" w:hAnsi="Arial"/>
          <w:sz w:val="16"/>
          <w:szCs w:val="16"/>
          <w:u w:val="single" w:color="auto"/>
          <w:color w:val="auto"/>
        </w:rPr>
        <w:t>Section 13.6(g)</w:t>
      </w:r>
      <w:r>
        <w:rPr>
          <w:rFonts w:ascii="Arial" w:cs="Arial" w:eastAsia="Arial" w:hAnsi="Arial"/>
          <w:sz w:val="16"/>
          <w:szCs w:val="16"/>
          <w:color w:val="auto"/>
        </w:rPr>
        <w:t xml:space="preserve"> may not be amended without the written consent of the SPV. Notwithstanding anything to the contrary in this Agreement but subject to the following sentence, each SPV shall be entitled to the benefits of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to the same extent as if it were a Lender (subject to the limitations and requirements of those Sections as though it were a Lender and had acquired its interest by assignment pursuant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including the requirements of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(it being agreed that any documentation required under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shall be provided solely to the Granting Lender)). Notwithstanding the prior sentence, an SPV shall not be entitled to receive any greater payment under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than its Granting Lender would have been entitled to receive absent the grant to such SPV, unless such grant to such SPV is made with the Borrower’s prior written consent (which consent shall not be unreasonably withheld).</w:t>
      </w:r>
    </w:p>
    <w:p>
      <w:pPr>
        <w:spacing w:after="0" w:line="40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u w:val="single" w:color="auto"/>
          <w:color w:val="auto"/>
        </w:rPr>
        <w:t>Replacements of Lenders Under Certain Circumstances</w:t>
      </w:r>
      <w:r>
        <w:rPr>
          <w:rFonts w:ascii="Arial" w:cs="Arial" w:eastAsia="Arial" w:hAnsi="Arial"/>
          <w:sz w:val="16"/>
          <w:szCs w:val="16"/>
          <w:color w:val="auto"/>
        </w:rPr>
        <w:t>.</w:t>
      </w:r>
    </w:p>
    <w:p>
      <w:pPr>
        <w:spacing w:after="0" w:line="225" w:lineRule="exact"/>
        <w:rPr>
          <w:sz w:val="20"/>
          <w:szCs w:val="20"/>
          <w:color w:val="auto"/>
        </w:rPr>
      </w:pPr>
    </w:p>
    <w:p>
      <w:pPr>
        <w:ind w:right="60" w:firstLine="8"/>
        <w:spacing w:after="0" w:line="283" w:lineRule="auto"/>
        <w:tabs>
          <w:tab w:leader="none" w:pos="377"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The Borrower shall be permitted (x) to replace any Lender or (y) terminate the Commitment of such Lender or Letter of Credit Issuer, as the case may be, and (1) in the case of a Lender (other than the Letter of Credit Issuer), repay all Obligations of the Borrower due and owing to such Lender relating to the Loans and participations held by such Lender as of such termination date and (2) in the case of the Letter of Credit Issuer, repay all Obligations of the Borrower owing to such Letter of Credit Issuer relating to the Loans and participations held by the Letter of Credit Issuer as of such termination date and cancel or backstop on terms satisfactory to such Letter of Credit Issuer any Letters of Credit issued by it that (a) requests reimbursement for amounts owing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(b) is affected in the manner described in </w:t>
      </w:r>
      <w:r>
        <w:rPr>
          <w:rFonts w:ascii="Arial" w:cs="Arial" w:eastAsia="Arial" w:hAnsi="Arial"/>
          <w:sz w:val="16"/>
          <w:szCs w:val="16"/>
          <w:u w:val="single" w:color="auto"/>
          <w:color w:val="auto"/>
        </w:rPr>
        <w:t>Section 2.10(a)(iii)</w:t>
      </w:r>
      <w:r>
        <w:rPr>
          <w:rFonts w:ascii="Arial" w:cs="Arial" w:eastAsia="Arial" w:hAnsi="Arial"/>
          <w:sz w:val="16"/>
          <w:szCs w:val="16"/>
          <w:color w:val="auto"/>
        </w:rPr>
        <w:t xml:space="preserve"> and as a result thereof any of the actions described in such Section is required to be taken, or (c) becomes a Defaulting Lender, with a replacement bank or other financial institution; provided that (i) such replacement does not conflict with any Requirement of Law, (ii) no Event of Default under </w:t>
      </w:r>
      <w:r>
        <w:rPr>
          <w:rFonts w:ascii="Arial" w:cs="Arial" w:eastAsia="Arial" w:hAnsi="Arial"/>
          <w:sz w:val="16"/>
          <w:szCs w:val="16"/>
          <w:u w:val="single" w:color="auto"/>
          <w:color w:val="auto"/>
        </w:rPr>
        <w:t>Sections 11.1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11.5</w:t>
      </w:r>
      <w:r>
        <w:rPr>
          <w:rFonts w:ascii="Arial" w:cs="Arial" w:eastAsia="Arial" w:hAnsi="Arial"/>
          <w:sz w:val="16"/>
          <w:szCs w:val="16"/>
          <w:color w:val="auto"/>
        </w:rPr>
        <w:t xml:space="preserve"> shall have occurred and be continuing at the time of such replacement, (iii) the Borrower shall repay (or the replacement bank or institution shall purchase, at par) all Loans and other amounts pursuant to </w:t>
      </w:r>
      <w:r>
        <w:rPr>
          <w:rFonts w:ascii="Arial" w:cs="Arial" w:eastAsia="Arial" w:hAnsi="Arial"/>
          <w:sz w:val="16"/>
          <w:szCs w:val="16"/>
          <w:u w:val="single" w:color="auto"/>
          <w:color w:val="auto"/>
        </w:rPr>
        <w:t>Sections</w:t>
      </w:r>
    </w:p>
    <w:p>
      <w:pPr>
        <w:spacing w:after="0" w:line="6" w:lineRule="exact"/>
        <w:rPr>
          <w:rFonts w:ascii="Arial" w:cs="Arial" w:eastAsia="Arial" w:hAnsi="Arial"/>
          <w:sz w:val="16"/>
          <w:szCs w:val="16"/>
          <w:color w:val="auto"/>
        </w:rPr>
      </w:pPr>
    </w:p>
    <w:p>
      <w:pPr>
        <w:ind w:right="20"/>
        <w:spacing w:after="0" w:line="270" w:lineRule="auto"/>
        <w:rPr>
          <w:rFonts w:ascii="Arial" w:cs="Arial" w:eastAsia="Arial" w:hAnsi="Arial"/>
          <w:sz w:val="16"/>
          <w:szCs w:val="16"/>
          <w:color w:val="auto"/>
        </w:rPr>
      </w:pPr>
      <w:r>
        <w:rPr>
          <w:rFonts w:ascii="Arial" w:cs="Arial" w:eastAsia="Arial" w:hAnsi="Arial"/>
          <w:sz w:val="17"/>
          <w:szCs w:val="17"/>
          <w:u w:val="single" w:color="auto"/>
          <w:color w:val="auto"/>
        </w:rPr>
        <w:t>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as the case may be, owing to such replaced Lender prior to the date of replacement, (iv) the replacement bank or institution, if not already a Lender, an Affiliate of the Lender or Approved Fund, and the terms and conditions of such replacement, shall be reasonably satisfactory to the Administrative Agent, (v) the replacement bank or institution, if not already a Lender shall be subject to the provisions of </w:t>
      </w:r>
      <w:r>
        <w:rPr>
          <w:rFonts w:ascii="Arial" w:cs="Arial" w:eastAsia="Arial" w:hAnsi="Arial"/>
          <w:sz w:val="17"/>
          <w:szCs w:val="17"/>
          <w:u w:val="single" w:color="auto"/>
          <w:color w:val="auto"/>
        </w:rPr>
        <w:t>Section 13.6(b)</w:t>
      </w:r>
      <w:r>
        <w:rPr>
          <w:rFonts w:ascii="Arial" w:cs="Arial" w:eastAsia="Arial" w:hAnsi="Arial"/>
          <w:sz w:val="17"/>
          <w:szCs w:val="17"/>
          <w:color w:val="auto"/>
        </w:rPr>
        <w:t xml:space="preserve">, (vi) the replaced Lender shall be obligated to make such replacement in accordance with the provisions of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(provided that unless otherwise agreed the Borrower shall be obligated to pay the registration and processing fee referred to therein), and (vii) any such replacement shall not be deemed to be a waiver of any rights that the Borrower, the Administrative Agent or any other Lender shall have against the replaced Lender.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-161-</w:t>
      </w:r>
    </w:p>
    <w:p>
      <w:pPr>
        <w:sectPr>
          <w:pgSz w:w="11900" w:h="16838" w:orient="portrait"/>
          <w:cols w:equalWidth="0" w:num="1">
            <w:col w:w="11400"/>
          </w:cols>
          <w:pgMar w:left="240" w:top="810" w:right="259" w:bottom="1440" w:gutter="0" w:footer="0" w:header="0"/>
        </w:sectPr>
      </w:pPr>
    </w:p>
    <w:bookmarkStart w:id="241" w:name="page242"/>
    <w:bookmarkEnd w:id="241"/>
    <w:p>
      <w:pPr>
        <w:ind w:left="-20" w:firstLine="656"/>
        <w:spacing w:after="0" w:line="285" w:lineRule="auto"/>
        <w:tabs>
          <w:tab w:leader="none" w:pos="1018" w:val="left"/>
        </w:tabs>
        <w:numPr>
          <w:ilvl w:val="0"/>
          <w:numId w:val="215"/>
        </w:numPr>
        <w:rPr>
          <w:rFonts w:ascii="Arial" w:cs="Arial" w:eastAsia="Arial" w:hAnsi="Arial"/>
          <w:sz w:val="16"/>
          <w:szCs w:val="16"/>
          <w:color w:val="auto"/>
        </w:rPr>
      </w:pPr>
      <w:r>
        <w:rPr>
          <w:rFonts w:ascii="Arial" w:cs="Arial" w:eastAsia="Arial" w:hAnsi="Arial"/>
          <w:sz w:val="16"/>
          <w:szCs w:val="16"/>
          <w:color w:val="auto"/>
        </w:rPr>
        <w:t>If any Lender (such Lender, a “</w:t>
      </w:r>
      <w:r>
        <w:rPr>
          <w:rFonts w:ascii="Arial" w:cs="Arial" w:eastAsia="Arial" w:hAnsi="Arial"/>
          <w:sz w:val="16"/>
          <w:szCs w:val="16"/>
          <w:b w:val="1"/>
          <w:bCs w:val="1"/>
          <w:color w:val="auto"/>
        </w:rPr>
        <w:t>Non-Consenting Lender</w:t>
      </w:r>
      <w:r>
        <w:rPr>
          <w:rFonts w:ascii="Arial" w:cs="Arial" w:eastAsia="Arial" w:hAnsi="Arial"/>
          <w:sz w:val="16"/>
          <w:szCs w:val="16"/>
          <w:color w:val="auto"/>
        </w:rPr>
        <w:t xml:space="preserve">”) has failed to consent to a proposed amendment, waiver, discharge or termination that pursuant to the terms of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requires the consent of either (i) all of the Lenders directly and adversely affected or (ii) all of the Lenders, and, in each case, with respect to which the Required Lenders (or at least 50.1% of the directly and adversely affected Lenders) shall have granted their consent, then, the Borrower shall have the right (unless such Non-Consenting Lender grants such consent) to (x) replace such Non-Consenting Lender by requiring such Non-Consenting Lender to assign its Loans, and its Commitments hereunder to one or more assignees reasonably acceptable to the Administrative Agent (to the extent such consent would be required under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or to terminate the Commitment of such Lender or Letter of Credit Issuer, as the case may be, and (1) in the case of a Lender (other than the Letter of Credit Issuer), repay all Obligations of the Borrower due and owing to such Lender relating to the Loans and participations held by such Lender as of such termination date and (2) in the case of the Letter of Credit Issuer, repay all Obligations of the Borrower owing to such Letter of Credit Issuer relating to the Loans and participations held by the Letter of Credit Issuer as of such termination date and cancel or backstop on terms satisfactory to such Letter of Credit Issuer any Letters of Credit issued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all Obligations hereunder of the Borrower owing to such Non-Consenting Lender being replaced shall be paid in full to such Non-Consenting Lender concurrently with such assignment including any amounts that such Lender may be owed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and (b) the replacement Lender shall purchase the foregoing by paying to such Non-Consenting Lender a price equal to the principal amount thereof plus accrued and unpaid interest thereon, and (c) the Borrower shall pay (or cause to be paid) to such Non-Consenting Lender the amount, if any, owing to such Lender pursuant to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In connection with any such assignment, the Borrower, the Administrative Agent, such Non-Consenting Lender and the replacement Lender shall otherwise comply with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Non-Consenting Lender does not execute and deliver an Assignment and Acceptance in respect of such assignment within one Business Day of the date on which the replacement Lender executes and delivers such Assignment and Acceptance to such Non-Consenting Lender (or such Assignment and Acceptance is delivered by the Administrative Agent on behalf of such replacement Lender), such Non-Consenting Lender shall be deemed to have executed and delivered such Assignment and Acceptance without any action on the part of such Non-Consenting Lender and the Assignment and Acceptance so executed by such replacement Lender shall be effective for the purpose of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13.7</w:t>
      </w:r>
      <w:r>
        <w:rPr>
          <w:rFonts w:ascii="Arial" w:cs="Arial" w:eastAsia="Arial" w:hAnsi="Arial"/>
          <w:sz w:val="16"/>
          <w:szCs w:val="16"/>
          <w:color w:val="auto"/>
        </w:rPr>
        <w:t>.</w:t>
      </w:r>
    </w:p>
    <w:p>
      <w:pPr>
        <w:spacing w:after="0" w:line="172"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u w:val="single" w:color="auto"/>
          <w:color w:val="auto"/>
        </w:rPr>
        <w:t>Adjustments; Set-off</w:t>
      </w:r>
      <w:r>
        <w:rPr>
          <w:rFonts w:ascii="Arial" w:cs="Arial" w:eastAsia="Arial" w:hAnsi="Arial"/>
          <w:sz w:val="16"/>
          <w:szCs w:val="16"/>
          <w:color w:val="auto"/>
        </w:rPr>
        <w:t>.</w:t>
      </w:r>
    </w:p>
    <w:p>
      <w:pPr>
        <w:spacing w:after="0" w:line="221" w:lineRule="exact"/>
        <w:rPr>
          <w:sz w:val="20"/>
          <w:szCs w:val="20"/>
          <w:color w:val="auto"/>
        </w:rPr>
      </w:pPr>
    </w:p>
    <w:p>
      <w:pPr>
        <w:ind w:left="-20" w:firstLine="656"/>
        <w:spacing w:after="0" w:line="291" w:lineRule="auto"/>
        <w:tabs>
          <w:tab w:leader="none" w:pos="100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Except as contemplated in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or elsewhere herein, if any Lender (a “</w:t>
      </w:r>
      <w:r>
        <w:rPr>
          <w:rFonts w:ascii="Arial" w:cs="Arial" w:eastAsia="Arial" w:hAnsi="Arial"/>
          <w:sz w:val="16"/>
          <w:szCs w:val="16"/>
          <w:b w:val="1"/>
          <w:bCs w:val="1"/>
          <w:color w:val="auto"/>
        </w:rPr>
        <w:t>Benefited Lender</w:t>
      </w:r>
      <w:r>
        <w:rPr>
          <w:rFonts w:ascii="Arial" w:cs="Arial" w:eastAsia="Arial" w:hAnsi="Arial"/>
          <w:sz w:val="16"/>
          <w:szCs w:val="16"/>
          <w:color w:val="auto"/>
        </w:rPr>
        <w:t xml:space="preserve">”) shall at any time receive any payment of all or part of its Loans, or interest thereon, or receive any collateral in respect thereof (whether voluntarily or involuntarily, by set-off, pursuant to events or proceedings of the nature referred to in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or otherwise), in a greater proportion than any such payment to or collateral received by any other Lender, if any, in respect of such other Lender’s Loans, or interest thereon, such Benefited Lender shall purchase for cash from the other Lenders a participating interest in such portion of each such other Lender’s Loan, or shall provide such other Lenders with the benefits of any such collateral, or the proceeds thereof, as shall be necessary to cause such Benefited Lender to share the excess payment or benefits of such collateral or proceeds ratably with each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all or any portion of such excess payment or benefits is thereafter recovered from such Benefited Lender, such purchase shall be rescinded, and the purchase price and benefits returned, to the extent of such recovery, but without interest.</w:t>
      </w:r>
    </w:p>
    <w:p>
      <w:pPr>
        <w:spacing w:after="0" w:line="164" w:lineRule="exact"/>
        <w:rPr>
          <w:rFonts w:ascii="Arial" w:cs="Arial" w:eastAsia="Arial" w:hAnsi="Arial"/>
          <w:sz w:val="16"/>
          <w:szCs w:val="16"/>
          <w:color w:val="auto"/>
        </w:rPr>
      </w:pPr>
    </w:p>
    <w:p>
      <w:pPr>
        <w:ind w:left="-20" w:firstLine="656"/>
        <w:spacing w:after="0" w:line="253" w:lineRule="auto"/>
        <w:tabs>
          <w:tab w:leader="none" w:pos="100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After the occurrence and during the continuance of an Event of Default, in addition to any rights and remedies of the Lenders provided by law, each Lender shall have the right, without prior notice to the Credit Parties but with the prior consent of the Administrative Agent, any such notice being expressly waived by the Credit Parties to the extent permitted by applicable law, upon any amount becoming due and payable by the Credit Parties hereunder (whether at the stated maturity, by acceleration or otherwise) to set-off and appropriate and apply against such amount any and all deposits (general or special, time or demand, provisional or final) (other than payroll, trust, tax, fiduciary, and petty cash accounts), in any currency, and any other credits, indebtedness or claims, in any currency, in each case whether direct or indirect, absolute or contingent, matured or unmatured, at any time held or owing by such Lender or any branch or agency thereof to or for the credit or the account of the Credit Parties. Each Lender agrees promptly to notify the Credit Parties and the Administrative Agent after any such set-off and application made by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-162-</w:t>
      </w:r>
    </w:p>
    <w:p>
      <w:pPr>
        <w:sectPr>
          <w:pgSz w:w="11900" w:h="16838" w:orient="portrait"/>
          <w:cols w:equalWidth="0" w:num="1">
            <w:col w:w="11380"/>
          </w:cols>
          <w:pgMar w:left="260" w:top="810" w:right="259" w:bottom="1440" w:gutter="0" w:footer="0" w:header="0"/>
        </w:sectPr>
      </w:pPr>
    </w:p>
    <w:bookmarkStart w:id="242" w:name="page243"/>
    <w:bookmarkEnd w:id="242"/>
    <w:p>
      <w:pPr>
        <w:ind w:right="440" w:firstLine="648"/>
        <w:spacing w:after="0" w:line="312" w:lineRule="auto"/>
        <w:rPr>
          <w:sz w:val="20"/>
          <w:szCs w:val="20"/>
          <w:color w:val="auto"/>
        </w:rPr>
      </w:pPr>
      <w:r>
        <w:rPr>
          <w:rFonts w:ascii="Arial" w:cs="Arial" w:eastAsia="Arial" w:hAnsi="Arial"/>
          <w:sz w:val="16"/>
          <w:szCs w:val="16"/>
          <w:color w:val="auto"/>
        </w:rPr>
        <w:t xml:space="preserve">13.9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by one or more of the parties to this Agreement on any number of separate counterparts (including by facsimile or other electronic transmission), and all of said counterparts taken together shall be deemed to constitute one and the same instrument. A set of the copies of this Agreement signed by all the parties shall be lodged with the Borrower and the Administrative Agent.</w:t>
      </w:r>
    </w:p>
    <w:p>
      <w:pPr>
        <w:spacing w:after="0" w:line="147" w:lineRule="exact"/>
        <w:rPr>
          <w:sz w:val="20"/>
          <w:szCs w:val="20"/>
          <w:color w:val="auto"/>
        </w:rPr>
      </w:pPr>
    </w:p>
    <w:p>
      <w:pPr>
        <w:ind w:right="620" w:firstLine="648"/>
        <w:spacing w:after="0" w:line="286" w:lineRule="auto"/>
        <w:rPr>
          <w:sz w:val="20"/>
          <w:szCs w:val="20"/>
          <w:color w:val="auto"/>
        </w:rPr>
      </w:pPr>
      <w:r>
        <w:rPr>
          <w:rFonts w:ascii="Arial" w:cs="Arial" w:eastAsia="Arial" w:hAnsi="Arial"/>
          <w:sz w:val="17"/>
          <w:szCs w:val="17"/>
          <w:color w:val="auto"/>
        </w:rPr>
        <w:t xml:space="preserve">13.10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and the other Credit Documents represent the agreement of Holdings, the Borrower, the Collateral Agent, the Administrative Agent and the Lenders with respect to the subject matter hereof, and there are no promises, undertakings, representations or warranties by Holdings, the Borrower, the Administrative Agent, the Collateral Agent nor any Lender relative to subject matter hereof not expressly set forth or referred to herein or in the other Credit Documents.</w:t>
      </w:r>
    </w:p>
    <w:p>
      <w:pPr>
        <w:spacing w:after="0" w:line="18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 xml:space="preserve">13.12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THE RIGHTS AND OBLIGATIONS OF THE PARTIES HEREUNDER SHALL BE GOVERNED BY, AND CONSTRUED AND INTERPRETED IN ACCORDANCE WITH, THE LAW OF THE STATE OF NEW YORK. EACH LETTER OF CREDIT SHALL BE GOVERNED BY, AND CONSTRUED IN ACCORDANCE WITH, THE LAWS OF THE STATE OF NEW YORK.</w:t>
      </w:r>
    </w:p>
    <w:p>
      <w:pPr>
        <w:spacing w:after="0" w:line="16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6"/>
          <w:szCs w:val="16"/>
          <w:u w:val="single" w:color="auto"/>
          <w:color w:val="auto"/>
        </w:rPr>
        <w:t>Submission to Jurisdiction; Waivers</w:t>
      </w:r>
      <w:r>
        <w:rPr>
          <w:rFonts w:ascii="Arial" w:cs="Arial" w:eastAsia="Arial" w:hAnsi="Arial"/>
          <w:sz w:val="16"/>
          <w:szCs w:val="16"/>
          <w:color w:val="auto"/>
        </w:rPr>
        <w:t>. Each party hereto irrevocably and unconditionally:</w:t>
      </w:r>
    </w:p>
    <w:p>
      <w:pPr>
        <w:spacing w:after="0" w:line="225" w:lineRule="exact"/>
        <w:rPr>
          <w:sz w:val="20"/>
          <w:szCs w:val="20"/>
          <w:color w:val="auto"/>
        </w:rPr>
      </w:pPr>
    </w:p>
    <w:p>
      <w:pPr>
        <w:jc w:val="both"/>
        <w:ind w:left="660" w:right="400" w:firstLine="645"/>
        <w:spacing w:after="0" w:line="312" w:lineRule="auto"/>
        <w:tabs>
          <w:tab w:leader="none" w:pos="1688" w:val="left"/>
        </w:tabs>
        <w:numPr>
          <w:ilvl w:val="0"/>
          <w:numId w:val="217"/>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and the other Credit Documents to which it is a party to the exclusive general jurisdiction of the courts of the State of New York or the courts of the United States for the Southern District of New York, in each case sitting in New York City in the Borough of Manhattan, and appellate courts from any thereof;</w:t>
      </w:r>
    </w:p>
    <w:p>
      <w:pPr>
        <w:spacing w:after="0" w:line="146" w:lineRule="exact"/>
        <w:rPr>
          <w:rFonts w:ascii="Arial" w:cs="Arial" w:eastAsia="Arial" w:hAnsi="Arial"/>
          <w:sz w:val="16"/>
          <w:szCs w:val="16"/>
          <w:color w:val="auto"/>
        </w:rPr>
      </w:pPr>
    </w:p>
    <w:p>
      <w:pPr>
        <w:ind w:left="660" w:right="40" w:firstLine="645"/>
        <w:spacing w:after="0" w:line="259" w:lineRule="auto"/>
        <w:tabs>
          <w:tab w:leader="none" w:pos="169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consents that any such action or proceeding shall be brought in such courts and waives (to the extent permitted by applicable law) any objection that it may now or hereafter have to the venue of any such action or proceeding in any such court or that such action or proceeding was brought in an inconvenient court and agrees not to plead or claim the same or to commence or support any such action or proceeding in any other courts;</w:t>
      </w:r>
    </w:p>
    <w:p>
      <w:pPr>
        <w:spacing w:after="0" w:line="186" w:lineRule="exact"/>
        <w:rPr>
          <w:rFonts w:ascii="Arial" w:cs="Arial" w:eastAsia="Arial" w:hAnsi="Arial"/>
          <w:sz w:val="18"/>
          <w:szCs w:val="18"/>
          <w:color w:val="auto"/>
        </w:rPr>
      </w:pPr>
    </w:p>
    <w:p>
      <w:pPr>
        <w:jc w:val="both"/>
        <w:ind w:left="660" w:right="260" w:firstLine="645"/>
        <w:spacing w:after="0" w:line="264" w:lineRule="auto"/>
        <w:tabs>
          <w:tab w:leader="none" w:pos="168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shall be effected by mailing a copy thereof by registered or certified mail (or any substantially similar form of mail), postage prepaid, to such Person at its address set forth on </w:t>
      </w:r>
      <w:r>
        <w:rPr>
          <w:rFonts w:ascii="Arial" w:cs="Arial" w:eastAsia="Arial" w:hAnsi="Arial"/>
          <w:sz w:val="18"/>
          <w:szCs w:val="18"/>
          <w:u w:val="single" w:color="auto"/>
          <w:color w:val="auto"/>
        </w:rPr>
        <w:t>Schedule 13.2</w:t>
      </w:r>
      <w:r>
        <w:rPr>
          <w:rFonts w:ascii="Arial" w:cs="Arial" w:eastAsia="Arial" w:hAnsi="Arial"/>
          <w:sz w:val="18"/>
          <w:szCs w:val="18"/>
          <w:color w:val="auto"/>
        </w:rPr>
        <w:t xml:space="preserve"> at such other address of which the Administrative Agent shall have been notified pursuant to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firstLine="645"/>
        <w:spacing w:after="0" w:line="264" w:lineRule="auto"/>
        <w:tabs>
          <w:tab w:leader="none" w:pos="169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of the Administrative Agent, any Lender or another Secured Party to effect service of process in any other manner permitted by law or to commence legal proceedings or otherwise proceed against Holdings or the Borrower or any other Credit Party in any other jurisdiction; and</w:t>
      </w:r>
    </w:p>
    <w:p>
      <w:pPr>
        <w:spacing w:after="0" w:line="181" w:lineRule="exact"/>
        <w:rPr>
          <w:rFonts w:ascii="Arial" w:cs="Arial" w:eastAsia="Arial" w:hAnsi="Arial"/>
          <w:sz w:val="18"/>
          <w:szCs w:val="18"/>
          <w:color w:val="auto"/>
        </w:rPr>
      </w:pPr>
    </w:p>
    <w:p>
      <w:pPr>
        <w:ind w:left="660" w:right="260" w:firstLine="645"/>
        <w:spacing w:after="0" w:line="264" w:lineRule="auto"/>
        <w:tabs>
          <w:tab w:leader="none" w:pos="168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waives, to the maximum extent not prohibited by law, any right it may have to claim or recover in any legal action or proceeding referred to in this </w:t>
      </w:r>
      <w:r>
        <w:rPr>
          <w:rFonts w:ascii="Arial" w:cs="Arial" w:eastAsia="Arial" w:hAnsi="Arial"/>
          <w:sz w:val="18"/>
          <w:szCs w:val="18"/>
          <w:u w:val="single" w:color="auto"/>
          <w:color w:val="auto"/>
        </w:rPr>
        <w:t>Section 13.13</w:t>
      </w:r>
      <w:r>
        <w:rPr>
          <w:rFonts w:ascii="Arial" w:cs="Arial" w:eastAsia="Arial" w:hAnsi="Arial"/>
          <w:sz w:val="18"/>
          <w:szCs w:val="18"/>
          <w:color w:val="auto"/>
        </w:rPr>
        <w:t xml:space="preserve"> any special, exemplary, punitive or consequential damages;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clause (e) shall limit the Credit Parties’ indemnification obligations set forth in </w:t>
      </w:r>
      <w:r>
        <w:rPr>
          <w:rFonts w:ascii="Arial" w:cs="Arial" w:eastAsia="Arial" w:hAnsi="Arial"/>
          <w:sz w:val="18"/>
          <w:szCs w:val="18"/>
          <w:u w:val="single" w:color="auto"/>
          <w:color w:val="auto"/>
        </w:rPr>
        <w:t>Section 13.5</w:t>
      </w:r>
      <w:r>
        <w:rPr>
          <w:rFonts w:ascii="Arial" w:cs="Arial" w:eastAsia="Arial" w:hAnsi="Arial"/>
          <w:sz w:val="18"/>
          <w:szCs w:val="18"/>
          <w:color w:val="auto"/>
        </w:rPr>
        <w:t>.</w:t>
      </w:r>
    </w:p>
    <w:p>
      <w:pPr>
        <w:spacing w:after="0" w:line="181"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13.14</w:t>
      </w:r>
      <w:r>
        <w:rPr>
          <w:sz w:val="20"/>
          <w:szCs w:val="20"/>
          <w:color w:val="auto"/>
        </w:rPr>
        <w:tab/>
      </w:r>
      <w:r>
        <w:rPr>
          <w:rFonts w:ascii="Arial" w:cs="Arial" w:eastAsia="Arial" w:hAnsi="Arial"/>
          <w:sz w:val="16"/>
          <w:szCs w:val="16"/>
          <w:u w:val="single" w:color="auto"/>
          <w:color w:val="auto"/>
        </w:rPr>
        <w:t>Acknowledgments</w:t>
      </w:r>
      <w:r>
        <w:rPr>
          <w:rFonts w:ascii="Arial" w:cs="Arial" w:eastAsia="Arial" w:hAnsi="Arial"/>
          <w:sz w:val="16"/>
          <w:szCs w:val="16"/>
          <w:color w:val="auto"/>
        </w:rPr>
        <w:t>. Each of Holdings and the Borrower hereby acknowledges that:</w:t>
      </w:r>
    </w:p>
    <w:p>
      <w:pPr>
        <w:spacing w:after="0" w:line="225" w:lineRule="exact"/>
        <w:rPr>
          <w:sz w:val="20"/>
          <w:szCs w:val="20"/>
          <w:color w:val="auto"/>
        </w:rPr>
      </w:pPr>
    </w:p>
    <w:p>
      <w:pPr>
        <w:ind w:left="1680" w:hanging="375"/>
        <w:spacing w:after="0"/>
        <w:tabs>
          <w:tab w:leader="none" w:pos="168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it has been advised by counsel in the negotiation, execution, and delivery of this Agreement and the other Credit Documents;</w:t>
      </w:r>
    </w:p>
    <w:p>
      <w:pPr>
        <w:spacing w:after="0" w:line="200" w:lineRule="exact"/>
        <w:rPr>
          <w:rFonts w:ascii="Arial" w:cs="Arial" w:eastAsia="Arial" w:hAnsi="Arial"/>
          <w:sz w:val="17"/>
          <w:szCs w:val="17"/>
          <w:color w:val="auto"/>
        </w:rPr>
      </w:pPr>
    </w:p>
    <w:p>
      <w:pPr>
        <w:spacing w:after="0" w:line="277" w:lineRule="exact"/>
        <w:rPr>
          <w:rFonts w:ascii="Arial" w:cs="Arial" w:eastAsia="Arial" w:hAnsi="Arial"/>
          <w:sz w:val="17"/>
          <w:szCs w:val="17"/>
          <w:color w:val="auto"/>
        </w:rPr>
      </w:pPr>
    </w:p>
    <w:p>
      <w:pPr>
        <w:ind w:left="5500"/>
        <w:spacing w:after="0"/>
        <w:rPr>
          <w:rFonts w:ascii="Arial" w:cs="Arial" w:eastAsia="Arial" w:hAnsi="Arial"/>
          <w:sz w:val="17"/>
          <w:szCs w:val="17"/>
          <w:color w:val="auto"/>
        </w:rPr>
      </w:pPr>
      <w:r>
        <w:rPr>
          <w:rFonts w:ascii="Arial" w:cs="Arial" w:eastAsia="Arial" w:hAnsi="Arial"/>
          <w:sz w:val="20"/>
          <w:szCs w:val="20"/>
          <w:color w:val="auto"/>
        </w:rPr>
        <w:t>-163-</w:t>
      </w:r>
    </w:p>
    <w:p>
      <w:pPr>
        <w:sectPr>
          <w:pgSz w:w="11900" w:h="16838" w:orient="portrait"/>
          <w:cols w:equalWidth="0" w:num="1">
            <w:col w:w="11380"/>
          </w:cols>
          <w:pgMar w:left="240" w:top="814" w:right="279" w:bottom="1440" w:gutter="0" w:footer="0" w:header="0"/>
        </w:sectPr>
      </w:pPr>
    </w:p>
    <w:bookmarkStart w:id="243" w:name="page244"/>
    <w:bookmarkEnd w:id="243"/>
    <w:p>
      <w:pPr>
        <w:ind w:left="660" w:right="100" w:firstLine="645"/>
        <w:spacing w:after="0" w:line="255" w:lineRule="auto"/>
        <w:tabs>
          <w:tab w:leader="none" w:pos="1698" w:val="left"/>
        </w:tabs>
        <w:numPr>
          <w:ilvl w:val="1"/>
          <w:numId w:val="219"/>
        </w:numPr>
        <w:rPr>
          <w:rFonts w:ascii="Arial" w:cs="Arial" w:eastAsia="Arial" w:hAnsi="Arial"/>
          <w:sz w:val="18"/>
          <w:szCs w:val="18"/>
          <w:color w:val="auto"/>
        </w:rPr>
      </w:pPr>
      <w:r>
        <w:rPr>
          <w:rFonts w:ascii="Arial" w:cs="Arial" w:eastAsia="Arial" w:hAnsi="Arial"/>
          <w:sz w:val="18"/>
          <w:szCs w:val="18"/>
          <w:color w:val="auto"/>
        </w:rPr>
        <w:t>(i) the credit facilities provided for hereunder and any related arranging or other services in connection therewith (including in connection with any amendment, waiver or other modification hereof or of any other Credit Document) are an arm’s-length commercial transaction between the Borrower and the other Credit Parties, on the one hand, and the Administrative Agent, the Lenders and the other Agents on the other hand, and the Borrower and the other Credit Parties are capable of evaluating and understanding and understand and accept the terms, risks and conditions of the transactions contemplated hereby and by the other Credit Documents (including any amendment, waiver or other modification hereof or thereof);</w:t>
      </w:r>
    </w:p>
    <w:p>
      <w:pPr>
        <w:spacing w:after="0" w:line="206" w:lineRule="exact"/>
        <w:rPr>
          <w:rFonts w:ascii="Arial" w:cs="Arial" w:eastAsia="Arial" w:hAnsi="Arial"/>
          <w:sz w:val="18"/>
          <w:szCs w:val="18"/>
          <w:color w:val="auto"/>
        </w:rPr>
      </w:pPr>
    </w:p>
    <w:p>
      <w:pPr>
        <w:ind w:left="660" w:right="40" w:firstLine="888"/>
        <w:spacing w:after="0" w:line="265" w:lineRule="auto"/>
        <w:tabs>
          <w:tab w:leader="none" w:pos="1973" w:val="left"/>
        </w:tabs>
        <w:numPr>
          <w:ilvl w:val="2"/>
          <w:numId w:val="219"/>
        </w:numPr>
        <w:rPr>
          <w:rFonts w:ascii="Arial" w:cs="Arial" w:eastAsia="Arial" w:hAnsi="Arial"/>
          <w:sz w:val="20"/>
          <w:szCs w:val="20"/>
          <w:color w:val="auto"/>
        </w:rPr>
      </w:pPr>
      <w:r>
        <w:rPr>
          <w:rFonts w:ascii="Arial" w:cs="Arial" w:eastAsia="Arial" w:hAnsi="Arial"/>
          <w:sz w:val="18"/>
          <w:szCs w:val="18"/>
          <w:color w:val="auto"/>
        </w:rPr>
        <w:t>in connection with the process leading to such transaction, each of the Administrative Agent and the other Agents, is and has been acting solely as a principal and is not the financial advisor, agent or fiduciary for the Borrower, any other Credit Parties or any of their respective Affiliates, stockholders, creditors or employees, or any other Person;</w:t>
      </w:r>
    </w:p>
    <w:p>
      <w:pPr>
        <w:spacing w:after="0" w:line="193" w:lineRule="exact"/>
        <w:rPr>
          <w:rFonts w:ascii="Arial" w:cs="Arial" w:eastAsia="Arial" w:hAnsi="Arial"/>
          <w:sz w:val="20"/>
          <w:szCs w:val="20"/>
          <w:color w:val="auto"/>
        </w:rPr>
      </w:pPr>
    </w:p>
    <w:p>
      <w:pPr>
        <w:ind w:left="660" w:firstLine="888"/>
        <w:spacing w:after="0" w:line="303" w:lineRule="auto"/>
        <w:tabs>
          <w:tab w:leader="none" w:pos="2028" w:val="left"/>
        </w:tabs>
        <w:numPr>
          <w:ilvl w:val="2"/>
          <w:numId w:val="219"/>
        </w:numPr>
        <w:rPr>
          <w:rFonts w:ascii="Arial" w:cs="Arial" w:eastAsia="Arial" w:hAnsi="Arial"/>
          <w:sz w:val="18"/>
          <w:szCs w:val="18"/>
          <w:color w:val="auto"/>
        </w:rPr>
      </w:pPr>
      <w:r>
        <w:rPr>
          <w:rFonts w:ascii="Arial" w:cs="Arial" w:eastAsia="Arial" w:hAnsi="Arial"/>
          <w:sz w:val="16"/>
          <w:szCs w:val="16"/>
          <w:color w:val="auto"/>
        </w:rPr>
        <w:t>neither the Administrative Agent nor any other Agent has assumed or will assume an advisory, agency or fiduciary responsibility in favor of the Borrower or any other Credit Party with respect to any of the transactions contemplated hereby or the process leading thereto, including with respect to any amendment, waiver or other modification hereof or of any other Credit Document (irrespective of whether the Administrative Agent or other Agent has advised or is currently advising the Borrower, the other Credit Parties or their respective Affiliates on other matters) and neither the Administrative Agent or other Agent has any obligation to the Borrower, the other Credit Parties or their respective Affiliates with respect to the transactions contemplated hereby except those obligations expressly set forth herein and in the other Credit Documents;</w:t>
      </w:r>
    </w:p>
    <w:p>
      <w:pPr>
        <w:spacing w:after="0" w:line="170" w:lineRule="exact"/>
        <w:rPr>
          <w:rFonts w:ascii="Arial" w:cs="Arial" w:eastAsia="Arial" w:hAnsi="Arial"/>
          <w:sz w:val="18"/>
          <w:szCs w:val="18"/>
          <w:color w:val="auto"/>
        </w:rPr>
      </w:pPr>
    </w:p>
    <w:p>
      <w:pPr>
        <w:jc w:val="both"/>
        <w:ind w:left="660" w:right="160" w:firstLine="888"/>
        <w:spacing w:after="0" w:line="265" w:lineRule="auto"/>
        <w:tabs>
          <w:tab w:leader="none" w:pos="2017" w:val="left"/>
        </w:tabs>
        <w:numPr>
          <w:ilvl w:val="2"/>
          <w:numId w:val="219"/>
        </w:numPr>
        <w:rPr>
          <w:rFonts w:ascii="Arial" w:cs="Arial" w:eastAsia="Arial" w:hAnsi="Arial"/>
          <w:sz w:val="20"/>
          <w:szCs w:val="20"/>
          <w:color w:val="auto"/>
        </w:rPr>
      </w:pPr>
      <w:r>
        <w:rPr>
          <w:rFonts w:ascii="Arial" w:cs="Arial" w:eastAsia="Arial" w:hAnsi="Arial"/>
          <w:sz w:val="18"/>
          <w:szCs w:val="18"/>
          <w:color w:val="auto"/>
        </w:rPr>
        <w:t>the Administrative Agent, each other Agent and each Affiliate of the foregoing may be engaged in a broad range of transactions that involve interests that differ from those of the Borrower and their Affiliates, and neither the Administrative Agent nor any other Agent has any obligation to disclose any of such interests by virtue of any advisory, agency or fiduciary relationship; and</w:t>
      </w:r>
    </w:p>
    <w:p>
      <w:pPr>
        <w:spacing w:after="0" w:line="193" w:lineRule="exact"/>
        <w:rPr>
          <w:rFonts w:ascii="Arial" w:cs="Arial" w:eastAsia="Arial" w:hAnsi="Arial"/>
          <w:sz w:val="20"/>
          <w:szCs w:val="20"/>
          <w:color w:val="auto"/>
        </w:rPr>
      </w:pPr>
    </w:p>
    <w:p>
      <w:pPr>
        <w:ind w:left="660" w:right="60" w:firstLine="888"/>
        <w:spacing w:after="0" w:line="303" w:lineRule="auto"/>
        <w:tabs>
          <w:tab w:leader="none" w:pos="1962" w:val="left"/>
        </w:tabs>
        <w:numPr>
          <w:ilvl w:val="2"/>
          <w:numId w:val="219"/>
        </w:numPr>
        <w:rPr>
          <w:rFonts w:ascii="Arial" w:cs="Arial" w:eastAsia="Arial" w:hAnsi="Arial"/>
          <w:sz w:val="18"/>
          <w:szCs w:val="18"/>
          <w:color w:val="auto"/>
        </w:rPr>
      </w:pPr>
      <w:r>
        <w:rPr>
          <w:rFonts w:ascii="Arial" w:cs="Arial" w:eastAsia="Arial" w:hAnsi="Arial"/>
          <w:sz w:val="16"/>
          <w:szCs w:val="16"/>
          <w:color w:val="auto"/>
        </w:rPr>
        <w:t>neither the Administrative Agent nor any other Agent has provided and none will provide any legal, accounting, regulatory or tax advice with respect to any of the transactions contemplated hereby (including any amendment, waiver or other modification hereof or of any other Credit Document) and the Borrower have consulted their own legal, accounting, regulatory and tax advisors to the extent it has deemed appropriate. Each of Holdings and the Borrower hereby agrees that it will not claim that any Agent owes a fiduciary or similar duty to the Credit Parties in connection with the Transactions contemplated hereby and waives and releases, to the fullest extent permitted by law, any claims that it may have against the Administrative Agent or any other Agent with respect to any breach or alleged breach of agency or fiduciary duty; and</w:t>
      </w:r>
    </w:p>
    <w:p>
      <w:pPr>
        <w:spacing w:after="0" w:line="157" w:lineRule="exact"/>
        <w:rPr>
          <w:rFonts w:ascii="Arial" w:cs="Arial" w:eastAsia="Arial" w:hAnsi="Arial"/>
          <w:sz w:val="18"/>
          <w:szCs w:val="18"/>
          <w:color w:val="auto"/>
        </w:rPr>
      </w:pPr>
    </w:p>
    <w:p>
      <w:pPr>
        <w:ind w:right="480" w:firstLine="656"/>
        <w:spacing w:after="0" w:line="277" w:lineRule="auto"/>
        <w:tabs>
          <w:tab w:leader="none" w:pos="102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Credit Documents or otherwise exists by virtue of the transactions contemplated hereby among the Lenders or among the Borrower, on the one hand, and any Lender, on the other hand.</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13.15 </w:t>
      </w:r>
      <w:r>
        <w:rPr>
          <w:rFonts w:ascii="Arial" w:cs="Arial" w:eastAsia="Arial" w:hAnsi="Arial"/>
          <w:sz w:val="18"/>
          <w:szCs w:val="18"/>
          <w:u w:val="single" w:color="auto"/>
          <w:color w:val="auto"/>
        </w:rPr>
        <w:t>WAIVERS OF JURY TRIAL</w:t>
      </w:r>
      <w:r>
        <w:rPr>
          <w:rFonts w:ascii="Arial" w:cs="Arial" w:eastAsia="Arial" w:hAnsi="Arial"/>
          <w:sz w:val="18"/>
          <w:szCs w:val="18"/>
          <w:color w:val="auto"/>
        </w:rPr>
        <w:t>. EACH PARTY HERETO IRREVOCABLY AND UNCONDITIONALLY WAIVES (TO THE EXTENT PERMITTED BY APPLICABLE LAW) TRIAL BY JURY IN ANY LEGAL ACTION OR PROCEEDING RELATING TO THIS AGREEMENT OR ANY OTHER CREDIT DOCUMENT OR THE PERFORMANCE OF SERVICES HEREUNDER AND THEREUNDER AND FOR ANY COUNTERCLAIM THEREIN.</w:t>
      </w:r>
    </w:p>
    <w:p>
      <w:pPr>
        <w:spacing w:after="0" w:line="183"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13.16</w:t>
      </w:r>
      <w:r>
        <w:rPr>
          <w:sz w:val="20"/>
          <w:szCs w:val="20"/>
          <w:color w:val="auto"/>
        </w:rPr>
        <w:tab/>
      </w:r>
      <w:r>
        <w:rPr>
          <w:rFonts w:ascii="Arial" w:cs="Arial" w:eastAsia="Arial" w:hAnsi="Arial"/>
          <w:sz w:val="16"/>
          <w:szCs w:val="16"/>
          <w:u w:val="single" w:color="auto"/>
          <w:color w:val="auto"/>
        </w:rPr>
        <w:t>Confidentiality</w:t>
      </w:r>
      <w:r>
        <w:rPr>
          <w:rFonts w:ascii="Arial" w:cs="Arial" w:eastAsia="Arial" w:hAnsi="Arial"/>
          <w:sz w:val="16"/>
          <w:szCs w:val="16"/>
          <w:color w:val="auto"/>
        </w:rPr>
        <w:t>. The Administrative Agent, each other Agent and each Lender (collectively, the “</w:t>
      </w:r>
      <w:r>
        <w:rPr>
          <w:rFonts w:ascii="Arial" w:cs="Arial" w:eastAsia="Arial" w:hAnsi="Arial"/>
          <w:sz w:val="16"/>
          <w:szCs w:val="16"/>
          <w:b w:val="1"/>
          <w:bCs w:val="1"/>
          <w:color w:val="auto"/>
        </w:rPr>
        <w:t>Restricted Persons</w:t>
      </w:r>
      <w:r>
        <w:rPr>
          <w:rFonts w:ascii="Arial" w:cs="Arial" w:eastAsia="Arial" w:hAnsi="Arial"/>
          <w:sz w:val="16"/>
          <w:szCs w:val="16"/>
          <w:color w:val="auto"/>
        </w:rPr>
        <w:t>” and, each 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Person</w:t>
      </w:r>
      <w:r>
        <w:rPr>
          <w:rFonts w:ascii="Arial" w:cs="Arial" w:eastAsia="Arial" w:hAnsi="Arial"/>
          <w:sz w:val="16"/>
          <w:szCs w:val="16"/>
          <w:color w:val="auto"/>
        </w:rPr>
        <w:t>”) shall treat confidentially all non-public information provided to any Restricted Person by or on behalf of any Credit Party hereunder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such Restricted Person’s evaluation of whether to become a Lender hereunder or obtained by such Restricted Person pursuant to the</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-164-</w:t>
      </w:r>
    </w:p>
    <w:p>
      <w:pPr>
        <w:sectPr>
          <w:pgSz w:w="11900" w:h="16838" w:orient="portrait"/>
          <w:cols w:equalWidth="0" w:num="1">
            <w:col w:w="11380"/>
          </w:cols>
          <w:pgMar w:left="240" w:top="814" w:right="279" w:bottom="1440" w:gutter="0" w:footer="0" w:header="0"/>
        </w:sectPr>
      </w:pPr>
    </w:p>
    <w:bookmarkStart w:id="244" w:name="page245"/>
    <w:bookmarkEnd w:id="244"/>
    <w:p>
      <w:pPr>
        <w:spacing w:after="0" w:line="283" w:lineRule="auto"/>
        <w:rPr>
          <w:sz w:val="20"/>
          <w:szCs w:val="20"/>
          <w:color w:val="auto"/>
        </w:rPr>
      </w:pPr>
      <w:r>
        <w:rPr>
          <w:rFonts w:ascii="Arial" w:cs="Arial" w:eastAsia="Arial" w:hAnsi="Arial"/>
          <w:sz w:val="16"/>
          <w:szCs w:val="16"/>
          <w:color w:val="auto"/>
        </w:rPr>
        <w:t>requirements of this Agreement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xml:space="preserve">”) and shall not publish, disclose or otherwise divulge such Confidential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prevent any Restricted Person from disclosing any such Confidential Information (a) pursuant to the order of any court or administrative agency or in any pending legal, judicial or administrative proceeding, or otherwise as required by applicable law, rule or regulation or compulsory legal process (in which case such Restricted Person agrees (except with respect to any routine or ordinary course audit or examination conducted by bank accountants, any governmental, bank regulatory or self-regulatory authority exercising examination or regulatory authority), to the extent practicable and not prohibited by applicable law, rule or regulation, to inform the Borrower promptly thereof prior to disclosure), (b) upon the request or demand of any regulatory authority (including any self-regulatory authority) having jurisdiction over such Restricted Person or any of its Affiliates (in which case such Restricted Person agrees (except with respect to any audit or examination conducted by bank accountants or any governmental, bank regulatory or self-regulatory authority exercising examination or regulatory authority) to the extent practicable and not prohibited by applicable law, rule or regulation, to inform the Borrower promptly thereof prior to disclosure), (c) to the extent that such Confidential Information becomes publicly available other than by reason of improper disclosure by such Restricted Person or any of its affiliates or any related parties thereto in violation of any confidentiality obligations owing under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(d) to the extent that such Confidential Information is received by such Restricted Person from a third party that is not, to such Restricted Person’s knowledge, subject to confidentiality obligations owing to any Credit Party or any of their respective subsidiaries or affiliates, (e) to the extent that such Confidential Information was already in the possession of the Restricted Persons prior to any duty or other undertaking of confidentiality or is independently developed by the Restricted Persons without the use of such Confidential Information, (f) to such Restricted Person’s affiliates and to its and their respective officers, directors, partners, employees, legal counsel, independent auditors, and other experts or agents who need to know such Confidential Information in connection with providing the Loans or action as an Agent hereunder and who are informed of the confidential nature of such Confidential Information and who are subject to customary confidentiality obligations of professional practice or who agree to be bound by the terms of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(or confidentiality provisions at least as restrictive as those set forth in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(with each such Restricted Person, to the extent within its control, responsible for such person’s compliance with this paragraph), (g) to potential or prospective Lenders, hedge providers, participants or assignees, in each case who agree (pursuant to customary syndication practice) to be bound by the terms of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(or confidentiality provisions at least as restrictive as those set forth in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disclosure of any such Confidential Information to any Lenders, hedge providers or prospective Lenders, hedge providers or participants or prospective participants referred to above shall be made subject to the acknowledgment and acceptance by such Lender, hedge provider or prospective Lender or participant or prospective participant that such Confidential Information is being disseminated on a confidential basis (on substantially the terms set forth in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or confidentiality provisions at least as restrictive as those set forth in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in accordance with the standard syndication processes of such Restricted Person or customary market standards for dissemination of such type of information, which shall in any event require “click through” or other affirmative actions on the part of recipient to access such Confidential Information and (ii) no such disclosure shall be made by such Restricted Person to any person that is at such time a Disqualified Lender, (h) for purposes of establishing a “due diligence” defense, or (i) to rating agencies in connection with obtaining ratings for the Borrower and the facilities described hereunder to the extent such rating agencies are subject to customary confidentiality obligations of professional practice or agree to be bound by the terms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13.16</w:t>
      </w:r>
      <w:r>
        <w:rPr>
          <w:rFonts w:ascii="Arial" w:cs="Arial" w:eastAsia="Arial" w:hAnsi="Arial"/>
          <w:sz w:val="16"/>
          <w:szCs w:val="16"/>
          <w:color w:val="auto"/>
        </w:rPr>
        <w:t xml:space="preserve"> (or confidentiality provisions at least as restrictive as those set forth in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Notwithstanding the foregoing, (i) Confidential Information shall not include, with respect to any Person, information available to it or its Affiliates on a non-confidential basis from a source other than Holdings, its Subsidiaries or their respective Affiliates, (ii) the Administrative Agent shall not be responsible for compliance with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by any other Restricted Person (other than its officers, directors or employees), (iii) in no event shall any Lender, the Administrative Agent or any other Agent be obligated or required to return any materials furnished by Holdings or any of its Subsidiaries, and (iv) each Agent and each Lender may disclose the existence of this Agreement and the information about this Agreement to market data collectors, similar services providers to the lending industry, and service providers to the Agents and the Lenders in connection with the administration, settlement and management of this Agreement and the other Credit Documents.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-165-</w:t>
      </w:r>
    </w:p>
    <w:p>
      <w:pPr>
        <w:sectPr>
          <w:pgSz w:w="11900" w:h="16838" w:orient="portrait"/>
          <w:cols w:equalWidth="0" w:num="1">
            <w:col w:w="11380"/>
          </w:cols>
          <w:pgMar w:left="240" w:top="810" w:right="279" w:bottom="1440" w:gutter="0" w:footer="0" w:header="0"/>
        </w:sectPr>
      </w:pPr>
    </w:p>
    <w:bookmarkStart w:id="245" w:name="page246"/>
    <w:bookmarkEnd w:id="245"/>
    <w:p>
      <w:pPr>
        <w:ind w:firstLine="648"/>
        <w:spacing w:after="0" w:line="285" w:lineRule="auto"/>
        <w:rPr>
          <w:sz w:val="20"/>
          <w:szCs w:val="20"/>
          <w:color w:val="auto"/>
        </w:rPr>
      </w:pPr>
      <w:r>
        <w:rPr>
          <w:rFonts w:ascii="Arial" w:cs="Arial" w:eastAsia="Arial" w:hAnsi="Arial"/>
          <w:sz w:val="16"/>
          <w:szCs w:val="16"/>
          <w:color w:val="auto"/>
        </w:rPr>
        <w:t xml:space="preserve">13.17 </w:t>
      </w:r>
      <w:r>
        <w:rPr>
          <w:rFonts w:ascii="Arial" w:cs="Arial" w:eastAsia="Arial" w:hAnsi="Arial"/>
          <w:sz w:val="16"/>
          <w:szCs w:val="16"/>
          <w:u w:val="single" w:color="auto"/>
          <w:color w:val="auto"/>
        </w:rPr>
        <w:t>Direct Website Communications</w:t>
      </w:r>
      <w:r>
        <w:rPr>
          <w:rFonts w:ascii="Arial" w:cs="Arial" w:eastAsia="Arial" w:hAnsi="Arial"/>
          <w:sz w:val="16"/>
          <w:szCs w:val="16"/>
          <w:color w:val="auto"/>
        </w:rPr>
        <w:t>. Each of Holdings and the Borrower may, at its option, provide to the Administrative Agent any information, documents and other materials that it is obligated to furnish to the Administrative Agent pursuant to the Credit Documents, including, without limitation, all notices, requests, financial statements, financial, and other reports, certificates, and other information materials, but excluding any such communication that (A) relates to a request for a new, or a conversion of an existing, borrowing or other extension of credit (including any election of an interest rate or interest period relating thereto, (B) relates to the payment of any principal or other amount due under this Agreement prior to the scheduled date therefor, (C) provides notice of any default or event of default under this Agreement or (D) is required to be delivered to satisfy any condition precedent to the effectiveness of this Agreement and/or any borrowing or other extension of credit thereunder (all such non-excluded communications being referred to herein collectively as “</w:t>
      </w:r>
      <w:r>
        <w:rPr>
          <w:rFonts w:ascii="Arial" w:cs="Arial" w:eastAsia="Arial" w:hAnsi="Arial"/>
          <w:sz w:val="16"/>
          <w:szCs w:val="16"/>
          <w:b w:val="1"/>
          <w:bCs w:val="1"/>
          <w:color w:val="auto"/>
        </w:rPr>
        <w:t>Communications</w:t>
      </w:r>
      <w:r>
        <w:rPr>
          <w:rFonts w:ascii="Arial" w:cs="Arial" w:eastAsia="Arial" w:hAnsi="Arial"/>
          <w:sz w:val="16"/>
          <w:szCs w:val="16"/>
          <w:color w:val="auto"/>
        </w:rPr>
        <w:t xml:space="preserve">”), by transmitting the Communications in an electronic/soft medium in a format reasonably acceptable to the Administrative Agent to the Administrative Agent at an email address provided by the Administrative Agent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upon written request by the Administrative Agent, Holdings or the Borrower shall deliver paper copies of such documents to the Administrative Agent for further distribution to each Lender until a written request to cease delivering paper copies is given by the Administrative Agent and (ii) Holdings or the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 Nothing in this </w:t>
      </w:r>
      <w:r>
        <w:rPr>
          <w:rFonts w:ascii="Arial" w:cs="Arial" w:eastAsia="Arial" w:hAnsi="Arial"/>
          <w:sz w:val="16"/>
          <w:szCs w:val="16"/>
          <w:u w:val="single" w:color="auto"/>
          <w:color w:val="auto"/>
        </w:rPr>
        <w:t>Section 13.17</w:t>
      </w:r>
      <w:r>
        <w:rPr>
          <w:rFonts w:ascii="Arial" w:cs="Arial" w:eastAsia="Arial" w:hAnsi="Arial"/>
          <w:sz w:val="16"/>
          <w:szCs w:val="16"/>
          <w:color w:val="auto"/>
        </w:rPr>
        <w:t xml:space="preserve"> shall prejudice the right of Holdings, the Borrower, the Administrative Agent, any other Agent or any Lender to give any notice or other communication pursuant to any Credit Document in any other manner specified in such Credit Document.</w:t>
      </w:r>
    </w:p>
    <w:p>
      <w:pPr>
        <w:spacing w:after="0" w:line="178"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Administrative Agent agrees that the receipt of the Communications by the Administrative Agent at its e-mail address set forth above shall constitute effective delivery of the Communications to the Administrative Agent for purposes of the Credit Documents. Each Lender agrees that notice to it (as provided in the next sentence) specifying that the Communications have been posted to the Platform shall constitute effective delivery of the Communications to such Lender for purposes of the Credit Documents. Each Lender agrees (A) to notify the Administrative Agent in writing (including by electronic communication) from time to time of such Lender’s e-mail address to which the foregoing notice may be sent by electronic transmission and (B) that the foregoing notice may be sent to such e-mail address.</w:t>
      </w:r>
    </w:p>
    <w:p>
      <w:pPr>
        <w:spacing w:after="0" w:line="193" w:lineRule="exact"/>
        <w:rPr>
          <w:sz w:val="20"/>
          <w:szCs w:val="20"/>
          <w:color w:val="auto"/>
        </w:rPr>
      </w:pPr>
    </w:p>
    <w:p>
      <w:pPr>
        <w:ind w:right="120" w:firstLine="656"/>
        <w:spacing w:after="0" w:line="312" w:lineRule="auto"/>
        <w:tabs>
          <w:tab w:leader="none" w:pos="1028" w:val="left"/>
        </w:tabs>
        <w:numPr>
          <w:ilvl w:val="0"/>
          <w:numId w:val="221"/>
        </w:numPr>
        <w:rPr>
          <w:rFonts w:ascii="Arial" w:cs="Arial" w:eastAsia="Arial" w:hAnsi="Arial"/>
          <w:sz w:val="16"/>
          <w:szCs w:val="16"/>
          <w:color w:val="auto"/>
        </w:rPr>
      </w:pPr>
      <w:r>
        <w:rPr>
          <w:rFonts w:ascii="Arial" w:cs="Arial" w:eastAsia="Arial" w:hAnsi="Arial"/>
          <w:sz w:val="16"/>
          <w:szCs w:val="16"/>
          <w:color w:val="auto"/>
        </w:rPr>
        <w:t>Each of Holdings and the Borrower further agrees that any Agent may make the Communications available to the Lenders by posting the Communications on Intralinks or a substantially similar electronic transmission system (the “</w:t>
      </w:r>
      <w:r>
        <w:rPr>
          <w:rFonts w:ascii="Arial" w:cs="Arial" w:eastAsia="Arial" w:hAnsi="Arial"/>
          <w:sz w:val="16"/>
          <w:szCs w:val="16"/>
          <w:b w:val="1"/>
          <w:bCs w:val="1"/>
          <w:color w:val="auto"/>
        </w:rPr>
        <w:t>Platform</w:t>
      </w:r>
      <w:r>
        <w:rPr>
          <w:rFonts w:ascii="Arial" w:cs="Arial" w:eastAsia="Arial" w:hAnsi="Arial"/>
          <w:sz w:val="16"/>
          <w:szCs w:val="16"/>
          <w:color w:val="auto"/>
        </w:rPr>
        <w:t xml:space="preserve">”), so long as the access to such Platform (i) is limited to the Agents, the Lenders and Transferees or prospective Transferees and (ii) remains subject to the confidentiality requirements set forth in </w:t>
      </w:r>
      <w:r>
        <w:rPr>
          <w:rFonts w:ascii="Arial" w:cs="Arial" w:eastAsia="Arial" w:hAnsi="Arial"/>
          <w:sz w:val="16"/>
          <w:szCs w:val="16"/>
          <w:u w:val="single" w:color="auto"/>
          <w:color w:val="auto"/>
        </w:rPr>
        <w:t>Section 13.16</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right="60" w:firstLine="656"/>
        <w:spacing w:after="0" w:line="269" w:lineRule="auto"/>
        <w:tabs>
          <w:tab w:leader="none" w:pos="1035"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PLATFORM IS PROVIDED “AS IS” AND “AS AVAILABLE.” THE AGENT PARTIES DO NOT WARRANT THE ACCURACY OR COMPLETENESS OF ANY MATERIALS OR INFORMATION PROVIDED BY THE CREDIT PARTIES (THE “</w:t>
      </w:r>
      <w:r>
        <w:rPr>
          <w:rFonts w:ascii="Arial" w:cs="Arial" w:eastAsia="Arial" w:hAnsi="Arial"/>
          <w:sz w:val="17"/>
          <w:szCs w:val="17"/>
          <w:b w:val="1"/>
          <w:bCs w:val="1"/>
          <w:color w:val="auto"/>
        </w:rPr>
        <w:t>BORROWER MATERIALS</w:t>
      </w:r>
      <w:r>
        <w:rPr>
          <w:rFonts w:ascii="Arial" w:cs="Arial" w:eastAsia="Arial" w:hAnsi="Arial"/>
          <w:sz w:val="17"/>
          <w:szCs w:val="17"/>
          <w:color w:val="auto"/>
        </w:rPr>
        <w:t>”)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b w:val="1"/>
          <w:bCs w:val="1"/>
          <w:color w:val="auto"/>
        </w:rPr>
        <w:t>Agent Parties</w:t>
      </w:r>
      <w:r>
        <w:rPr>
          <w:rFonts w:ascii="Arial" w:cs="Arial" w:eastAsia="Arial" w:hAnsi="Arial"/>
          <w:sz w:val="17"/>
          <w:szCs w:val="17"/>
          <w:color w:val="auto"/>
        </w:rPr>
        <w:t>” and each an “</w:t>
      </w:r>
      <w:r>
        <w:rPr>
          <w:rFonts w:ascii="Arial" w:cs="Arial" w:eastAsia="Arial" w:hAnsi="Arial"/>
          <w:sz w:val="17"/>
          <w:szCs w:val="17"/>
          <w:b w:val="1"/>
          <w:bCs w:val="1"/>
          <w:color w:val="auto"/>
        </w:rPr>
        <w:t>Agent Party</w:t>
      </w:r>
      <w:r>
        <w:rPr>
          <w:rFonts w:ascii="Arial" w:cs="Arial" w:eastAsia="Arial" w:hAnsi="Arial"/>
          <w:sz w:val="17"/>
          <w:szCs w:val="17"/>
          <w:color w:val="auto"/>
        </w:rPr>
        <w:t>”)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the liability of any Agent Party resulted from such Agent Party’s (or any of its Related Parties’ (other than any trustee or advisor)) gross negligence, bad faith or willful misconduct or material breach of the Credit Documents as determined in the final non-appealable judgment of a court of competent jurisdiction.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-166-</w:t>
      </w:r>
    </w:p>
    <w:p>
      <w:pPr>
        <w:sectPr>
          <w:pgSz w:w="11900" w:h="16838" w:orient="portrait"/>
          <w:cols w:equalWidth="0" w:num="1">
            <w:col w:w="11420"/>
          </w:cols>
          <w:pgMar w:left="240" w:top="814" w:right="239" w:bottom="1440" w:gutter="0" w:footer="0" w:header="0"/>
        </w:sectPr>
      </w:pPr>
    </w:p>
    <w:bookmarkStart w:id="246" w:name="page247"/>
    <w:bookmarkEnd w:id="246"/>
    <w:p>
      <w:pPr>
        <w:ind w:firstLine="656"/>
        <w:spacing w:after="0" w:line="287" w:lineRule="auto"/>
        <w:tabs>
          <w:tab w:leader="none" w:pos="1028" w:val="left"/>
        </w:tabs>
        <w:numPr>
          <w:ilvl w:val="0"/>
          <w:numId w:val="222"/>
        </w:numPr>
        <w:rPr>
          <w:rFonts w:ascii="Arial" w:cs="Arial" w:eastAsia="Arial" w:hAnsi="Arial"/>
          <w:sz w:val="16"/>
          <w:szCs w:val="16"/>
          <w:color w:val="auto"/>
        </w:rPr>
      </w:pPr>
      <w:r>
        <w:rPr>
          <w:rFonts w:ascii="Arial" w:cs="Arial" w:eastAsia="Arial" w:hAnsi="Arial"/>
          <w:sz w:val="16"/>
          <w:szCs w:val="16"/>
          <w:color w:val="auto"/>
        </w:rPr>
        <w:t xml:space="preserve">Each of Holdings and the Borrower and each Lender acknowledge that certain of the Lenders may be “public-side” Lenders (Lenders that do not wish to receive material non-public information with respect to Holdings, the Borrower, the Subsidiaries or their securities) and, if documents or notices required to be delivered pursuant to the Credit Documents or otherwise are being distributed through the Platform, any document or notice that Holdings or the Borrower has indicated contains only publicly available information with respect to Holdings or the Borrower may be posted on that portion of the Platform designated for such public-side Lenders. If Holdings or the Borrower has not indicated whether a document or notice delivered contains only publicly available information, the Administrative Agent shall post such document or notice solely on that portion of the Platform designated for Lenders who wish to receive material nonpublic information with respect to Holdings, the Borrower, the Subsidiaries and their securities. Notwithstanding the foregoing, each of Holdings and the Borrower shall use commercially reasonable efforts to indicate whether any document or notice contains only publicly available information; provided however that, the following documents shall be deemed to be marked “PUBLIC,” unless the Borrower notifies the Administrative Agent promptly that any such document contains material nonpublic information: (1) the Credit Documents, (2) any notification of changes in the terms of the Credit Facility and (3) all financial statements and certificates delivered pursuant to </w:t>
      </w:r>
      <w:r>
        <w:rPr>
          <w:rFonts w:ascii="Arial" w:cs="Arial" w:eastAsia="Arial" w:hAnsi="Arial"/>
          <w:sz w:val="16"/>
          <w:szCs w:val="16"/>
          <w:u w:val="single" w:color="auto"/>
          <w:color w:val="auto"/>
        </w:rPr>
        <w:t>Sections 9.1(a)</w:t>
      </w:r>
      <w:r>
        <w:rPr>
          <w:rFonts w:ascii="Arial" w:cs="Arial" w:eastAsia="Arial" w:hAnsi="Arial"/>
          <w:sz w:val="16"/>
          <w:szCs w:val="16"/>
          <w:color w:val="auto"/>
        </w:rPr>
        <w:t>,</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w:t>
      </w:r>
    </w:p>
    <w:p>
      <w:pPr>
        <w:spacing w:after="0" w:line="17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13.18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hereby notifies each Credit Party that pursuant to the requirements of the USA Patriot Act (Title III of Pub. L. 107-56 (signed into law October 26, 2001)) (the “</w:t>
      </w:r>
      <w:r>
        <w:rPr>
          <w:rFonts w:ascii="Arial" w:cs="Arial" w:eastAsia="Arial" w:hAnsi="Arial"/>
          <w:sz w:val="18"/>
          <w:szCs w:val="18"/>
          <w:b w:val="1"/>
          <w:bCs w:val="1"/>
          <w:color w:val="auto"/>
        </w:rPr>
        <w:t>Patriot Act</w:t>
      </w:r>
      <w:r>
        <w:rPr>
          <w:rFonts w:ascii="Arial" w:cs="Arial" w:eastAsia="Arial" w:hAnsi="Arial"/>
          <w:sz w:val="18"/>
          <w:szCs w:val="18"/>
          <w:color w:val="auto"/>
        </w:rPr>
        <w:t>”), it is required to obtain, verify, and record information that identifies each Credit Party, which information includes the name and address of each Credit Party and other information that will allow such Lender to identify each Credit Party in accordance with the Patriot Act.</w:t>
      </w:r>
    </w:p>
    <w:p>
      <w:pPr>
        <w:spacing w:after="0" w:line="187"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13.19</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13.20 </w:t>
      </w:r>
      <w:r>
        <w:rPr>
          <w:rFonts w:ascii="Arial" w:cs="Arial" w:eastAsia="Arial" w:hAnsi="Arial"/>
          <w:sz w:val="17"/>
          <w:szCs w:val="17"/>
          <w:u w:val="single" w:color="auto"/>
          <w:color w:val="auto"/>
        </w:rPr>
        <w:t>Payments Set Aside</w:t>
      </w:r>
      <w:r>
        <w:rPr>
          <w:rFonts w:ascii="Arial" w:cs="Arial" w:eastAsia="Arial" w:hAnsi="Arial"/>
          <w:sz w:val="17"/>
          <w:szCs w:val="17"/>
          <w:color w:val="auto"/>
        </w:rPr>
        <w:t>. To the extent that any payment by or on behalf of Holdings or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applicable Overnight Rate from time to time in effect.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-167-</w:t>
      </w:r>
    </w:p>
    <w:p>
      <w:pPr>
        <w:sectPr>
          <w:pgSz w:w="11900" w:h="16838" w:orient="portrait"/>
          <w:cols w:equalWidth="0" w:num="1">
            <w:col w:w="11420"/>
          </w:cols>
          <w:pgMar w:left="240" w:top="814" w:right="239" w:bottom="1440" w:gutter="0" w:footer="0" w:header="0"/>
        </w:sectPr>
      </w:pPr>
    </w:p>
    <w:bookmarkStart w:id="247" w:name="page248"/>
    <w:bookmarkEnd w:id="247"/>
    <w:p>
      <w:pPr>
        <w:ind w:firstLine="648"/>
        <w:spacing w:after="0" w:line="268" w:lineRule="auto"/>
        <w:rPr>
          <w:sz w:val="20"/>
          <w:szCs w:val="20"/>
          <w:color w:val="auto"/>
        </w:rPr>
      </w:pPr>
      <w:r>
        <w:rPr>
          <w:rFonts w:ascii="Arial" w:cs="Arial" w:eastAsia="Arial" w:hAnsi="Arial"/>
          <w:sz w:val="17"/>
          <w:szCs w:val="17"/>
          <w:color w:val="auto"/>
        </w:rPr>
        <w:t xml:space="preserve">13.21 </w:t>
      </w:r>
      <w:r>
        <w:rPr>
          <w:rFonts w:ascii="Arial" w:cs="Arial" w:eastAsia="Arial" w:hAnsi="Arial"/>
          <w:sz w:val="17"/>
          <w:szCs w:val="17"/>
          <w:u w:val="single" w:color="auto"/>
          <w:color w:val="auto"/>
        </w:rPr>
        <w:t>No Fiduciary Duty</w:t>
      </w:r>
      <w:r>
        <w:rPr>
          <w:rFonts w:ascii="Arial" w:cs="Arial" w:eastAsia="Arial" w:hAnsi="Arial"/>
          <w:sz w:val="17"/>
          <w:szCs w:val="17"/>
          <w:color w:val="auto"/>
        </w:rPr>
        <w:t>. Each Agent, each Syndication Agent, each Documentation Agent, each Joint Lead Arranger and Bookrunner, each Letter of Credit Issuer, each Lender and their Affiliates (collectively, the “</w:t>
      </w:r>
      <w:r>
        <w:rPr>
          <w:rFonts w:ascii="Arial" w:cs="Arial" w:eastAsia="Arial" w:hAnsi="Arial"/>
          <w:sz w:val="17"/>
          <w:szCs w:val="17"/>
          <w:b w:val="1"/>
          <w:bCs w:val="1"/>
          <w:color w:val="auto"/>
        </w:rPr>
        <w:t>Lender Parties</w:t>
      </w:r>
      <w:r>
        <w:rPr>
          <w:rFonts w:ascii="Arial" w:cs="Arial" w:eastAsia="Arial" w:hAnsi="Arial"/>
          <w:sz w:val="17"/>
          <w:szCs w:val="17"/>
          <w:color w:val="auto"/>
        </w:rPr>
        <w:t>”), may have economic interests that conflict with those of the Credit Parties, their stockholders and/or their affiliates. Each Credit Party agrees that nothing in the Credit Documents or otherwise will be deemed to create an advisory, fiduciary or agency relationship or fiduciary or other implied duty between any Lender Party, on the one hand, and such Credit Party, its stockholders or its affiliates, on the other. The Credit Parties acknowledge and agree that (i) the transactions contemplated by the Credit Documents (including the exercise of rights and remedies hereunder and thereunder) are arm’s-length commercial transactions between the Lender Parties, on the one hand, and the Credit Parties, on the other, and (ii) in connection therewith and with the process leading thereto, (x) no Lender Party has assumed an advisory or fiduciary responsibility in favor of any Credit Party, its stockholders or its affiliates with respect to the transactions contemplated hereby (or the exercise of rights or remedies with respect thereto) or the process leading thereto (irrespective of whether any Lender Party has advised, is currently advising or will advise any Credit Party, its stockholders or its Affiliates on other matters) or any other obligation to any Credit Party except the obligations expressly set forth in the Credit Documents and (y) each Lender Party is acting solely as principal and not as the agent or fiduciary of any Credit Party, its management, stockholders or creditors. Each Credit Party acknowledges and agrees that it has consulted its own legal and financial advisors to the extent it deemed appropriate and that it is responsible for making its own independent judgment with respect to such transactions and the process leading thereto. Each Credit Party agrees that it will not claim that any Lender Party has rendered advisory services of any nature or respect, or owes a fiduciary or similar duty to such Credit Party, in connection with such transaction or the process leading thereto.</w:t>
      </w:r>
    </w:p>
    <w:p>
      <w:pPr>
        <w:spacing w:after="0" w:line="18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13.22 </w:t>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 Solely to the extent any Lender that is an EEA Financial Institution is a party to this Agreement and notwithstanding anything to the contrary in any Credit Document or in any other agreement, arrangement or understanding among any such parties, each party hereto acknowledges that any liability of any Lender that is an EEA Financial Institution arising under any Credit Document, to the extent such liability is unsecured, may be subject to the Write-down and Conversion Powers of an EEA Resolution Authority and agrees and consents to, and acknowledges and agrees to be bound by:</w:t>
      </w:r>
    </w:p>
    <w:p>
      <w:pPr>
        <w:spacing w:after="0" w:line="188" w:lineRule="exact"/>
        <w:rPr>
          <w:sz w:val="20"/>
          <w:szCs w:val="20"/>
          <w:color w:val="auto"/>
        </w:rPr>
      </w:pPr>
    </w:p>
    <w:p>
      <w:pPr>
        <w:ind w:left="660" w:right="180" w:firstLine="645"/>
        <w:spacing w:after="0" w:line="277" w:lineRule="auto"/>
        <w:tabs>
          <w:tab w:leader="none" w:pos="168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Lender that is an EEA Financial Institution; and</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38" w:lineRule="exact"/>
        <w:rPr>
          <w:rFonts w:ascii="Arial" w:cs="Arial" w:eastAsia="Arial" w:hAnsi="Arial"/>
          <w:sz w:val="18"/>
          <w:szCs w:val="18"/>
          <w:color w:val="auto"/>
        </w:rPr>
      </w:pPr>
    </w:p>
    <w:p>
      <w:pPr>
        <w:ind w:left="2560" w:hanging="364"/>
        <w:spacing w:after="0"/>
        <w:tabs>
          <w:tab w:leader="none" w:pos="2560" w:val="left"/>
        </w:tabs>
        <w:numPr>
          <w:ilvl w:val="1"/>
          <w:numId w:val="223"/>
        </w:numPr>
        <w:rPr>
          <w:rFonts w:ascii="Arial" w:cs="Arial" w:eastAsia="Arial" w:hAnsi="Arial"/>
          <w:sz w:val="20"/>
          <w:szCs w:val="20"/>
          <w:color w:val="auto"/>
        </w:rPr>
      </w:pPr>
      <w:r>
        <w:rPr>
          <w:rFonts w:ascii="Arial" w:cs="Arial" w:eastAsia="Arial" w:hAnsi="Arial"/>
          <w:sz w:val="18"/>
          <w:szCs w:val="18"/>
          <w:color w:val="auto"/>
        </w:rPr>
        <w:t>a reduction in full or in part or cancellation of any such liability;</w:t>
      </w:r>
    </w:p>
    <w:p>
      <w:pPr>
        <w:spacing w:after="0" w:line="215" w:lineRule="exact"/>
        <w:rPr>
          <w:rFonts w:ascii="Arial" w:cs="Arial" w:eastAsia="Arial" w:hAnsi="Arial"/>
          <w:sz w:val="20"/>
          <w:szCs w:val="20"/>
          <w:color w:val="auto"/>
        </w:rPr>
      </w:pPr>
    </w:p>
    <w:p>
      <w:pPr>
        <w:ind w:left="1300" w:right="180" w:firstLine="896"/>
        <w:spacing w:after="0" w:line="265" w:lineRule="auto"/>
        <w:tabs>
          <w:tab w:leader="none" w:pos="2613" w:val="left"/>
        </w:tabs>
        <w:numPr>
          <w:ilvl w:val="1"/>
          <w:numId w:val="223"/>
        </w:numPr>
        <w:rPr>
          <w:rFonts w:ascii="Arial" w:cs="Arial" w:eastAsia="Arial" w:hAnsi="Arial"/>
          <w:sz w:val="20"/>
          <w:szCs w:val="20"/>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94" w:lineRule="exact"/>
        <w:rPr>
          <w:rFonts w:ascii="Arial" w:cs="Arial" w:eastAsia="Arial" w:hAnsi="Arial"/>
          <w:sz w:val="20"/>
          <w:szCs w:val="20"/>
          <w:color w:val="auto"/>
        </w:rPr>
      </w:pPr>
    </w:p>
    <w:p>
      <w:pPr>
        <w:ind w:left="1300" w:right="160" w:firstLine="896"/>
        <w:spacing w:after="0" w:line="266" w:lineRule="auto"/>
        <w:tabs>
          <w:tab w:leader="none" w:pos="2668" w:val="left"/>
        </w:tabs>
        <w:numPr>
          <w:ilvl w:val="1"/>
          <w:numId w:val="223"/>
        </w:numPr>
        <w:rPr>
          <w:rFonts w:ascii="Arial" w:cs="Arial" w:eastAsia="Arial" w:hAnsi="Arial"/>
          <w:sz w:val="20"/>
          <w:szCs w:val="20"/>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-168-</w:t>
      </w:r>
    </w:p>
    <w:p>
      <w:pPr>
        <w:sectPr>
          <w:pgSz w:w="11900" w:h="16838" w:orient="portrait"/>
          <w:cols w:equalWidth="0" w:num="1">
            <w:col w:w="11420"/>
          </w:cols>
          <w:pgMar w:left="240" w:top="814" w:right="239" w:bottom="1440" w:gutter="0" w:footer="0" w:header="0"/>
        </w:sectPr>
      </w:pPr>
    </w:p>
    <w:bookmarkStart w:id="248" w:name="page249"/>
    <w:bookmarkEnd w:id="248"/>
    <w:p>
      <w:pPr>
        <w:ind w:left="660"/>
        <w:spacing w:after="0"/>
        <w:tabs>
          <w:tab w:leader="none" w:pos="1220" w:val="left"/>
        </w:tabs>
        <w:rPr>
          <w:sz w:val="20"/>
          <w:szCs w:val="20"/>
          <w:color w:val="auto"/>
        </w:rPr>
      </w:pPr>
      <w:r>
        <w:rPr>
          <w:rFonts w:ascii="Arial" w:cs="Arial" w:eastAsia="Arial" w:hAnsi="Arial"/>
          <w:sz w:val="18"/>
          <w:szCs w:val="18"/>
          <w:color w:val="auto"/>
        </w:rPr>
        <w:t>13.23</w:t>
      </w:r>
      <w:r>
        <w:rPr>
          <w:sz w:val="20"/>
          <w:szCs w:val="20"/>
          <w:color w:val="auto"/>
        </w:rPr>
        <w:tab/>
      </w:r>
      <w:r>
        <w:rPr>
          <w:rFonts w:ascii="Arial" w:cs="Arial" w:eastAsia="Arial" w:hAnsi="Arial"/>
          <w:sz w:val="16"/>
          <w:szCs w:val="16"/>
          <w:u w:val="single" w:color="auto"/>
          <w:color w:val="auto"/>
        </w:rPr>
        <w:t>Acknowledgement Regarding Any Supported QFCs</w:t>
      </w:r>
      <w:r>
        <w:rPr>
          <w:rFonts w:ascii="Arial" w:cs="Arial" w:eastAsia="Arial" w:hAnsi="Arial"/>
          <w:sz w:val="16"/>
          <w:szCs w:val="16"/>
          <w:color w:val="auto"/>
        </w:rPr>
        <w:t>. To the extent that the Credit Documents provide support, through a guarantee 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otherwise, for any swap contract or any other agreement or instrument that is a QFC (such support, “</w:t>
      </w:r>
      <w:r>
        <w:rPr>
          <w:rFonts w:ascii="Arial" w:cs="Arial" w:eastAsia="Arial" w:hAnsi="Arial"/>
          <w:sz w:val="17"/>
          <w:szCs w:val="17"/>
          <w:b w:val="1"/>
          <w:bCs w:val="1"/>
          <w:color w:val="auto"/>
        </w:rPr>
        <w:t>QFC Credit Support</w:t>
      </w:r>
      <w:r>
        <w:rPr>
          <w:rFonts w:ascii="Arial" w:cs="Arial" w:eastAsia="Arial" w:hAnsi="Arial"/>
          <w:sz w:val="17"/>
          <w:szCs w:val="17"/>
          <w:color w:val="auto"/>
        </w:rPr>
        <w:t>”, and each such QFC,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Supported QFC</w:t>
      </w:r>
      <w:r>
        <w:rPr>
          <w:rFonts w:ascii="Arial" w:cs="Arial" w:eastAsia="Arial" w:hAnsi="Arial"/>
          <w:sz w:val="16"/>
          <w:szCs w:val="16"/>
          <w:color w:val="auto"/>
        </w:rPr>
        <w:t>”), the parties acknowledge and agree as follows with respect to the resolution power of the Federal Deposit Insurance Corporation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Federal Deposit Insurance Act and Title II of the Dodd-Frank Wall Street Reform and Consumer Protection Act (together with the regulations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promulgated thereunder, the “</w:t>
      </w:r>
      <w:r>
        <w:rPr>
          <w:rFonts w:ascii="Arial" w:cs="Arial" w:eastAsia="Arial" w:hAnsi="Arial"/>
          <w:sz w:val="16"/>
          <w:szCs w:val="16"/>
          <w:b w:val="1"/>
          <w:bCs w:val="1"/>
          <w:color w:val="auto"/>
        </w:rPr>
        <w:t>U.S. Special Resolution Regimes</w:t>
      </w:r>
      <w:r>
        <w:rPr>
          <w:rFonts w:ascii="Arial" w:cs="Arial" w:eastAsia="Arial" w:hAnsi="Arial"/>
          <w:sz w:val="16"/>
          <w:szCs w:val="16"/>
          <w:color w:val="auto"/>
        </w:rPr>
        <w:t>”) in respect of such Supported QFC and QFC Credit Support (with the provisions below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notwithstanding that the Credit Documents and any Supported QFC may in fact be stated to be governed by the laws of the State of New York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and/or of the United States or any other state of the United States):</w:t>
      </w:r>
    </w:p>
    <w:p>
      <w:pPr>
        <w:spacing w:after="0" w:line="207" w:lineRule="exact"/>
        <w:rPr>
          <w:sz w:val="20"/>
          <w:szCs w:val="20"/>
          <w:color w:val="auto"/>
        </w:rPr>
      </w:pPr>
    </w:p>
    <w:p>
      <w:pPr>
        <w:ind w:left="660" w:firstLine="645"/>
        <w:spacing w:after="0" w:line="288" w:lineRule="auto"/>
        <w:tabs>
          <w:tab w:leader="none" w:pos="1688" w:val="left"/>
        </w:tabs>
        <w:numPr>
          <w:ilvl w:val="0"/>
          <w:numId w:val="224"/>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b w:val="1"/>
          <w:bCs w:val="1"/>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8" w:lineRule="exact"/>
        <w:rPr>
          <w:rFonts w:ascii="Arial" w:cs="Arial" w:eastAsia="Arial" w:hAnsi="Arial"/>
          <w:sz w:val="16"/>
          <w:szCs w:val="16"/>
          <w:color w:val="auto"/>
        </w:rPr>
      </w:pPr>
    </w:p>
    <w:p>
      <w:pPr>
        <w:ind w:left="1680" w:hanging="375"/>
        <w:spacing w:after="0"/>
        <w:tabs>
          <w:tab w:leader="none" w:pos="16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13.23</w:t>
      </w:r>
      <w:r>
        <w:rPr>
          <w:rFonts w:ascii="Arial" w:cs="Arial" w:eastAsia="Arial" w:hAnsi="Arial"/>
          <w:sz w:val="18"/>
          <w:szCs w:val="18"/>
          <w:color w:val="auto"/>
        </w:rPr>
        <w:t>, the following terms have the following meanings:</w:t>
      </w:r>
    </w:p>
    <w:p>
      <w:pPr>
        <w:spacing w:after="0" w:line="221"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BHC Act Affiliate</w:t>
      </w:r>
      <w:r>
        <w:rPr>
          <w:rFonts w:ascii="Arial" w:cs="Arial" w:eastAsia="Arial" w:hAnsi="Arial"/>
          <w:sz w:val="16"/>
          <w:szCs w:val="16"/>
          <w:color w:val="auto"/>
        </w:rPr>
        <w:t>” of a party means an “affiliate” (as such term is defined under, and interpreted in accordance with, 12 U.S.C.</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1841(k)) of such party.</w:t>
      </w:r>
    </w:p>
    <w:p>
      <w:pPr>
        <w:spacing w:after="0" w:line="207" w:lineRule="exact"/>
        <w:rPr>
          <w:sz w:val="20"/>
          <w:szCs w:val="20"/>
          <w:color w:val="auto"/>
        </w:rPr>
      </w:pPr>
    </w:p>
    <w:p>
      <w:pPr>
        <w:ind w:left="1300"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6" w:lineRule="exact"/>
        <w:rPr>
          <w:sz w:val="20"/>
          <w:szCs w:val="20"/>
          <w:color w:val="auto"/>
        </w:rPr>
      </w:pPr>
    </w:p>
    <w:p>
      <w:pPr>
        <w:ind w:left="1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left="1300"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QFC</w:t>
      </w:r>
      <w:r>
        <w:rPr>
          <w:rFonts w:ascii="Arial" w:cs="Arial" w:eastAsia="Arial" w:hAnsi="Arial"/>
          <w:sz w:val="18"/>
          <w:szCs w:val="18"/>
          <w:color w:val="auto"/>
        </w:rPr>
        <w:t>” has the meaning assigned to the term “qualified financial contract” in, and shall be interpreted in accordance with, 12 U.S.C. 5390(c)(8)(D).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intentionally omitted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-169-</w:t>
      </w:r>
    </w:p>
    <w:p>
      <w:pPr>
        <w:sectPr>
          <w:pgSz w:w="11900" w:h="16838" w:orient="portrait"/>
          <w:cols w:equalWidth="0" w:num="1">
            <w:col w:w="11420"/>
          </w:cols>
          <w:pgMar w:left="240" w:top="814" w:right="2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 Reade Fahs, certify that:</w:t>
      </w:r>
    </w:p>
    <w:p>
      <w:pPr>
        <w:spacing w:after="0" w:line="225" w:lineRule="exact"/>
        <w:rPr>
          <w:sz w:val="20"/>
          <w:szCs w:val="20"/>
          <w:color w:val="auto"/>
        </w:rPr>
      </w:pPr>
    </w:p>
    <w:p>
      <w:pPr>
        <w:ind w:left="340" w:hanging="332"/>
        <w:spacing w:after="0"/>
        <w:tabs>
          <w:tab w:leader="none" w:pos="3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29, 2019 of National Vision Holdings,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200" w:lineRule="exact"/>
        <w:rPr>
          <w:sz w:val="20"/>
          <w:szCs w:val="20"/>
          <w:color w:val="auto"/>
        </w:rPr>
      </w:pPr>
    </w:p>
    <w:p>
      <w:pPr>
        <w:spacing w:after="0" w:line="24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-10160</wp:posOffset>
            </wp:positionV>
            <wp:extent cx="17081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170815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 Reade Fahs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Patrick R. Moore, certify that:</w:t>
      </w:r>
    </w:p>
    <w:p>
      <w:pPr>
        <w:spacing w:after="0" w:line="225" w:lineRule="exact"/>
        <w:rPr>
          <w:sz w:val="20"/>
          <w:szCs w:val="20"/>
          <w:color w:val="auto"/>
        </w:rPr>
      </w:pPr>
    </w:p>
    <w:p>
      <w:pPr>
        <w:ind w:left="340" w:hanging="332"/>
        <w:spacing w:after="0"/>
        <w:tabs>
          <w:tab w:leader="none" w:pos="3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29, 2019 of National Vision Holdings,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-10160</wp:posOffset>
            </wp:positionV>
            <wp:extent cx="20986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209867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Patrick R. Moore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Senior Vice President, 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connection with the Quarterly Report of National Vision Holdings, Inc. (the “Company”) on Form 10-Q for the quarterly period ended June 29, 2019 filed with the Securities and Exchange Commission on the date hereof (the “Report”), I, L. Reade Fahs, Chief Executive Officer and Director of the Company, do hereby certify, pursuant to 18 U.S.C. Section 1350, as adopted pursuant to Section 906 of the Sarbanes-Oxley Act of 2002, that:</w:t>
      </w:r>
    </w:p>
    <w:p>
      <w:pPr>
        <w:spacing w:after="0" w:line="166" w:lineRule="exact"/>
        <w:rPr>
          <w:sz w:val="20"/>
          <w:szCs w:val="20"/>
          <w:color w:val="auto"/>
        </w:rPr>
      </w:pPr>
    </w:p>
    <w:p>
      <w:pPr>
        <w:ind w:left="340" w:hanging="332"/>
        <w:spacing w:after="0"/>
        <w:tabs>
          <w:tab w:leader="none" w:pos="3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40"/>
        <w:spacing w:after="0"/>
        <w:tabs>
          <w:tab w:leader="none" w:pos="7000" w:val="left"/>
        </w:tabs>
        <w:rPr>
          <w:sz w:val="20"/>
          <w:szCs w:val="20"/>
          <w:color w:val="auto"/>
        </w:rPr>
      </w:pPr>
      <w:r>
        <w:rPr>
          <w:rFonts w:ascii="Arial" w:cs="Arial" w:eastAsia="Arial" w:hAnsi="Arial"/>
          <w:sz w:val="18"/>
          <w:szCs w:val="18"/>
          <w:color w:val="auto"/>
        </w:rPr>
        <w:t>/s/ L. Reade Fahs</w:t>
      </w:r>
      <w:r>
        <w:rPr>
          <w:sz w:val="20"/>
          <w:szCs w:val="20"/>
          <w:color w:val="auto"/>
        </w:rPr>
        <w:tab/>
      </w:r>
      <w:r>
        <w:rPr>
          <w:rFonts w:ascii="Arial" w:cs="Arial" w:eastAsia="Arial" w:hAnsi="Arial"/>
          <w:sz w:val="14"/>
          <w:szCs w:val="14"/>
          <w:color w:val="auto"/>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-10160</wp:posOffset>
            </wp:positionV>
            <wp:extent cx="17081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170815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 Reade Fahs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 connection with the Quarterly Report of National Vision Holdings, Inc. (the “Company”) on Form 10-Q for the quarterly period ended June 29, 2019 filed with the Securities and Exchange Commission on the date hereof (the “Report”), I, Patrick R. Moore, Senior Vice President, Chief Financial Officer of the Company, do hereby certify, pursuant to 18 U.S.C. Section 1350, as adopted pursuant to Section 906 of the Sarbanes-Oxley Act of 2002, that:</w:t>
      </w:r>
    </w:p>
    <w:p>
      <w:pPr>
        <w:spacing w:after="0" w:line="147" w:lineRule="exact"/>
        <w:rPr>
          <w:sz w:val="20"/>
          <w:szCs w:val="20"/>
          <w:color w:val="auto"/>
        </w:rPr>
      </w:pPr>
    </w:p>
    <w:p>
      <w:pPr>
        <w:ind w:left="340" w:hanging="332"/>
        <w:spacing w:after="0"/>
        <w:tabs>
          <w:tab w:leader="none" w:pos="340"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b w:val="1"/>
          <w:bCs w:val="1"/>
          <w:color w:val="auto"/>
        </w:rPr>
      </w:pPr>
    </w:p>
    <w:p>
      <w:pPr>
        <w:ind w:left="340" w:right="160" w:hanging="332"/>
        <w:spacing w:after="0" w:line="277" w:lineRule="auto"/>
        <w:tabs>
          <w:tab w:leader="none" w:pos="340"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-10160</wp:posOffset>
            </wp:positionV>
            <wp:extent cx="20986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09867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Patrick R. Moore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Senior Vice President, 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C5991AA"/>
    <w:multiLevelType w:val="hybridMultilevel"/>
    <w:lvl w:ilvl="0">
      <w:lvlJc w:val="left"/>
      <w:lvlText w:val="☒"/>
      <w:numFmt w:val="bullet"/>
      <w:start w:val="1"/>
    </w:lvl>
  </w:abstractNum>
  <w:abstractNum w:abstractNumId="1">
    <w:nsid w:val="4BD8591A"/>
    <w:multiLevelType w:val="hybridMultilevel"/>
    <w:lvl w:ilvl="0">
      <w:lvlJc w:val="left"/>
      <w:lvlText w:val="☐"/>
      <w:numFmt w:val="bullet"/>
      <w:start w:val="1"/>
    </w:lvl>
  </w:abstractNum>
  <w:abstractNum w:abstractNumId="2">
    <w:nsid w:val="78DF6A55"/>
    <w:multiLevelType w:val="hybridMultilevel"/>
    <w:lvl w:ilvl="0">
      <w:lvlJc w:val="left"/>
      <w:lvlText w:val="•"/>
      <w:numFmt w:val="bullet"/>
      <w:start w:val="1"/>
    </w:lvl>
  </w:abstractNum>
  <w:abstractNum w:abstractNumId="3">
    <w:nsid w:val="39B7AAA2"/>
    <w:multiLevelType w:val="hybridMultilevel"/>
    <w:lvl w:ilvl="0">
      <w:lvlJc w:val="left"/>
      <w:lvlText w:val="•"/>
      <w:numFmt w:val="bullet"/>
      <w:start w:val="1"/>
    </w:lvl>
  </w:abstractNum>
  <w:abstractNum w:abstractNumId="4">
    <w:nsid w:val="2B0D8DBE"/>
    <w:multiLevelType w:val="hybridMultilevel"/>
    <w:lvl w:ilvl="0">
      <w:lvlJc w:val="left"/>
      <w:lvlText w:val="(%1)"/>
      <w:numFmt w:val="decimal"/>
      <w:start w:val="1"/>
    </w:lvl>
  </w:abstractNum>
  <w:abstractNum w:abstractNumId="5">
    <w:nsid w:val="6C80EC70"/>
    <w:multiLevelType w:val="hybridMultilevel"/>
    <w:lvl w:ilvl="0">
      <w:lvlJc w:val="left"/>
      <w:lvlText w:val="%1"/>
      <w:numFmt w:val="decimal"/>
      <w:start w:val="1"/>
    </w:lvl>
    <w:lvl w:ilvl="1">
      <w:lvlJc w:val="left"/>
      <w:lvlText w:val="(%2)"/>
      <w:numFmt w:val="decimal"/>
      <w:start w:val="1"/>
    </w:lvl>
  </w:abstractNum>
  <w:abstractNum w:abstractNumId="6">
    <w:nsid w:val="379E21B5"/>
    <w:multiLevelType w:val="hybridMultilevel"/>
    <w:lvl w:ilvl="0">
      <w:lvlJc w:val="left"/>
      <w:lvlText w:val="%1."/>
      <w:numFmt w:val="decimal"/>
      <w:start w:val="3"/>
    </w:lvl>
    <w:lvl w:ilvl="1">
      <w:lvlJc w:val="left"/>
      <w:lvlText w:val="%2"/>
      <w:numFmt w:val="decimal"/>
      <w:start w:val="1"/>
    </w:lvl>
  </w:abstractNum>
  <w:abstractNum w:abstractNumId="7">
    <w:nsid w:val="69E373"/>
    <w:multiLevelType w:val="hybridMultilevel"/>
    <w:lvl w:ilvl="0">
      <w:lvlJc w:val="left"/>
      <w:lvlText w:val="•"/>
      <w:numFmt w:val="bullet"/>
      <w:start w:val="1"/>
    </w:lvl>
  </w:abstractNum>
  <w:abstractNum w:abstractNumId="8">
    <w:nsid w:val="2C27173B"/>
    <w:multiLevelType w:val="hybridMultilevel"/>
    <w:lvl w:ilvl="0">
      <w:lvlJc w:val="left"/>
      <w:lvlText w:val="%1"/>
      <w:numFmt w:val="decimal"/>
      <w:start w:val="1"/>
    </w:lvl>
    <w:lvl w:ilvl="1">
      <w:lvlJc w:val="left"/>
      <w:lvlText w:val="(%2)"/>
      <w:numFmt w:val="decimal"/>
      <w:start w:val="1"/>
    </w:lvl>
  </w:abstractNum>
  <w:abstractNum w:abstractNumId="9">
    <w:nsid w:val="4C9B0904"/>
    <w:multiLevelType w:val="hybridMultilevel"/>
    <w:lvl w:ilvl="0">
      <w:lvlJc w:val="left"/>
      <w:lvlText w:val="%1."/>
      <w:numFmt w:val="decimal"/>
      <w:start w:val="4"/>
    </w:lvl>
    <w:lvl w:ilvl="1">
      <w:lvlJc w:val="left"/>
      <w:lvlText w:val="%2"/>
      <w:numFmt w:val="decimal"/>
      <w:start w:val="1"/>
    </w:lvl>
  </w:abstractNum>
  <w:abstractNum w:abstractNumId="10">
    <w:nsid w:val="6AA7B75C"/>
    <w:multiLevelType w:val="hybridMultilevel"/>
    <w:lvl w:ilvl="0">
      <w:lvlJc w:val="left"/>
      <w:lvlText w:val="(%1)"/>
      <w:numFmt w:val="lowerLetter"/>
      <w:start w:val="1"/>
    </w:lvl>
  </w:abstractNum>
  <w:abstractNum w:abstractNumId="11">
    <w:nsid w:val="1DF029D3"/>
    <w:multiLevelType w:val="hybridMultilevel"/>
    <w:lvl w:ilvl="0">
      <w:lvlJc w:val="left"/>
      <w:lvlText w:val="(%1)"/>
      <w:numFmt w:val="lowerLetter"/>
      <w:start w:val="1"/>
    </w:lvl>
  </w:abstractNum>
  <w:abstractNum w:abstractNumId="12">
    <w:nsid w:val="5675FF36"/>
    <w:multiLevelType w:val="hybridMultilevel"/>
    <w:lvl w:ilvl="0">
      <w:lvlJc w:val="left"/>
      <w:lvlText w:val="(%1)"/>
      <w:numFmt w:val="lowerLetter"/>
      <w:start w:val="1"/>
    </w:lvl>
  </w:abstractNum>
  <w:abstractNum w:abstractNumId="13">
    <w:nsid w:val="3DD15094"/>
    <w:multiLevelType w:val="hybridMultilevel"/>
    <w:lvl w:ilvl="0">
      <w:lvlJc w:val="left"/>
      <w:lvlText w:val="•"/>
      <w:numFmt w:val="bullet"/>
      <w:start w:val="1"/>
    </w:lvl>
  </w:abstractNum>
  <w:abstractNum w:abstractNumId="14">
    <w:nsid w:val="3DB012B3"/>
    <w:multiLevelType w:val="hybridMultilevel"/>
    <w:lvl w:ilvl="0">
      <w:lvlJc w:val="left"/>
      <w:lvlText w:val="•"/>
      <w:numFmt w:val="bullet"/>
      <w:start w:val="1"/>
    </w:lvl>
  </w:abstractNum>
  <w:abstractNum w:abstractNumId="15">
    <w:nsid w:val="2708C9AF"/>
    <w:multiLevelType w:val="hybridMultilevel"/>
    <w:lvl w:ilvl="0">
      <w:lvlJc w:val="left"/>
      <w:lvlText w:val="•"/>
      <w:numFmt w:val="bullet"/>
      <w:start w:val="1"/>
    </w:lvl>
  </w:abstractNum>
  <w:abstractNum w:abstractNumId="16">
    <w:nsid w:val="5B25ACE2"/>
    <w:multiLevelType w:val="hybridMultilevel"/>
    <w:lvl w:ilvl="0">
      <w:lvlJc w:val="left"/>
      <w:lvlText w:val="•"/>
      <w:numFmt w:val="bullet"/>
      <w:start w:val="1"/>
    </w:lvl>
  </w:abstractNum>
  <w:abstractNum w:abstractNumId="17">
    <w:nsid w:val="175DFCF0"/>
    <w:multiLevelType w:val="hybridMultilevel"/>
    <w:lvl w:ilvl="0">
      <w:lvlJc w:val="left"/>
      <w:lvlText w:val="(%1)"/>
      <w:numFmt w:val="decimal"/>
      <w:start w:val="1"/>
    </w:lvl>
  </w:abstractNum>
  <w:abstractNum w:abstractNumId="18">
    <w:nsid w:val="4F97E3E4"/>
    <w:multiLevelType w:val="hybridMultilevel"/>
    <w:lvl w:ilvl="0">
      <w:lvlJc w:val="left"/>
      <w:lvlText w:val="(%1)"/>
      <w:numFmt w:val="decimal"/>
      <w:start w:val="1"/>
    </w:lvl>
  </w:abstractNum>
  <w:abstractNum w:abstractNumId="19">
    <w:nsid w:val="53B0A9E"/>
    <w:multiLevelType w:val="hybridMultilevel"/>
    <w:lvl w:ilvl="0">
      <w:lvlJc w:val="left"/>
      <w:lvlText w:val="•"/>
      <w:numFmt w:val="bullet"/>
      <w:start w:val="1"/>
    </w:lvl>
  </w:abstractNum>
  <w:abstractNum w:abstractNumId="20">
    <w:nsid w:val="34FD6B4F"/>
    <w:multiLevelType w:val="hybridMultilevel"/>
    <w:lvl w:ilvl="0">
      <w:lvlJc w:val="left"/>
      <w:lvlText w:val="(%1)"/>
      <w:numFmt w:val="lowerLetter"/>
      <w:start w:val="1"/>
    </w:lvl>
  </w:abstractNum>
  <w:abstractNum w:abstractNumId="21">
    <w:nsid w:val="5915FF32"/>
    <w:multiLevelType w:val="hybridMultilevel"/>
    <w:lvl w:ilvl="0">
      <w:lvlJc w:val="left"/>
      <w:lvlText w:val="(%1)"/>
      <w:numFmt w:val="lowerLetter"/>
      <w:start w:val="6"/>
    </w:lvl>
  </w:abstractNum>
  <w:abstractNum w:abstractNumId="22">
    <w:nsid w:val="56438D15"/>
    <w:multiLevelType w:val="hybridMultilevel"/>
    <w:lvl w:ilvl="0">
      <w:lvlJc w:val="left"/>
      <w:lvlText w:val="•"/>
      <w:numFmt w:val="bullet"/>
      <w:start w:val="1"/>
    </w:lvl>
  </w:abstractNum>
  <w:abstractNum w:abstractNumId="23">
    <w:nsid w:val="519E3149"/>
    <w:multiLevelType w:val="hybridMultilevel"/>
    <w:lvl w:ilvl="0">
      <w:lvlJc w:val="left"/>
      <w:lvlText w:val="•"/>
      <w:numFmt w:val="bullet"/>
      <w:start w:val="1"/>
    </w:lvl>
  </w:abstractNum>
  <w:abstractNum w:abstractNumId="24">
    <w:nsid w:val="2C6E4AFD"/>
    <w:multiLevelType w:val="hybridMultilevel"/>
    <w:lvl w:ilvl="0">
      <w:lvlJc w:val="left"/>
      <w:lvlText w:val="%1"/>
      <w:numFmt w:val="decimal"/>
      <w:start w:val="104"/>
    </w:lvl>
  </w:abstractNum>
  <w:abstractNum w:abstractNumId="25">
    <w:nsid w:val="17A1B582"/>
    <w:multiLevelType w:val="hybridMultilevel"/>
    <w:lvl w:ilvl="0">
      <w:lvlJc w:val="left"/>
      <w:lvlText w:val="(%1)"/>
      <w:numFmt w:val="lowerLetter"/>
      <w:start w:val="1"/>
    </w:lvl>
  </w:abstractNum>
  <w:abstractNum w:abstractNumId="26">
    <w:nsid w:val="4DF72E4E"/>
    <w:multiLevelType w:val="hybridMultilevel"/>
    <w:lvl w:ilvl="0">
      <w:lvlJc w:val="left"/>
      <w:lvlText w:val="(%1)"/>
      <w:numFmt w:val="lowerLetter"/>
      <w:start w:val="1"/>
    </w:lvl>
  </w:abstractNum>
  <w:abstractNum w:abstractNumId="27">
    <w:nsid w:val="5046B5A9"/>
    <w:multiLevelType w:val="hybridMultilevel"/>
    <w:lvl w:ilvl="0">
      <w:lvlJc w:val="left"/>
      <w:lvlText w:val="(%1)"/>
      <w:numFmt w:val="lowerLetter"/>
      <w:start w:val="1"/>
    </w:lvl>
  </w:abstractNum>
  <w:abstractNum w:abstractNumId="28">
    <w:nsid w:val="5D888A08"/>
    <w:multiLevelType w:val="hybridMultilevel"/>
    <w:lvl w:ilvl="0">
      <w:lvlJc w:val="left"/>
      <w:lvlText w:val="(%1)"/>
      <w:numFmt w:val="lowerLetter"/>
      <w:start w:val="1"/>
    </w:lvl>
  </w:abstractNum>
  <w:abstractNum w:abstractNumId="29">
    <w:nsid w:val="2A082C70"/>
    <w:multiLevelType w:val="hybridMultilevel"/>
    <w:lvl w:ilvl="0">
      <w:lvlJc w:val="left"/>
      <w:lvlText w:val="(%1)"/>
      <w:numFmt w:val="lowerLetter"/>
      <w:start w:val="2"/>
    </w:lvl>
  </w:abstractNum>
  <w:abstractNum w:abstractNumId="30">
    <w:nsid w:val="5EC6AFD4"/>
    <w:multiLevelType w:val="hybridMultilevel"/>
    <w:lvl w:ilvl="0">
      <w:lvlJc w:val="left"/>
      <w:lvlText w:val="(%1)"/>
      <w:numFmt w:val="lowerLetter"/>
      <w:start w:val="3"/>
    </w:lvl>
  </w:abstractNum>
  <w:abstractNum w:abstractNumId="31">
    <w:nsid w:val="19E21BB2"/>
    <w:multiLevelType w:val="hybridMultilevel"/>
    <w:lvl w:ilvl="0">
      <w:lvlJc w:val="left"/>
      <w:lvlText w:val="(%1)"/>
      <w:numFmt w:val="lowerLetter"/>
      <w:start w:val="7"/>
    </w:lvl>
  </w:abstractNum>
  <w:abstractNum w:abstractNumId="32">
    <w:nsid w:val="75E0858A"/>
    <w:multiLevelType w:val="hybridMultilevel"/>
    <w:lvl w:ilvl="0">
      <w:lvlJc w:val="left"/>
      <w:lvlText w:val="(%1)"/>
      <w:numFmt w:val="lowerLetter"/>
      <w:start w:val="1"/>
    </w:lvl>
  </w:abstractNum>
  <w:abstractNum w:abstractNumId="33">
    <w:nsid w:val="57A61A29"/>
    <w:multiLevelType w:val="hybridMultilevel"/>
    <w:lvl w:ilvl="0">
      <w:lvlJc w:val="left"/>
      <w:lvlText w:val="%1"/>
      <w:numFmt w:val="lowerLetter"/>
      <w:start w:val="1"/>
    </w:lvl>
    <w:lvl w:ilvl="1">
      <w:lvlJc w:val="left"/>
      <w:lvlText w:val="(%2)"/>
      <w:numFmt w:val="lowerRoman"/>
      <w:start w:val="1"/>
    </w:lvl>
  </w:abstractNum>
  <w:abstractNum w:abstractNumId="34">
    <w:nsid w:val="5399C654"/>
    <w:multiLevelType w:val="hybridMultilevel"/>
    <w:lvl w:ilvl="0">
      <w:lvlJc w:val="left"/>
      <w:lvlText w:val="(%1)"/>
      <w:numFmt w:val="lowerLetter"/>
      <w:start w:val="1"/>
    </w:lvl>
    <w:lvl w:ilvl="1">
      <w:lvlJc w:val="left"/>
      <w:lvlText w:val="%2"/>
      <w:numFmt w:val="lowerRoman"/>
      <w:start w:val="1"/>
    </w:lvl>
  </w:abstractNum>
  <w:abstractNum w:abstractNumId="35">
    <w:nsid w:val="20EE1348"/>
    <w:multiLevelType w:val="hybridMultilevel"/>
    <w:lvl w:ilvl="0">
      <w:lvlJc w:val="left"/>
      <w:lvlText w:val="(%1)"/>
      <w:numFmt w:val="lowerLetter"/>
      <w:start w:val="5"/>
    </w:lvl>
  </w:abstractNum>
  <w:abstractNum w:abstractNumId="36">
    <w:nsid w:val="4427069A"/>
    <w:multiLevelType w:val="hybridMultilevel"/>
    <w:lvl w:ilvl="0">
      <w:lvlJc w:val="left"/>
      <w:lvlText w:val="(%1)"/>
      <w:numFmt w:val="lowerLetter"/>
      <w:start w:val="19"/>
    </w:lvl>
  </w:abstractNum>
  <w:abstractNum w:abstractNumId="37">
    <w:nsid w:val="B37E80A"/>
    <w:multiLevelType w:val="hybridMultilevel"/>
    <w:lvl w:ilvl="0">
      <w:lvlJc w:val="left"/>
      <w:lvlText w:val="(%1)"/>
      <w:numFmt w:val="lowerRoman"/>
      <w:start w:val="1"/>
    </w:lvl>
  </w:abstractNum>
  <w:abstractNum w:abstractNumId="38">
    <w:nsid w:val="2157F6BC"/>
    <w:multiLevelType w:val="hybridMultilevel"/>
    <w:lvl w:ilvl="0">
      <w:lvlJc w:val="left"/>
      <w:lvlText w:val="(%1)"/>
      <w:numFmt w:val="lowerRoman"/>
      <w:start w:val="10"/>
    </w:lvl>
  </w:abstractNum>
  <w:abstractNum w:abstractNumId="39">
    <w:nsid w:val="704E1DD5"/>
    <w:multiLevelType w:val="hybridMultilevel"/>
    <w:lvl w:ilvl="0">
      <w:lvlJc w:val="left"/>
      <w:lvlText w:val="(%1)"/>
      <w:numFmt w:val="lowerRoman"/>
      <w:start w:val="3"/>
    </w:lvl>
  </w:abstractNum>
  <w:abstractNum w:abstractNumId="40">
    <w:nsid w:val="57D2F10E"/>
    <w:multiLevelType w:val="hybridMultilevel"/>
    <w:lvl w:ilvl="0">
      <w:lvlJc w:val="left"/>
      <w:lvlText w:val="%1"/>
      <w:numFmt w:val="lowerLetter"/>
      <w:start w:val="1"/>
    </w:lvl>
    <w:lvl w:ilvl="1">
      <w:lvlJc w:val="left"/>
      <w:lvlText w:val="(%2)"/>
      <w:numFmt w:val="lowerLetter"/>
      <w:start w:val="9"/>
    </w:lvl>
  </w:abstractNum>
  <w:abstractNum w:abstractNumId="41">
    <w:nsid w:val="BFFAE18"/>
    <w:multiLevelType w:val="hybridMultilevel"/>
    <w:lvl w:ilvl="0">
      <w:lvlJc w:val="left"/>
      <w:lvlText w:val="(%1)"/>
      <w:numFmt w:val="lowerLetter"/>
      <w:start w:val="1"/>
    </w:lvl>
    <w:lvl w:ilvl="1">
      <w:lvlJc w:val="left"/>
      <w:lvlText w:val="%2"/>
      <w:numFmt w:val="lowerLetter"/>
      <w:start w:val="1"/>
    </w:lvl>
  </w:abstractNum>
  <w:abstractNum w:abstractNumId="42">
    <w:nsid w:val="E3E47A8"/>
    <w:multiLevelType w:val="hybridMultilevel"/>
    <w:lvl w:ilvl="0">
      <w:lvlJc w:val="left"/>
      <w:lvlText w:val="(%1)"/>
      <w:numFmt w:val="lowerLetter"/>
      <w:start w:val="5"/>
    </w:lvl>
  </w:abstractNum>
  <w:abstractNum w:abstractNumId="43">
    <w:nsid w:val="2E48F044"/>
    <w:multiLevelType w:val="hybridMultilevel"/>
    <w:lvl w:ilvl="0">
      <w:lvlJc w:val="left"/>
      <w:lvlText w:val="(%1)"/>
      <w:numFmt w:val="lowerLetter"/>
      <w:start w:val="14"/>
    </w:lvl>
    <w:lvl w:ilvl="1">
      <w:lvlJc w:val="left"/>
      <w:lvlText w:val="(%2)"/>
      <w:numFmt w:val="lowerLetter"/>
      <w:start w:val="35"/>
    </w:lvl>
  </w:abstractNum>
  <w:abstractNum w:abstractNumId="44">
    <w:nsid w:val="49D0FEAC"/>
    <w:multiLevelType w:val="hybridMultilevel"/>
    <w:lvl w:ilvl="0">
      <w:lvlJc w:val="left"/>
      <w:lvlText w:val="(%1)"/>
      <w:numFmt w:val="lowerLetter"/>
      <w:start w:val="1"/>
    </w:lvl>
    <w:lvl w:ilvl="1">
      <w:lvlJc w:val="left"/>
      <w:lvlText w:val="(%2)"/>
      <w:numFmt w:val="lowerLetter"/>
      <w:start w:val="61"/>
    </w:lvl>
  </w:abstractNum>
  <w:abstractNum w:abstractNumId="45">
    <w:nsid w:val="4BEE5A5B"/>
    <w:multiLevelType w:val="hybridMultilevel"/>
    <w:lvl w:ilvl="0">
      <w:lvlJc w:val="left"/>
      <w:lvlText w:val="(%1)"/>
      <w:numFmt w:val="lowerLetter"/>
      <w:start w:val="1"/>
    </w:lvl>
  </w:abstractNum>
  <w:abstractNum w:abstractNumId="46">
    <w:nsid w:val="5551B9F3"/>
    <w:multiLevelType w:val="hybridMultilevel"/>
    <w:lvl w:ilvl="0">
      <w:lvlJc w:val="left"/>
      <w:lvlText w:val="(%1)"/>
      <w:numFmt w:val="lowerRoman"/>
      <w:start w:val="1"/>
    </w:lvl>
  </w:abstractNum>
  <w:abstractNum w:abstractNumId="47">
    <w:nsid w:val="24F6AB8E"/>
    <w:multiLevelType w:val="hybridMultilevel"/>
    <w:lvl w:ilvl="0">
      <w:lvlJc w:val="left"/>
      <w:lvlText w:val="(%1)"/>
      <w:numFmt w:val="lowerRoman"/>
      <w:start w:val="3"/>
    </w:lvl>
  </w:abstractNum>
  <w:abstractNum w:abstractNumId="48">
    <w:nsid w:val="634C574C"/>
    <w:multiLevelType w:val="hybridMultilevel"/>
    <w:lvl w:ilvl="0">
      <w:lvlJc w:val="left"/>
      <w:lvlText w:val="%1"/>
      <w:numFmt w:val="decimal"/>
      <w:start w:val="1"/>
    </w:lvl>
    <w:lvl w:ilvl="1">
      <w:lvlJc w:val="left"/>
      <w:lvlText w:val="(%2)"/>
      <w:numFmt w:val="lowerRoman"/>
      <w:start w:val="1"/>
    </w:lvl>
  </w:abstractNum>
  <w:abstractNum w:abstractNumId="49">
    <w:nsid w:val="24E99DD7"/>
    <w:multiLevelType w:val="hybridMultilevel"/>
    <w:lvl w:ilvl="0">
      <w:lvlJc w:val="left"/>
      <w:lvlText w:val="(%1)"/>
      <w:numFmt w:val="decimal"/>
      <w:start w:val="6"/>
    </w:lvl>
    <w:lvl w:ilvl="1">
      <w:lvlJc w:val="left"/>
      <w:lvlText w:val="(%2)"/>
      <w:numFmt w:val="lowerRoman"/>
      <w:start w:val="2"/>
    </w:lvl>
  </w:abstractNum>
  <w:abstractNum w:abstractNumId="50">
    <w:nsid w:val="2A31B62D"/>
    <w:multiLevelType w:val="hybridMultilevel"/>
    <w:lvl w:ilvl="0">
      <w:lvlJc w:val="left"/>
      <w:lvlText w:val="(%1)"/>
      <w:numFmt w:val="lowerRoman"/>
      <w:start w:val="1"/>
    </w:lvl>
  </w:abstractNum>
  <w:abstractNum w:abstractNumId="51">
    <w:nsid w:val="1849C29B"/>
    <w:multiLevelType w:val="hybridMultilevel"/>
    <w:lvl w:ilvl="0">
      <w:lvlJc w:val="left"/>
      <w:lvlText w:val="(%1)"/>
      <w:numFmt w:val="lowerRoman"/>
      <w:start w:val="7"/>
    </w:lvl>
  </w:abstractNum>
  <w:abstractNum w:abstractNumId="52">
    <w:nsid w:val="7DFF9D09"/>
    <w:multiLevelType w:val="hybridMultilevel"/>
    <w:lvl w:ilvl="0">
      <w:lvlJc w:val="left"/>
      <w:lvlText w:val="(%1)"/>
      <w:numFmt w:val="lowerRoman"/>
      <w:start w:val="17"/>
    </w:lvl>
  </w:abstractNum>
  <w:abstractNum w:abstractNumId="53">
    <w:nsid w:val="754342"/>
    <w:multiLevelType w:val="hybridMultilevel"/>
    <w:lvl w:ilvl="0">
      <w:lvlJc w:val="left"/>
      <w:lvlText w:val="(%1)"/>
      <w:numFmt w:val="lowerRoman"/>
      <w:start w:val="1"/>
    </w:lvl>
  </w:abstractNum>
  <w:abstractNum w:abstractNumId="54">
    <w:nsid w:val="69E7F3E5"/>
    <w:multiLevelType w:val="hybridMultilevel"/>
    <w:lvl w:ilvl="0">
      <w:lvlJc w:val="left"/>
      <w:lvlText w:val="(%1)"/>
      <w:numFmt w:val="lowerLetter"/>
      <w:start w:val="7"/>
    </w:lvl>
  </w:abstractNum>
  <w:abstractNum w:abstractNumId="55">
    <w:nsid w:val="2A6DE806"/>
    <w:multiLevelType w:val="hybridMultilevel"/>
    <w:lvl w:ilvl="0">
      <w:lvlJc w:val="left"/>
      <w:lvlText w:val="(%1)"/>
      <w:numFmt w:val="lowerRoman"/>
      <w:start w:val="1"/>
    </w:lvl>
  </w:abstractNum>
  <w:abstractNum w:abstractNumId="56">
    <w:nsid w:val="1816F8C4"/>
    <w:multiLevelType w:val="hybridMultilevel"/>
    <w:lvl w:ilvl="0">
      <w:lvlJc w:val="left"/>
      <w:lvlText w:val="(%1)"/>
      <w:numFmt w:val="lowerRoman"/>
      <w:start w:val="1"/>
    </w:lvl>
  </w:abstractNum>
  <w:abstractNum w:abstractNumId="57">
    <w:nsid w:val="37DF2233"/>
    <w:multiLevelType w:val="hybridMultilevel"/>
    <w:lvl w:ilvl="0">
      <w:lvlJc w:val="left"/>
      <w:lvlText w:val="(%1)"/>
      <w:numFmt w:val="lowerRoman"/>
      <w:start w:val="3"/>
    </w:lvl>
  </w:abstractNum>
  <w:abstractNum w:abstractNumId="58">
    <w:nsid w:val="7AB49DAF"/>
    <w:multiLevelType w:val="hybridMultilevel"/>
    <w:lvl w:ilvl="0">
      <w:lvlJc w:val="left"/>
      <w:lvlText w:val=";"/>
      <w:numFmt w:val="bullet"/>
      <w:start w:val="1"/>
    </w:lvl>
    <w:lvl w:ilvl="1">
      <w:lvlJc w:val="left"/>
      <w:lvlText w:val="(%2)"/>
      <w:numFmt w:val="lowerRoman"/>
      <w:start w:val="1"/>
    </w:lvl>
  </w:abstractNum>
  <w:abstractNum w:abstractNumId="59">
    <w:nsid w:val="759F82CD"/>
    <w:multiLevelType w:val="hybridMultilevel"/>
    <w:lvl w:ilvl="0">
      <w:lvlJc w:val="left"/>
      <w:lvlText w:val="(%1)"/>
      <w:numFmt w:val="lowerLetter"/>
      <w:start w:val="1"/>
    </w:lvl>
  </w:abstractNum>
  <w:abstractNum w:abstractNumId="60">
    <w:nsid w:val="61E74EA3"/>
    <w:multiLevelType w:val="hybridMultilevel"/>
    <w:lvl w:ilvl="0">
      <w:lvlJc w:val="left"/>
      <w:lvlText w:val="(%1)"/>
      <w:numFmt w:val="lowerLetter"/>
      <w:start w:val="7"/>
    </w:lvl>
  </w:abstractNum>
  <w:abstractNum w:abstractNumId="61">
    <w:nsid w:val="597B4D84"/>
    <w:multiLevelType w:val="hybridMultilevel"/>
    <w:lvl w:ilvl="0">
      <w:lvlJc w:val="left"/>
      <w:lvlText w:val="(%1)"/>
      <w:numFmt w:val="lowerRoman"/>
      <w:start w:val="1"/>
    </w:lvl>
  </w:abstractNum>
  <w:abstractNum w:abstractNumId="62">
    <w:nsid w:val="F819E7F"/>
    <w:multiLevelType w:val="hybridMultilevel"/>
    <w:lvl w:ilvl="0">
      <w:lvlJc w:val="left"/>
      <w:lvlText w:val="(%1)"/>
      <w:numFmt w:val="lowerRoman"/>
      <w:start w:val="3"/>
    </w:lvl>
  </w:abstractNum>
  <w:abstractNum w:abstractNumId="63">
    <w:nsid w:val="57C7D42D"/>
    <w:multiLevelType w:val="hybridMultilevel"/>
    <w:lvl w:ilvl="0">
      <w:lvlJc w:val="left"/>
      <w:lvlText w:val="(%1)"/>
      <w:numFmt w:val="lowerRoman"/>
      <w:start w:val="11"/>
    </w:lvl>
  </w:abstractNum>
  <w:abstractNum w:abstractNumId="64">
    <w:nsid w:val="312167AD"/>
    <w:multiLevelType w:val="hybridMultilevel"/>
    <w:lvl w:ilvl="0">
      <w:lvlJc w:val="left"/>
      <w:lvlText w:val="%1"/>
      <w:numFmt w:val="lowerRoman"/>
      <w:start w:val="1"/>
    </w:lvl>
    <w:lvl w:ilvl="1">
      <w:lvlJc w:val="left"/>
      <w:lvlText w:val="(%2)"/>
      <w:numFmt w:val="lowerRoman"/>
      <w:start w:val="22"/>
    </w:lvl>
  </w:abstractNum>
  <w:abstractNum w:abstractNumId="65">
    <w:nsid w:val="631B64D4"/>
    <w:multiLevelType w:val="hybridMultilevel"/>
    <w:lvl w:ilvl="0">
      <w:lvlJc w:val="left"/>
      <w:lvlText w:val="(%1)"/>
      <w:numFmt w:val="lowerRoman"/>
      <w:start w:val="23"/>
    </w:lvl>
    <w:lvl w:ilvl="1">
      <w:lvlJc w:val="left"/>
      <w:lvlText w:val="%2"/>
      <w:numFmt w:val="lowerRoman"/>
      <w:start w:val="1"/>
    </w:lvl>
  </w:abstractNum>
  <w:abstractNum w:abstractNumId="66">
    <w:nsid w:val="78B5E776"/>
    <w:multiLevelType w:val="hybridMultilevel"/>
    <w:lvl w:ilvl="0">
      <w:lvlJc w:val="left"/>
      <w:lvlText w:val="(%1)"/>
      <w:numFmt w:val="lowerRoman"/>
      <w:start w:val="1"/>
    </w:lvl>
  </w:abstractNum>
  <w:abstractNum w:abstractNumId="67">
    <w:nsid w:val="75486E47"/>
    <w:multiLevelType w:val="hybridMultilevel"/>
    <w:lvl w:ilvl="0">
      <w:lvlJc w:val="left"/>
      <w:lvlText w:val="%1"/>
      <w:numFmt w:val="lowerLetter"/>
      <w:start w:val="1"/>
    </w:lvl>
    <w:lvl w:ilvl="1">
      <w:lvlJc w:val="left"/>
      <w:lvlText w:val="(%2)"/>
      <w:numFmt w:val="lowerRoman"/>
      <w:start w:val="6"/>
    </w:lvl>
  </w:abstractNum>
  <w:abstractNum w:abstractNumId="68">
    <w:nsid w:val="6E534CDE"/>
    <w:multiLevelType w:val="hybridMultilevel"/>
    <w:lvl w:ilvl="0">
      <w:lvlJc w:val="left"/>
      <w:lvlText w:val="(%1)"/>
      <w:numFmt w:val="lowerLetter"/>
      <w:start w:val="25"/>
    </w:lvl>
    <w:lvl w:ilvl="1">
      <w:lvlJc w:val="left"/>
      <w:lvlText w:val="(%2)"/>
      <w:numFmt w:val="lowerRoman"/>
      <w:start w:val="7"/>
    </w:lvl>
  </w:abstractNum>
  <w:abstractNum w:abstractNumId="69">
    <w:nsid w:val="1A0DDE32"/>
    <w:multiLevelType w:val="hybridMultilevel"/>
    <w:lvl w:ilvl="0">
      <w:lvlJc w:val="left"/>
      <w:lvlText w:val="(%1)"/>
      <w:numFmt w:val="lowerRoman"/>
      <w:start w:val="9"/>
    </w:lvl>
  </w:abstractNum>
  <w:abstractNum w:abstractNumId="70">
    <w:nsid w:val="65968C1C"/>
    <w:multiLevelType w:val="hybridMultilevel"/>
    <w:lvl w:ilvl="0">
      <w:lvlJc w:val="left"/>
      <w:lvlText w:val="(%1)"/>
      <w:numFmt w:val="lowerRoman"/>
      <w:start w:val="19"/>
    </w:lvl>
  </w:abstractNum>
  <w:abstractNum w:abstractNumId="71">
    <w:nsid w:val="46263DEC"/>
    <w:multiLevelType w:val="hybridMultilevel"/>
    <w:lvl w:ilvl="0">
      <w:lvlJc w:val="left"/>
      <w:lvlText w:val="(%1)"/>
      <w:numFmt w:val="lowerRoman"/>
      <w:start w:val="32"/>
    </w:lvl>
  </w:abstractNum>
  <w:abstractNum w:abstractNumId="72">
    <w:nsid w:val="260D8C4A"/>
    <w:multiLevelType w:val="hybridMultilevel"/>
    <w:lvl w:ilvl="0">
      <w:lvlJc w:val="left"/>
      <w:lvlText w:val="(%1)"/>
      <w:numFmt w:val="lowerLetter"/>
      <w:start w:val="1"/>
    </w:lvl>
  </w:abstractNum>
  <w:abstractNum w:abstractNumId="73">
    <w:nsid w:val="73D4D3C4"/>
    <w:multiLevelType w:val="hybridMultilevel"/>
    <w:lvl w:ilvl="0">
      <w:lvlJc w:val="left"/>
      <w:lvlText w:val="(%1)"/>
      <w:numFmt w:val="lowerLetter"/>
      <w:start w:val="1"/>
    </w:lvl>
  </w:abstractNum>
  <w:abstractNum w:abstractNumId="74">
    <w:nsid w:val="746F2E30"/>
    <w:multiLevelType w:val="hybridMultilevel"/>
    <w:lvl w:ilvl="0">
      <w:lvlJc w:val="left"/>
      <w:lvlText w:val="(%1)"/>
      <w:numFmt w:val="lowerLetter"/>
      <w:start w:val="1"/>
    </w:lvl>
  </w:abstractNum>
  <w:abstractNum w:abstractNumId="75">
    <w:nsid w:val="6FDE8AF6"/>
    <w:multiLevelType w:val="hybridMultilevel"/>
    <w:lvl w:ilvl="0">
      <w:lvlJc w:val="left"/>
      <w:lvlText w:val="(%1)"/>
      <w:numFmt w:val="lowerLetter"/>
      <w:start w:val="1"/>
    </w:lvl>
  </w:abstractNum>
  <w:abstractNum w:abstractNumId="76">
    <w:nsid w:val="3FC32E20"/>
    <w:multiLevelType w:val="hybridMultilevel"/>
    <w:lvl w:ilvl="0">
      <w:lvlJc w:val="left"/>
      <w:lvlText w:val="%1"/>
      <w:numFmt w:val="lowerLetter"/>
      <w:start w:val="1"/>
    </w:lvl>
    <w:lvl w:ilvl="1">
      <w:lvlJc w:val="left"/>
      <w:lvlText w:val="(%2)"/>
      <w:numFmt w:val="lowerLetter"/>
      <w:start w:val="2"/>
    </w:lvl>
  </w:abstractNum>
  <w:abstractNum w:abstractNumId="77">
    <w:nsid w:val="49C0E823"/>
    <w:multiLevelType w:val="hybridMultilevel"/>
    <w:lvl w:ilvl="0">
      <w:lvlJc w:val="left"/>
      <w:lvlText w:val="(%1)"/>
      <w:numFmt w:val="lowerLetter"/>
      <w:start w:val="35"/>
    </w:lvl>
    <w:lvl w:ilvl="1">
      <w:lvlJc w:val="left"/>
      <w:lvlText w:val="%2"/>
      <w:numFmt w:val="lowerLetter"/>
      <w:start w:val="1"/>
    </w:lvl>
  </w:abstractNum>
  <w:abstractNum w:abstractNumId="78">
    <w:nsid w:val="14D53685"/>
    <w:multiLevelType w:val="hybridMultilevel"/>
    <w:lvl w:ilvl="0">
      <w:lvlJc w:val="left"/>
      <w:lvlText w:val="(%1)"/>
      <w:numFmt w:val="lowerRoman"/>
      <w:start w:val="1"/>
    </w:lvl>
  </w:abstractNum>
  <w:abstractNum w:abstractNumId="79">
    <w:nsid w:val="230F856C"/>
    <w:multiLevelType w:val="hybridMultilevel"/>
    <w:lvl w:ilvl="0">
      <w:lvlJc w:val="left"/>
      <w:lvlText w:val="(%1)"/>
      <w:numFmt w:val="lowerLetter"/>
      <w:start w:val="3"/>
    </w:lvl>
  </w:abstractNum>
  <w:abstractNum w:abstractNumId="80">
    <w:nsid w:val="6EAA85FB"/>
    <w:multiLevelType w:val="hybridMultilevel"/>
    <w:lvl w:ilvl="0">
      <w:lvlJc w:val="left"/>
      <w:lvlText w:val="(%1)"/>
      <w:numFmt w:val="lowerLetter"/>
      <w:start w:val="1"/>
    </w:lvl>
  </w:abstractNum>
  <w:abstractNum w:abstractNumId="81">
    <w:nsid w:val="3F06ECB2"/>
    <w:multiLevelType w:val="hybridMultilevel"/>
    <w:lvl w:ilvl="0">
      <w:lvlJc w:val="left"/>
      <w:lvlText w:val="(%1)"/>
      <w:numFmt w:val="lowerLetter"/>
      <w:start w:val="2"/>
    </w:lvl>
  </w:abstractNum>
  <w:abstractNum w:abstractNumId="82">
    <w:nsid w:val="3B594807"/>
    <w:multiLevelType w:val="hybridMultilevel"/>
    <w:lvl w:ilvl="0">
      <w:lvlJc w:val="left"/>
      <w:lvlText w:val="(%1)"/>
      <w:numFmt w:val="lowerLetter"/>
      <w:start w:val="4"/>
    </w:lvl>
  </w:abstractNum>
  <w:abstractNum w:abstractNumId="83">
    <w:nsid w:val="6CAA2304"/>
    <w:multiLevelType w:val="hybridMultilevel"/>
    <w:lvl w:ilvl="0">
      <w:lvlJc w:val="left"/>
      <w:lvlText w:val="(%1)"/>
      <w:numFmt w:val="lowerLetter"/>
      <w:start w:val="1"/>
    </w:lvl>
  </w:abstractNum>
  <w:abstractNum w:abstractNumId="84">
    <w:nsid w:val="3F7C2FF4"/>
    <w:multiLevelType w:val="hybridMultilevel"/>
    <w:lvl w:ilvl="0">
      <w:lvlJc w:val="left"/>
      <w:lvlText w:val="(%1)"/>
      <w:numFmt w:val="lowerLetter"/>
      <w:start w:val="1"/>
    </w:lvl>
  </w:abstractNum>
  <w:abstractNum w:abstractNumId="85">
    <w:nsid w:val="25413BEC"/>
    <w:multiLevelType w:val="hybridMultilevel"/>
    <w:lvl w:ilvl="0">
      <w:lvlJc w:val="left"/>
      <w:lvlText w:val="(%1)"/>
      <w:numFmt w:val="lowerLetter"/>
      <w:start w:val="1"/>
    </w:lvl>
  </w:abstractNum>
  <w:abstractNum w:abstractNumId="86">
    <w:nsid w:val="17180B0B"/>
    <w:multiLevelType w:val="hybridMultilevel"/>
    <w:lvl w:ilvl="0">
      <w:lvlJc w:val="left"/>
      <w:lvlText w:val="(%1)"/>
      <w:numFmt w:val="lowerLetter"/>
      <w:start w:val="3"/>
    </w:lvl>
  </w:abstractNum>
  <w:abstractNum w:abstractNumId="87">
    <w:nsid w:val="579328B9"/>
    <w:multiLevelType w:val="hybridMultilevel"/>
    <w:lvl w:ilvl="0">
      <w:lvlJc w:val="left"/>
      <w:lvlText w:val="(%1)"/>
      <w:numFmt w:val="lowerLetter"/>
      <w:start w:val="6"/>
    </w:lvl>
  </w:abstractNum>
  <w:abstractNum w:abstractNumId="88">
    <w:nsid w:val="5D205E20"/>
    <w:multiLevelType w:val="hybridMultilevel"/>
    <w:lvl w:ilvl="0">
      <w:lvlJc w:val="left"/>
      <w:lvlText w:val="%1"/>
      <w:numFmt w:val="lowerLetter"/>
      <w:start w:val="1"/>
    </w:lvl>
    <w:lvl w:ilvl="1">
      <w:lvlJc w:val="left"/>
      <w:lvlText w:val="(%2)"/>
      <w:numFmt w:val="lowerLetter"/>
      <w:start w:val="1"/>
    </w:lvl>
  </w:abstractNum>
  <w:abstractNum w:abstractNumId="89">
    <w:nsid w:val="11CCA8BA"/>
    <w:multiLevelType w:val="hybridMultilevel"/>
    <w:lvl w:ilvl="0">
      <w:lvlJc w:val="left"/>
      <w:lvlText w:val="(%1)"/>
      <w:numFmt w:val="lowerLetter"/>
      <w:start w:val="35"/>
    </w:lvl>
    <w:lvl w:ilvl="1">
      <w:lvlJc w:val="left"/>
      <w:lvlText w:val="%2"/>
      <w:numFmt w:val="lowerLetter"/>
      <w:start w:val="1"/>
    </w:lvl>
  </w:abstractNum>
  <w:abstractNum w:abstractNumId="90">
    <w:nsid w:val="4D32AB86"/>
    <w:multiLevelType w:val="hybridMultilevel"/>
    <w:lvl w:ilvl="0">
      <w:lvlJc w:val="left"/>
      <w:lvlText w:val="(%1)"/>
      <w:numFmt w:val="lowerLetter"/>
      <w:start w:val="2"/>
    </w:lvl>
  </w:abstractNum>
  <w:abstractNum w:abstractNumId="91">
    <w:nsid w:val="3F07ACC3"/>
    <w:multiLevelType w:val="hybridMultilevel"/>
    <w:lvl w:ilvl="0">
      <w:lvlJc w:val="left"/>
      <w:lvlText w:val="(%1)"/>
      <w:numFmt w:val="lowerLetter"/>
      <w:start w:val="1"/>
    </w:lvl>
  </w:abstractNum>
  <w:abstractNum w:abstractNumId="92">
    <w:nsid w:val="6B47F63E"/>
    <w:multiLevelType w:val="hybridMultilevel"/>
    <w:lvl w:ilvl="0">
      <w:lvlJc w:val="left"/>
      <w:lvlText w:val="(%1)"/>
      <w:numFmt w:val="lowerLetter"/>
      <w:start w:val="1"/>
    </w:lvl>
  </w:abstractNum>
  <w:abstractNum w:abstractNumId="93">
    <w:nsid w:val="5CB44A05"/>
    <w:multiLevelType w:val="hybridMultilevel"/>
    <w:lvl w:ilvl="0">
      <w:lvlJc w:val="left"/>
      <w:lvlText w:val="(%1)"/>
      <w:numFmt w:val="lowerLetter"/>
      <w:start w:val="1"/>
    </w:lvl>
    <w:lvl w:ilvl="1">
      <w:lvlJc w:val="left"/>
      <w:lvlText w:val="(%2)"/>
      <w:numFmt w:val="lowerRoman"/>
      <w:start w:val="1"/>
    </w:lvl>
  </w:abstractNum>
  <w:abstractNum w:abstractNumId="94">
    <w:nsid w:val="16CF80F1"/>
    <w:multiLevelType w:val="hybridMultilevel"/>
    <w:lvl w:ilvl="0">
      <w:lvlJc w:val="left"/>
      <w:lvlText w:val="(%1)"/>
      <w:numFmt w:val="lowerLetter"/>
      <w:start w:val="26"/>
    </w:lvl>
    <w:lvl w:ilvl="1">
      <w:lvlJc w:val="left"/>
      <w:lvlText w:val="(%2)"/>
      <w:numFmt w:val="lowerLetter"/>
      <w:start w:val="2"/>
    </w:lvl>
  </w:abstractNum>
  <w:abstractNum w:abstractNumId="95">
    <w:nsid w:val="1C695DEC"/>
    <w:multiLevelType w:val="hybridMultilevel"/>
    <w:lvl w:ilvl="0">
      <w:lvlJc w:val="left"/>
      <w:lvlText w:val="(%1)"/>
      <w:numFmt w:val="lowerLetter"/>
      <w:start w:val="35"/>
    </w:lvl>
    <w:lvl w:ilvl="1">
      <w:lvlJc w:val="left"/>
      <w:lvlText w:val="(%2)"/>
      <w:numFmt w:val="lowerLetter"/>
      <w:start w:val="3"/>
    </w:lvl>
  </w:abstractNum>
  <w:abstractNum w:abstractNumId="96">
    <w:nsid w:val="3FCFAED9"/>
    <w:multiLevelType w:val="hybridMultilevel"/>
    <w:lvl w:ilvl="0">
      <w:lvlJc w:val="left"/>
      <w:lvlText w:val="(%1)"/>
      <w:numFmt w:val="lowerRoman"/>
      <w:start w:val="1"/>
    </w:lvl>
  </w:abstractNum>
  <w:abstractNum w:abstractNumId="97">
    <w:nsid w:val="F856867"/>
    <w:multiLevelType w:val="hybridMultilevel"/>
    <w:lvl w:ilvl="0">
      <w:lvlJc w:val="left"/>
      <w:lvlText w:val="(%1)"/>
      <w:numFmt w:val="lowerLetter"/>
      <w:start w:val="1"/>
    </w:lvl>
  </w:abstractNum>
  <w:abstractNum w:abstractNumId="98">
    <w:nsid w:val="11B1CC33"/>
    <w:multiLevelType w:val="hybridMultilevel"/>
    <w:lvl w:ilvl="0">
      <w:lvlJc w:val="left"/>
      <w:lvlText w:val="(%1)"/>
      <w:numFmt w:val="lowerLetter"/>
      <w:start w:val="2"/>
    </w:lvl>
  </w:abstractNum>
  <w:abstractNum w:abstractNumId="99">
    <w:nsid w:val="2E22FBB7"/>
    <w:multiLevelType w:val="hybridMultilevel"/>
    <w:lvl w:ilvl="0">
      <w:lvlJc w:val="left"/>
      <w:lvlText w:val="(%1)"/>
      <w:numFmt w:val="lowerLetter"/>
      <w:start w:val="7"/>
    </w:lvl>
  </w:abstractNum>
  <w:abstractNum w:abstractNumId="100">
    <w:nsid w:val="29934699"/>
    <w:multiLevelType w:val="hybridMultilevel"/>
    <w:lvl w:ilvl="0">
      <w:lvlJc w:val="left"/>
      <w:lvlText w:val="(%1)"/>
      <w:numFmt w:val="lowerRoman"/>
      <w:start w:val="2"/>
    </w:lvl>
  </w:abstractNum>
  <w:abstractNum w:abstractNumId="101">
    <w:nsid w:val="77485850"/>
    <w:multiLevelType w:val="hybridMultilevel"/>
    <w:lvl w:ilvl="0">
      <w:lvlJc w:val="left"/>
      <w:lvlText w:val="(%1)"/>
      <w:numFmt w:val="lowerRoman"/>
      <w:start w:val="3"/>
    </w:lvl>
  </w:abstractNum>
  <w:abstractNum w:abstractNumId="102">
    <w:nsid w:val="744939A3"/>
    <w:multiLevelType w:val="hybridMultilevel"/>
    <w:lvl w:ilvl="0">
      <w:lvlJc w:val="left"/>
      <w:lvlText w:val="(%1)"/>
      <w:numFmt w:val="lowerRoman"/>
      <w:start w:val="5"/>
    </w:lvl>
  </w:abstractNum>
  <w:abstractNum w:abstractNumId="103">
    <w:nsid w:val="4FA0D2E3"/>
    <w:multiLevelType w:val="hybridMultilevel"/>
    <w:lvl w:ilvl="0">
      <w:lvlJc w:val="left"/>
      <w:lvlText w:val="(%1)"/>
      <w:numFmt w:val="lowerLetter"/>
      <w:start w:val="1"/>
    </w:lvl>
    <w:lvl w:ilvl="1">
      <w:lvlJc w:val="left"/>
      <w:lvlText w:val="(%2)"/>
      <w:numFmt w:val="lowerLetter"/>
      <w:start w:val="9"/>
    </w:lvl>
  </w:abstractNum>
  <w:abstractNum w:abstractNumId="104">
    <w:nsid w:val="6B1D2C14"/>
    <w:multiLevelType w:val="hybridMultilevel"/>
    <w:lvl w:ilvl="0">
      <w:lvlJc w:val="left"/>
      <w:lvlText w:val="%1"/>
      <w:numFmt w:val="upperLetter"/>
      <w:start w:val="1"/>
    </w:lvl>
    <w:lvl w:ilvl="1">
      <w:lvlJc w:val="left"/>
      <w:lvlText w:val="(%2)"/>
      <w:numFmt w:val="lowerRoman"/>
      <w:start w:val="2"/>
    </w:lvl>
  </w:abstractNum>
  <w:abstractNum w:abstractNumId="105">
    <w:nsid w:val="68B867D3"/>
    <w:multiLevelType w:val="hybridMultilevel"/>
    <w:lvl w:ilvl="0">
      <w:lvlJc w:val="left"/>
      <w:lvlText w:val="(%1)"/>
      <w:numFmt w:val="upperLetter"/>
      <w:start w:val="1"/>
    </w:lvl>
    <w:lvl w:ilvl="1">
      <w:lvlJc w:val="left"/>
      <w:lvlText w:val="%2"/>
      <w:numFmt w:val="lowerRoman"/>
      <w:start w:val="1"/>
    </w:lvl>
  </w:abstractNum>
  <w:abstractNum w:abstractNumId="106">
    <w:nsid w:val="3F7F5DD9"/>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22"/>
    </w:lvl>
  </w:abstractNum>
  <w:abstractNum w:abstractNumId="107">
    <w:nsid w:val="2AE05A34"/>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108">
    <w:nsid w:val="32794FF7"/>
    <w:multiLevelType w:val="hybridMultilevel"/>
    <w:lvl w:ilvl="0">
      <w:lvlJc w:val="left"/>
      <w:lvlText w:val="(%1)"/>
      <w:numFmt w:val="lowerLetter"/>
      <w:start w:val="1"/>
    </w:lvl>
  </w:abstractNum>
  <w:abstractNum w:abstractNumId="109">
    <w:nsid w:val="5454945E"/>
    <w:multiLevelType w:val="hybridMultilevel"/>
    <w:lvl w:ilvl="0">
      <w:lvlJc w:val="left"/>
      <w:lvlText w:val="(%1)"/>
      <w:numFmt w:val="lowerLetter"/>
      <w:start w:val="2"/>
    </w:lvl>
    <w:lvl w:ilvl="1">
      <w:lvlJc w:val="left"/>
      <w:lvlText w:val="(%2)"/>
      <w:numFmt w:val="lowerRoman"/>
      <w:start w:val="1"/>
    </w:lvl>
  </w:abstractNum>
  <w:abstractNum w:abstractNumId="110">
    <w:nsid w:val="4DEFDFA0"/>
    <w:multiLevelType w:val="hybridMultilevel"/>
    <w:lvl w:ilvl="0">
      <w:lvlJc w:val="left"/>
      <w:lvlText w:val="%1"/>
      <w:numFmt w:val="lowerLetter"/>
      <w:start w:val="1"/>
    </w:lvl>
    <w:lvl w:ilvl="1">
      <w:lvlJc w:val="left"/>
      <w:lvlText w:val="(%2)"/>
      <w:numFmt w:val="lowerRoman"/>
      <w:start w:val="6"/>
    </w:lvl>
  </w:abstractNum>
  <w:abstractNum w:abstractNumId="111">
    <w:nsid w:val="2123D5F2"/>
    <w:multiLevelType w:val="hybridMultilevel"/>
    <w:lvl w:ilvl="0">
      <w:lvlJc w:val="left"/>
      <w:lvlText w:val="(%1)"/>
      <w:numFmt w:val="lowerLetter"/>
      <w:start w:val="6"/>
    </w:lvl>
    <w:lvl w:ilvl="1">
      <w:lvlJc w:val="left"/>
      <w:lvlText w:val="%2"/>
      <w:numFmt w:val="lowerRoman"/>
      <w:start w:val="1"/>
    </w:lvl>
  </w:abstractNum>
  <w:abstractNum w:abstractNumId="112">
    <w:nsid w:val="135B8110"/>
    <w:multiLevelType w:val="hybridMultilevel"/>
    <w:lvl w:ilvl="0">
      <w:lvlJc w:val="left"/>
      <w:lvlText w:val="(%1)"/>
      <w:numFmt w:val="lowerLetter"/>
      <w:start w:val="1"/>
    </w:lvl>
  </w:abstractNum>
  <w:abstractNum w:abstractNumId="113">
    <w:nsid w:val="94927A8"/>
    <w:multiLevelType w:val="hybridMultilevel"/>
    <w:lvl w:ilvl="0">
      <w:lvlJc w:val="left"/>
      <w:lvlText w:val="(%1)"/>
      <w:numFmt w:val="lowerLetter"/>
      <w:start w:val="3"/>
    </w:lvl>
  </w:abstractNum>
  <w:abstractNum w:abstractNumId="114">
    <w:nsid w:val="DCDF8F6"/>
    <w:multiLevelType w:val="hybridMultilevel"/>
    <w:lvl w:ilvl="0">
      <w:lvlJc w:val="left"/>
      <w:lvlText w:val="(%1)"/>
      <w:numFmt w:val="lowerLetter"/>
      <w:start w:val="1"/>
    </w:lvl>
  </w:abstractNum>
  <w:abstractNum w:abstractNumId="115">
    <w:nsid w:val="52D7B105"/>
    <w:multiLevelType w:val="hybridMultilevel"/>
    <w:lvl w:ilvl="0">
      <w:lvlJc w:val="left"/>
      <w:lvlText w:val="(%1)"/>
      <w:numFmt w:val="lowerLetter"/>
      <w:start w:val="2"/>
    </w:lvl>
  </w:abstractNum>
  <w:abstractNum w:abstractNumId="116">
    <w:nsid w:val="2E8A6394"/>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17">
    <w:nsid w:val="24E60401"/>
    <w:multiLevelType w:val="hybridMultilevel"/>
    <w:lvl w:ilvl="0">
      <w:lvlJc w:val="left"/>
      <w:lvlText w:val="%1"/>
      <w:numFmt w:val="lowerLetter"/>
      <w:start w:val="1"/>
    </w:lvl>
    <w:lvl w:ilvl="1">
      <w:lvlJc w:val="left"/>
      <w:lvlText w:val="(%2)"/>
      <w:numFmt w:val="lowerRoman"/>
      <w:start w:val="4"/>
    </w:lvl>
  </w:abstractNum>
  <w:abstractNum w:abstractNumId="118">
    <w:nsid w:val="2A6AD9BE"/>
    <w:multiLevelType w:val="hybridMultilevel"/>
    <w:lvl w:ilvl="0">
      <w:lvlJc w:val="left"/>
      <w:lvlText w:val="(%1)"/>
      <w:numFmt w:val="lowerLetter"/>
      <w:start w:val="3"/>
    </w:lvl>
    <w:lvl w:ilvl="1">
      <w:lvlJc w:val="left"/>
      <w:lvlText w:val="%2"/>
      <w:numFmt w:val="lowerRoman"/>
      <w:start w:val="1"/>
    </w:lvl>
  </w:abstractNum>
  <w:abstractNum w:abstractNumId="119">
    <w:nsid w:val="BAAC1B4"/>
    <w:multiLevelType w:val="hybridMultilevel"/>
    <w:lvl w:ilvl="0">
      <w:lvlJc w:val="left"/>
      <w:lvlText w:val="(%1)"/>
      <w:numFmt w:val="lowerLetter"/>
      <w:start w:val="1"/>
    </w:lvl>
  </w:abstractNum>
  <w:abstractNum w:abstractNumId="120">
    <w:nsid w:val="36B2ACBC"/>
    <w:multiLevelType w:val="hybridMultilevel"/>
    <w:lvl w:ilvl="0">
      <w:lvlJc w:val="left"/>
      <w:lvlText w:val="(%1)"/>
      <w:numFmt w:val="lowerLetter"/>
      <w:start w:val="1"/>
    </w:lvl>
  </w:abstractNum>
  <w:abstractNum w:abstractNumId="121">
    <w:nsid w:val="779D8544"/>
    <w:multiLevelType w:val="hybridMultilevel"/>
    <w:lvl w:ilvl="0">
      <w:lvlJc w:val="left"/>
      <w:lvlText w:val="(%1)"/>
      <w:numFmt w:val="lowerLetter"/>
      <w:start w:val="1"/>
    </w:lvl>
  </w:abstractNum>
  <w:abstractNum w:abstractNumId="122">
    <w:nsid w:val="4AB26E78"/>
    <w:multiLevelType w:val="hybridMultilevel"/>
    <w:lvl w:ilvl="0">
      <w:lvlJc w:val="left"/>
      <w:lvlText w:val="(%1)"/>
      <w:numFmt w:val="lowerLetter"/>
      <w:start w:val="4"/>
    </w:lvl>
  </w:abstractNum>
  <w:abstractNum w:abstractNumId="123">
    <w:nsid w:val="21FAA2FA"/>
    <w:multiLevelType w:val="hybridMultilevel"/>
    <w:lvl w:ilvl="0">
      <w:lvlJc w:val="left"/>
      <w:lvlText w:val="(%1)"/>
      <w:numFmt w:val="lowerLetter"/>
      <w:start w:val="1"/>
    </w:lvl>
  </w:abstractNum>
  <w:abstractNum w:abstractNumId="124">
    <w:nsid w:val="5451CF49"/>
    <w:multiLevelType w:val="hybridMultilevel"/>
    <w:lvl w:ilvl="0">
      <w:lvlJc w:val="left"/>
      <w:lvlText w:val="(%1)"/>
      <w:numFmt w:val="lowerLetter"/>
      <w:start w:val="3"/>
    </w:lvl>
  </w:abstractNum>
  <w:abstractNum w:abstractNumId="125">
    <w:nsid w:val="6181EF69"/>
    <w:multiLevelType w:val="hybridMultilevel"/>
    <w:lvl w:ilvl="0">
      <w:lvlJc w:val="left"/>
      <w:lvlText w:val="(%1)"/>
      <w:numFmt w:val="decimal"/>
      <w:start w:val="3"/>
    </w:lvl>
  </w:abstractNum>
  <w:abstractNum w:abstractNumId="126">
    <w:nsid w:val="3E6400E6"/>
    <w:multiLevelType w:val="hybridMultilevel"/>
    <w:lvl w:ilvl="0">
      <w:lvlJc w:val="left"/>
      <w:lvlText w:val="(%1)"/>
      <w:numFmt w:val="lowerLetter"/>
      <w:start w:val="1"/>
    </w:lvl>
  </w:abstractNum>
  <w:abstractNum w:abstractNumId="127">
    <w:nsid w:val="14217E23"/>
    <w:multiLevelType w:val="hybridMultilevel"/>
    <w:lvl w:ilvl="0">
      <w:lvlJc w:val="left"/>
      <w:lvlText w:val="(%1)"/>
      <w:numFmt w:val="lowerRoman"/>
      <w:start w:val="1"/>
    </w:lvl>
  </w:abstractNum>
  <w:abstractNum w:abstractNumId="128">
    <w:nsid w:val="710757D0"/>
    <w:multiLevelType w:val="hybridMultilevel"/>
    <w:lvl w:ilvl="0">
      <w:lvlJc w:val="left"/>
      <w:lvlText w:val="(%1)"/>
      <w:numFmt w:val="lowerLetter"/>
      <w:start w:val="2"/>
    </w:lvl>
  </w:abstractNum>
  <w:abstractNum w:abstractNumId="129">
    <w:nsid w:val="5015CD1A"/>
    <w:multiLevelType w:val="hybridMultilevel"/>
    <w:lvl w:ilvl="0">
      <w:lvlJc w:val="left"/>
      <w:lvlText w:val="(%1)"/>
      <w:numFmt w:val="lowerLetter"/>
      <w:start w:val="6"/>
    </w:lvl>
  </w:abstractNum>
  <w:abstractNum w:abstractNumId="130">
    <w:nsid w:val="424479DA"/>
    <w:multiLevelType w:val="hybridMultilevel"/>
    <w:lvl w:ilvl="0">
      <w:lvlJc w:val="left"/>
      <w:lvlText w:val="(%1)"/>
      <w:numFmt w:val="lowerLetter"/>
      <w:start w:val="1"/>
    </w:lvl>
  </w:abstractNum>
  <w:abstractNum w:abstractNumId="131">
    <w:nsid w:val="1A9A9E69"/>
    <w:multiLevelType w:val="hybridMultilevel"/>
    <w:lvl w:ilvl="0">
      <w:lvlJc w:val="left"/>
      <w:lvlText w:val="(%1)"/>
      <w:numFmt w:val="lowerLetter"/>
      <w:start w:val="1"/>
    </w:lvl>
    <w:lvl w:ilvl="1">
      <w:lvlJc w:val="left"/>
      <w:lvlText w:val="(%2)"/>
      <w:numFmt w:val="lowerLetter"/>
      <w:start w:val="9"/>
    </w:lvl>
  </w:abstractNum>
  <w:abstractNum w:abstractNumId="132">
    <w:nsid w:val="475E256A"/>
    <w:multiLevelType w:val="hybridMultilevel"/>
    <w:lvl w:ilvl="0">
      <w:lvlJc w:val="left"/>
      <w:lvlText w:val="%1"/>
      <w:numFmt w:val="lowerLetter"/>
      <w:start w:val="1"/>
    </w:lvl>
    <w:lvl w:ilvl="1">
      <w:lvlJc w:val="left"/>
      <w:lvlText w:val="(%2)"/>
      <w:numFmt w:val="lowerLetter"/>
      <w:start w:val="35"/>
    </w:lvl>
  </w:abstractNum>
  <w:abstractNum w:abstractNumId="133">
    <w:nsid w:val="368DB37E"/>
    <w:multiLevelType w:val="hybridMultilevel"/>
    <w:lvl w:ilvl="0">
      <w:lvlJc w:val="left"/>
      <w:lvlText w:val="(%1)"/>
      <w:numFmt w:val="lowerLetter"/>
      <w:start w:val="2"/>
    </w:lvl>
    <w:lvl w:ilvl="1">
      <w:lvlJc w:val="left"/>
      <w:lvlText w:val="%2"/>
      <w:numFmt w:val="lowerLetter"/>
      <w:start w:val="1"/>
    </w:lvl>
  </w:abstractNum>
  <w:abstractNum w:abstractNumId="134">
    <w:nsid w:val="6A3B714C"/>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35">
    <w:nsid w:val="327B517E"/>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4"/>
    </w:lvl>
  </w:abstractNum>
  <w:abstractNum w:abstractNumId="136">
    <w:nsid w:val="1F461B51"/>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137">
    <w:nsid w:val="29BACF25"/>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138">
    <w:nsid w:val="5D5BABB3"/>
    <w:multiLevelType w:val="hybridMultilevel"/>
    <w:lvl w:ilvl="0">
      <w:lvlJc w:val="left"/>
      <w:lvlText w:val="(%1)"/>
      <w:numFmt w:val="lowerLetter"/>
      <w:start w:val="6"/>
    </w:lvl>
  </w:abstractNum>
  <w:abstractNum w:abstractNumId="139">
    <w:nsid w:val="51BF6B48"/>
    <w:multiLevelType w:val="hybridMultilevel"/>
    <w:lvl w:ilvl="0">
      <w:lvlJc w:val="left"/>
      <w:lvlText w:val="(%1)"/>
      <w:numFmt w:val="lowerLetter"/>
      <w:start w:val="1"/>
    </w:lvl>
  </w:abstractNum>
  <w:abstractNum w:abstractNumId="140">
    <w:nsid w:val="7E0F6384"/>
    <w:multiLevelType w:val="hybridMultilevel"/>
    <w:lvl w:ilvl="0">
      <w:lvlJc w:val="left"/>
      <w:lvlText w:val="(%1)"/>
      <w:numFmt w:val="lowerLetter"/>
      <w:start w:val="1"/>
    </w:lvl>
  </w:abstractNum>
  <w:abstractNum w:abstractNumId="141">
    <w:nsid w:val="2B4B8B53"/>
    <w:multiLevelType w:val="hybridMultilevel"/>
    <w:lvl w:ilvl="0">
      <w:lvlJc w:val="left"/>
      <w:lvlText w:val="(%1)"/>
      <w:numFmt w:val="lowerLetter"/>
      <w:start w:val="3"/>
    </w:lvl>
  </w:abstractNum>
  <w:abstractNum w:abstractNumId="142">
    <w:nsid w:val="72E3413A"/>
    <w:multiLevelType w:val="hybridMultilevel"/>
    <w:lvl w:ilvl="0">
      <w:lvlJc w:val="left"/>
      <w:lvlText w:val="(%1)"/>
      <w:numFmt w:val="lowerLetter"/>
      <w:start w:val="1"/>
    </w:lvl>
  </w:abstractNum>
  <w:abstractNum w:abstractNumId="143">
    <w:nsid w:val="116AE494"/>
    <w:multiLevelType w:val="hybridMultilevel"/>
    <w:lvl w:ilvl="0">
      <w:lvlJc w:val="left"/>
      <w:lvlText w:val="(%1)"/>
      <w:numFmt w:val="lowerLetter"/>
      <w:start w:val="1"/>
    </w:lvl>
  </w:abstractNum>
  <w:abstractNum w:abstractNumId="144">
    <w:nsid w:val="3494B2FB"/>
    <w:multiLevelType w:val="hybridMultilevel"/>
    <w:lvl w:ilvl="0">
      <w:lvlJc w:val="left"/>
      <w:lvlText w:val="(%1)"/>
      <w:numFmt w:val="lowerLetter"/>
      <w:start w:val="1"/>
    </w:lvl>
  </w:abstractNum>
  <w:abstractNum w:abstractNumId="145">
    <w:nsid w:val="B13A31"/>
    <w:multiLevelType w:val="hybridMultilevel"/>
    <w:lvl w:ilvl="0">
      <w:lvlJc w:val="left"/>
      <w:lvlText w:val="(%1)"/>
      <w:numFmt w:val="lowerRoman"/>
      <w:start w:val="2"/>
    </w:lvl>
  </w:abstractNum>
  <w:abstractNum w:abstractNumId="146">
    <w:nsid w:val="64429599"/>
    <w:multiLevelType w:val="hybridMultilevel"/>
    <w:lvl w:ilvl="0">
      <w:lvlJc w:val="left"/>
      <w:lvlText w:val="(%1)"/>
      <w:numFmt w:val="lowerLetter"/>
      <w:start w:val="1"/>
    </w:lvl>
  </w:abstractNum>
  <w:abstractNum w:abstractNumId="147">
    <w:nsid w:val="631F1690"/>
    <w:multiLevelType w:val="hybridMultilevel"/>
    <w:lvl w:ilvl="0">
      <w:lvlJc w:val="left"/>
      <w:lvlText w:val="(%1)"/>
      <w:numFmt w:val="lowerLetter"/>
      <w:start w:val="1"/>
    </w:lvl>
  </w:abstractNum>
  <w:abstractNum w:abstractNumId="148">
    <w:nsid w:val="25973E32"/>
    <w:multiLevelType w:val="hybridMultilevel"/>
    <w:lvl w:ilvl="0">
      <w:lvlJc w:val="left"/>
      <w:lvlText w:val="(%1)"/>
      <w:numFmt w:val="lowerLetter"/>
      <w:start w:val="1"/>
    </w:lvl>
  </w:abstractNum>
  <w:abstractNum w:abstractNumId="149">
    <w:nsid w:val="EAD6F57"/>
    <w:multiLevelType w:val="hybridMultilevel"/>
    <w:lvl w:ilvl="0">
      <w:lvlJc w:val="left"/>
      <w:lvlText w:val="(%1)"/>
      <w:numFmt w:val="lowerLetter"/>
      <w:start w:val="2"/>
    </w:lvl>
  </w:abstractNum>
  <w:abstractNum w:abstractNumId="150">
    <w:nsid w:val="6EC9D844"/>
    <w:multiLevelType w:val="hybridMultilevel"/>
    <w:lvl w:ilvl="0">
      <w:lvlJc w:val="left"/>
      <w:lvlText w:val="(%1)"/>
      <w:numFmt w:val="lowerLetter"/>
      <w:start w:val="1"/>
    </w:lvl>
  </w:abstractNum>
  <w:abstractNum w:abstractNumId="151">
    <w:nsid w:val="5C49EAEE"/>
    <w:multiLevelType w:val="hybridMultilevel"/>
    <w:lvl w:ilvl="0">
      <w:lvlJc w:val="left"/>
      <w:lvlText w:val="(%1)"/>
      <w:numFmt w:val="lowerLetter"/>
      <w:start w:val="1"/>
    </w:lvl>
  </w:abstractNum>
  <w:abstractNum w:abstractNumId="152">
    <w:nsid w:val="64AF49B"/>
    <w:multiLevelType w:val="hybridMultilevel"/>
    <w:lvl w:ilvl="0">
      <w:lvlJc w:val="left"/>
      <w:lvlText w:val="(%1)"/>
      <w:numFmt w:val="lowerLetter"/>
      <w:start w:val="4"/>
    </w:lvl>
    <w:lvl w:ilvl="1">
      <w:lvlJc w:val="left"/>
      <w:lvlText w:val="(%2)"/>
      <w:numFmt w:val="lowerRoman"/>
      <w:start w:val="1"/>
    </w:lvl>
  </w:abstractNum>
  <w:abstractNum w:abstractNumId="153">
    <w:nsid w:val="397C46BC"/>
    <w:multiLevelType w:val="hybridMultilevel"/>
    <w:lvl w:ilvl="0">
      <w:lvlJc w:val="left"/>
      <w:lvlText w:val="(%1)"/>
      <w:numFmt w:val="lowerLetter"/>
      <w:start w:val="7"/>
    </w:lvl>
  </w:abstractNum>
  <w:abstractNum w:abstractNumId="154">
    <w:nsid w:val="7E448DE9"/>
    <w:multiLevelType w:val="hybridMultilevel"/>
    <w:lvl w:ilvl="0">
      <w:lvlJc w:val="left"/>
      <w:lvlText w:val="(%1)"/>
      <w:numFmt w:val="upperLetter"/>
      <w:start w:val="2"/>
    </w:lvl>
  </w:abstractNum>
  <w:abstractNum w:abstractNumId="155">
    <w:nsid w:val="5A9CC3E5"/>
    <w:multiLevelType w:val="hybridMultilevel"/>
    <w:lvl w:ilvl="0">
      <w:lvlJc w:val="left"/>
      <w:lvlText w:val="(%1)"/>
      <w:numFmt w:val="lowerLetter"/>
      <w:start w:val="1"/>
    </w:lvl>
  </w:abstractNum>
  <w:abstractNum w:abstractNumId="156">
    <w:nsid w:val="1AFE3625"/>
    <w:multiLevelType w:val="hybridMultilevel"/>
    <w:lvl w:ilvl="0">
      <w:lvlJc w:val="left"/>
      <w:lvlText w:val="(%1)"/>
      <w:numFmt w:val="lowerLetter"/>
      <w:start w:val="3"/>
    </w:lvl>
  </w:abstractNum>
  <w:abstractNum w:abstractNumId="157">
    <w:nsid w:val="3CA88ECF"/>
    <w:multiLevelType w:val="hybridMultilevel"/>
    <w:lvl w:ilvl="0">
      <w:lvlJc w:val="left"/>
      <w:lvlText w:val="%1"/>
      <w:numFmt w:val="lowerLetter"/>
      <w:start w:val="1"/>
    </w:lvl>
    <w:lvl w:ilvl="1">
      <w:lvlJc w:val="left"/>
      <w:lvlText w:val="(%2)"/>
      <w:numFmt w:val="lowerLetter"/>
      <w:start w:val="1"/>
    </w:lvl>
  </w:abstractNum>
  <w:abstractNum w:abstractNumId="158">
    <w:nsid w:val="6EBE4208"/>
    <w:multiLevelType w:val="hybridMultilevel"/>
    <w:lvl w:ilvl="0">
      <w:lvlJc w:val="left"/>
      <w:lvlText w:val="(%1)"/>
      <w:numFmt w:val="lowerLetter"/>
      <w:start w:val="35"/>
    </w:lvl>
    <w:lvl w:ilvl="1">
      <w:lvlJc w:val="left"/>
      <w:lvlText w:val="%2"/>
      <w:numFmt w:val="lowerLetter"/>
      <w:start w:val="1"/>
    </w:lvl>
  </w:abstractNum>
  <w:abstractNum w:abstractNumId="159">
    <w:nsid w:val="C058DF5"/>
    <w:multiLevelType w:val="hybridMultilevel"/>
    <w:lvl w:ilvl="0">
      <w:lvlJc w:val="left"/>
      <w:lvlText w:val="(%1)"/>
      <w:numFmt w:val="lowerLetter"/>
      <w:start w:val="27"/>
    </w:lvl>
    <w:lvl w:ilvl="1">
      <w:lvlJc w:val="left"/>
      <w:lvlText w:val="%2"/>
      <w:numFmt w:val="lowerLetter"/>
      <w:start w:val="1"/>
    </w:lvl>
  </w:abstractNum>
  <w:abstractNum w:abstractNumId="160">
    <w:nsid w:val="CBE5BE9"/>
    <w:multiLevelType w:val="hybridMultilevel"/>
    <w:lvl w:ilvl="0">
      <w:lvlJc w:val="left"/>
      <w:lvlText w:val="(%1)"/>
      <w:numFmt w:val="lowerLetter"/>
      <w:start w:val="4"/>
    </w:lvl>
  </w:abstractNum>
  <w:abstractNum w:abstractNumId="161">
    <w:nsid w:val="3102BBE2"/>
    <w:multiLevelType w:val="hybridMultilevel"/>
    <w:lvl w:ilvl="0">
      <w:lvlJc w:val="left"/>
      <w:lvlText w:val="(%1)"/>
      <w:numFmt w:val="lowerLetter"/>
      <w:start w:val="1"/>
    </w:lvl>
  </w:abstractNum>
  <w:abstractNum w:abstractNumId="162">
    <w:nsid w:val="26A02C5E"/>
    <w:multiLevelType w:val="hybridMultilevel"/>
    <w:lvl w:ilvl="0">
      <w:lvlJc w:val="left"/>
      <w:lvlText w:val="(%1)"/>
      <w:numFmt w:val="lowerLetter"/>
      <w:start w:val="4"/>
    </w:lvl>
  </w:abstractNum>
  <w:abstractNum w:abstractNumId="163">
    <w:nsid w:val="541C8153"/>
    <w:multiLevelType w:val="hybridMultilevel"/>
    <w:lvl w:ilvl="0">
      <w:lvlJc w:val="left"/>
      <w:lvlText w:val="(%1)"/>
      <w:numFmt w:val="lowerLetter"/>
      <w:start w:val="9"/>
    </w:lvl>
  </w:abstractNum>
  <w:abstractNum w:abstractNumId="164">
    <w:nsid w:val="67906F60"/>
    <w:multiLevelType w:val="hybridMultilevel"/>
    <w:lvl w:ilvl="0">
      <w:lvlJc w:val="left"/>
      <w:lvlText w:val="%1"/>
      <w:numFmt w:val="decimal"/>
      <w:start w:val="1"/>
    </w:lvl>
    <w:lvl w:ilvl="1">
      <w:lvlJc w:val="left"/>
      <w:lvlText w:val="(%2)"/>
      <w:numFmt w:val="lowerLetter"/>
      <w:start w:val="13"/>
    </w:lvl>
  </w:abstractNum>
  <w:abstractNum w:abstractNumId="165">
    <w:nsid w:val="10DB9DAA"/>
    <w:multiLevelType w:val="hybridMultilevel"/>
    <w:lvl w:ilvl="0">
      <w:lvlJc w:val="left"/>
      <w:lvlText w:val="(%1)"/>
      <w:numFmt w:val="decimal"/>
      <w:start w:val="3"/>
    </w:lvl>
    <w:lvl w:ilvl="1">
      <w:lvlJc w:val="left"/>
      <w:lvlText w:val="(%2)"/>
      <w:numFmt w:val="lowerLetter"/>
      <w:start w:val="14"/>
    </w:lvl>
  </w:abstractNum>
  <w:abstractNum w:abstractNumId="166">
    <w:nsid w:val="697D2D2"/>
    <w:multiLevelType w:val="hybridMultilevel"/>
    <w:lvl w:ilvl="0">
      <w:lvlJc w:val="left"/>
      <w:lvlText w:val="(%1)"/>
      <w:numFmt w:val="lowerLetter"/>
      <w:start w:val="18"/>
    </w:lvl>
  </w:abstractNum>
  <w:abstractNum w:abstractNumId="167">
    <w:nsid w:val="6D68AB2"/>
    <w:multiLevelType w:val="hybridMultilevel"/>
    <w:lvl w:ilvl="0">
      <w:lvlJc w:val="left"/>
      <w:lvlText w:val="(%1)"/>
      <w:numFmt w:val="lowerLetter"/>
      <w:start w:val="1"/>
    </w:lvl>
    <w:lvl w:ilvl="1">
      <w:lvlJc w:val="left"/>
      <w:lvlText w:val="(%2)"/>
      <w:numFmt w:val="lowerRoman"/>
      <w:start w:val="1"/>
    </w:lvl>
  </w:abstractNum>
  <w:abstractNum w:abstractNumId="168">
    <w:nsid w:val="3A966CD0"/>
    <w:multiLevelType w:val="hybridMultilevel"/>
    <w:lvl w:ilvl="0">
      <w:lvlJc w:val="left"/>
      <w:lvlText w:val="%1"/>
      <w:numFmt w:val="upperLetter"/>
      <w:start w:val="1"/>
    </w:lvl>
    <w:lvl w:ilvl="1">
      <w:lvlJc w:val="left"/>
      <w:lvlText w:val="(%2)"/>
      <w:numFmt w:val="lowerRoman"/>
      <w:start w:val="3"/>
    </w:lvl>
  </w:abstractNum>
  <w:abstractNum w:abstractNumId="169">
    <w:nsid w:val="63F37E85"/>
    <w:multiLevelType w:val="hybridMultilevel"/>
    <w:lvl w:ilvl="0">
      <w:lvlJc w:val="left"/>
      <w:lvlText w:val="(%1)"/>
      <w:numFmt w:val="upperLetter"/>
      <w:start w:val="2"/>
    </w:lvl>
    <w:lvl w:ilvl="1">
      <w:lvlJc w:val="left"/>
      <w:lvlText w:val="%2"/>
      <w:numFmt w:val="lowerRoman"/>
      <w:start w:val="1"/>
    </w:lvl>
  </w:abstractNum>
  <w:abstractNum w:abstractNumId="170">
    <w:nsid w:val="5895F5FA"/>
    <w:multiLevelType w:val="hybridMultilevel"/>
    <w:lvl w:ilvl="0">
      <w:lvlJc w:val="left"/>
      <w:lvlText w:val="(%1)"/>
      <w:numFmt w:val="lowerLetter"/>
      <w:start w:val="2"/>
    </w:lvl>
  </w:abstractNum>
  <w:abstractNum w:abstractNumId="171">
    <w:nsid w:val="38A5D054"/>
    <w:multiLevelType w:val="hybridMultilevel"/>
    <w:lvl w:ilvl="0">
      <w:lvlJc w:val="left"/>
      <w:lvlText w:val="(%1)"/>
      <w:numFmt w:val="lowerLetter"/>
      <w:start w:val="1"/>
    </w:lvl>
  </w:abstractNum>
  <w:abstractNum w:abstractNumId="172">
    <w:nsid w:val="F3F09D8"/>
    <w:multiLevelType w:val="hybridMultilevel"/>
    <w:lvl w:ilvl="0">
      <w:lvlJc w:val="left"/>
      <w:lvlText w:val="(%1)"/>
      <w:numFmt w:val="lowerLetter"/>
      <w:start w:val="2"/>
    </w:lvl>
  </w:abstractNum>
  <w:abstractNum w:abstractNumId="173">
    <w:nsid w:val="4B793735"/>
    <w:multiLevelType w:val="hybridMultilevel"/>
    <w:lvl w:ilvl="0">
      <w:lvlJc w:val="left"/>
      <w:lvlText w:val="(%1)"/>
      <w:numFmt w:val="lowerLetter"/>
      <w:start w:val="1"/>
    </w:lvl>
  </w:abstractNum>
  <w:abstractNum w:abstractNumId="174">
    <w:nsid w:val="4A10B4E8"/>
    <w:multiLevelType w:val="hybridMultilevel"/>
    <w:lvl w:ilvl="0">
      <w:lvlJc w:val="left"/>
      <w:lvlText w:val="(%1)"/>
      <w:numFmt w:val="lowerLetter"/>
      <w:start w:val="2"/>
    </w:lvl>
    <w:lvl w:ilvl="1">
      <w:lvlJc w:val="left"/>
      <w:lvlText w:val="(%2)"/>
      <w:numFmt w:val="lowerRoman"/>
      <w:start w:val="1"/>
    </w:lvl>
  </w:abstractNum>
  <w:abstractNum w:abstractNumId="175">
    <w:nsid w:val="43D3BCD4"/>
    <w:multiLevelType w:val="hybridMultilevel"/>
    <w:lvl w:ilvl="0">
      <w:lvlJc w:val="left"/>
      <w:lvlText w:val="(%1)"/>
      <w:numFmt w:val="lowerRoman"/>
      <w:start w:val="1"/>
    </w:lvl>
  </w:abstractNum>
  <w:abstractNum w:abstractNumId="176">
    <w:nsid w:val="4C2A7166"/>
    <w:multiLevelType w:val="hybridMultilevel"/>
    <w:lvl w:ilvl="0">
      <w:lvlJc w:val="left"/>
      <w:lvlText w:val="(%1)"/>
      <w:numFmt w:val="lowerLetter"/>
      <w:start w:val="3"/>
    </w:lvl>
  </w:abstractNum>
  <w:abstractNum w:abstractNumId="177">
    <w:nsid w:val="2E534A8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78">
    <w:nsid w:val="26F2D364"/>
    <w:multiLevelType w:val="hybridMultilevel"/>
    <w:lvl w:ilvl="0">
      <w:lvlJc w:val="left"/>
      <w:lvlText w:val="(%1)"/>
      <w:numFmt w:val="lowerRoman"/>
      <w:start w:val="1"/>
    </w:lvl>
  </w:abstractNum>
  <w:abstractNum w:abstractNumId="179">
    <w:nsid w:val="71C1AF98"/>
    <w:multiLevelType w:val="hybridMultilevel"/>
    <w:lvl w:ilvl="0">
      <w:lvlJc w:val="left"/>
      <w:lvlText w:val="(%1)"/>
      <w:numFmt w:val="lowerRoman"/>
      <w:start w:val="3"/>
    </w:lvl>
    <w:lvl w:ilvl="1">
      <w:lvlJc w:val="left"/>
      <w:lvlText w:val="(%2)"/>
      <w:numFmt w:val="upperLetter"/>
      <w:start w:val="1"/>
    </w:lvl>
  </w:abstractNum>
  <w:abstractNum w:abstractNumId="180">
    <w:nsid w:val="3D00B9D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5"/>
    </w:lvl>
  </w:abstractNum>
  <w:abstractNum w:abstractNumId="181">
    <w:nsid w:val="15BCABA8"/>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82">
    <w:nsid w:val="4E0B9A87"/>
    <w:multiLevelType w:val="hybridMultilevel"/>
    <w:lvl w:ilvl="0">
      <w:lvlJc w:val="left"/>
      <w:lvlText w:val="(%1)"/>
      <w:numFmt w:val="decimal"/>
      <w:start w:val="4"/>
    </w:lvl>
  </w:abstractNum>
  <w:abstractNum w:abstractNumId="183">
    <w:nsid w:val="434BAE75"/>
    <w:multiLevelType w:val="hybridMultilevel"/>
    <w:lvl w:ilvl="0">
      <w:lvlJc w:val="left"/>
      <w:lvlText w:val="(%1)"/>
      <w:numFmt w:val="decimal"/>
      <w:start w:val="7"/>
    </w:lvl>
  </w:abstractNum>
  <w:abstractNum w:abstractNumId="184">
    <w:nsid w:val="4F38F265"/>
    <w:multiLevelType w:val="hybridMultilevel"/>
    <w:lvl w:ilvl="0">
      <w:lvlJc w:val="left"/>
      <w:lvlText w:val="(%1)"/>
      <w:numFmt w:val="decimal"/>
      <w:start w:val="15"/>
    </w:lvl>
  </w:abstractNum>
  <w:abstractNum w:abstractNumId="185">
    <w:nsid w:val="4C502870"/>
    <w:multiLevelType w:val="hybridMultilevel"/>
    <w:lvl w:ilvl="0">
      <w:lvlJc w:val="left"/>
      <w:lvlText w:val="(%1)"/>
      <w:numFmt w:val="lowerLetter"/>
      <w:start w:val="1"/>
    </w:lvl>
  </w:abstractNum>
  <w:abstractNum w:abstractNumId="186">
    <w:nsid w:val="1DE8725A"/>
    <w:multiLevelType w:val="hybridMultilevel"/>
    <w:lvl w:ilvl="0">
      <w:lvlJc w:val="left"/>
      <w:lvlText w:val="(%1)"/>
      <w:numFmt w:val="lowerRoman"/>
      <w:start w:val="1"/>
    </w:lvl>
  </w:abstractNum>
  <w:abstractNum w:abstractNumId="187">
    <w:nsid w:val="6A37288A"/>
    <w:multiLevelType w:val="hybridMultilevel"/>
    <w:lvl w:ilvl="0">
      <w:lvlJc w:val="left"/>
      <w:lvlText w:val="(%1)"/>
      <w:numFmt w:val="lowerRoman"/>
      <w:start w:val="5"/>
    </w:lvl>
  </w:abstractNum>
  <w:abstractNum w:abstractNumId="188">
    <w:nsid w:val="8F8B73F"/>
    <w:multiLevelType w:val="hybridMultilevel"/>
    <w:lvl w:ilvl="0">
      <w:lvlJc w:val="left"/>
      <w:lvlText w:val="(%1)"/>
      <w:numFmt w:val="lowerRoman"/>
      <w:start w:val="1"/>
    </w:lvl>
  </w:abstractNum>
  <w:abstractNum w:abstractNumId="189">
    <w:nsid w:val="CA6B462"/>
    <w:multiLevelType w:val="hybridMultilevel"/>
    <w:lvl w:ilvl="0">
      <w:lvlJc w:val="left"/>
      <w:lvlText w:val="(%1)"/>
      <w:numFmt w:val="lowerRoman"/>
      <w:start w:val="2"/>
    </w:lvl>
  </w:abstractNum>
  <w:abstractNum w:abstractNumId="190">
    <w:nsid w:val="763CB680"/>
    <w:multiLevelType w:val="hybridMultilevel"/>
    <w:lvl w:ilvl="0">
      <w:lvlJc w:val="left"/>
      <w:lvlText w:val="(%1)"/>
      <w:numFmt w:val="lowerLetter"/>
      <w:start w:val="1"/>
    </w:lvl>
  </w:abstractNum>
  <w:abstractNum w:abstractNumId="191">
    <w:nsid w:val="15B71329"/>
    <w:multiLevelType w:val="hybridMultilevel"/>
    <w:lvl w:ilvl="0">
      <w:lvlJc w:val="left"/>
      <w:lvlText w:val="(%1)"/>
      <w:numFmt w:val="lowerLetter"/>
      <w:start w:val="2"/>
    </w:lvl>
  </w:abstractNum>
  <w:abstractNum w:abstractNumId="192">
    <w:nsid w:val="3DA97044"/>
    <w:multiLevelType w:val="hybridMultilevel"/>
    <w:lvl w:ilvl="0">
      <w:lvlJc w:val="left"/>
      <w:lvlText w:val="(%1)"/>
      <w:numFmt w:val="lowerRoman"/>
      <w:start w:val="1"/>
    </w:lvl>
  </w:abstractNum>
  <w:abstractNum w:abstractNumId="193">
    <w:nsid w:val="1CDCE2DE"/>
    <w:multiLevelType w:val="hybridMultilevel"/>
    <w:lvl w:ilvl="0">
      <w:lvlJc w:val="left"/>
      <w:lvlText w:val="(%1)"/>
      <w:numFmt w:val="lowerLetter"/>
      <w:start w:val="1"/>
    </w:lvl>
  </w:abstractNum>
  <w:abstractNum w:abstractNumId="194">
    <w:nsid w:val="69D3947C"/>
    <w:multiLevelType w:val="hybridMultilevel"/>
    <w:lvl w:ilvl="0">
      <w:lvlJc w:val="left"/>
      <w:lvlText w:val="(%1)"/>
      <w:numFmt w:val="lowerLetter"/>
      <w:start w:val="1"/>
    </w:lvl>
  </w:abstractNum>
  <w:abstractNum w:abstractNumId="195">
    <w:nsid w:val="2539DFA5"/>
    <w:multiLevelType w:val="hybridMultilevel"/>
    <w:lvl w:ilvl="0">
      <w:lvlJc w:val="left"/>
      <w:lvlText w:val="(%1)"/>
      <w:numFmt w:val="lowerLetter"/>
      <w:start w:val="1"/>
    </w:lvl>
  </w:abstractNum>
  <w:abstractNum w:abstractNumId="196">
    <w:nsid w:val="2DB88089"/>
    <w:multiLevelType w:val="hybridMultilevel"/>
    <w:lvl w:ilvl="0">
      <w:lvlJc w:val="left"/>
      <w:lvlText w:val="%1"/>
      <w:numFmt w:val="lowerLetter"/>
      <w:start w:val="1"/>
    </w:lvl>
    <w:lvl w:ilvl="1">
      <w:lvlJc w:val="left"/>
      <w:lvlText w:val="(%2)"/>
      <w:numFmt w:val="lowerLetter"/>
      <w:start w:val="4"/>
    </w:lvl>
  </w:abstractNum>
  <w:abstractNum w:abstractNumId="197">
    <w:nsid w:val="706B674E"/>
    <w:multiLevelType w:val="hybridMultilevel"/>
    <w:lvl w:ilvl="0">
      <w:lvlJc w:val="left"/>
      <w:lvlText w:val="(%1)"/>
      <w:numFmt w:val="lowerLetter"/>
      <w:start w:val="2"/>
    </w:lvl>
    <w:lvl w:ilvl="1">
      <w:lvlJc w:val="left"/>
      <w:lvlText w:val="%2"/>
      <w:numFmt w:val="lowerLetter"/>
      <w:start w:val="1"/>
    </w:lvl>
  </w:abstractNum>
  <w:abstractNum w:abstractNumId="198">
    <w:nsid w:val="2C106A57"/>
    <w:multiLevelType w:val="hybridMultilevel"/>
    <w:lvl w:ilvl="0">
      <w:lvlJc w:val="left"/>
      <w:lvlText w:val="(%1)"/>
      <w:numFmt w:val="lowerLetter"/>
      <w:start w:val="1"/>
    </w:lvl>
    <w:lvl w:ilvl="1">
      <w:lvlJc w:val="left"/>
      <w:lvlText w:val="(%2)"/>
      <w:numFmt w:val="lowerLetter"/>
      <w:start w:val="9"/>
    </w:lvl>
  </w:abstractNum>
  <w:abstractNum w:abstractNumId="199">
    <w:nsid w:val="684EED59"/>
    <w:multiLevelType w:val="hybridMultilevel"/>
    <w:lvl w:ilvl="0">
      <w:lvlJc w:val="left"/>
      <w:lvlText w:val="%1"/>
      <w:numFmt w:val="lowerLetter"/>
      <w:start w:val="1"/>
    </w:lvl>
    <w:lvl w:ilvl="1">
      <w:lvlJc w:val="left"/>
      <w:lvlText w:val="(%2)"/>
      <w:numFmt w:val="lowerRoman"/>
      <w:start w:val="2"/>
    </w:lvl>
  </w:abstractNum>
  <w:abstractNum w:abstractNumId="200">
    <w:nsid w:val="545EE5D3"/>
    <w:multiLevelType w:val="hybridMultilevel"/>
    <w:lvl w:ilvl="0">
      <w:lvlJc w:val="left"/>
      <w:lvlText w:val="(%1)"/>
      <w:numFmt w:val="lowerLetter"/>
      <w:start w:val="7"/>
    </w:lvl>
    <w:lvl w:ilvl="1">
      <w:lvlJc w:val="left"/>
      <w:lvlText w:val="(%2)"/>
      <w:numFmt w:val="lowerRoman"/>
      <w:start w:val="4"/>
    </w:lvl>
  </w:abstractNum>
  <w:abstractNum w:abstractNumId="201">
    <w:nsid w:val="4A66051"/>
    <w:multiLevelType w:val="hybridMultilevel"/>
    <w:lvl w:ilvl="0">
      <w:lvlJc w:val="left"/>
      <w:lvlText w:val="(%1)"/>
      <w:numFmt w:val="lowerLetter"/>
      <w:start w:val="2"/>
    </w:lvl>
  </w:abstractNum>
  <w:abstractNum w:abstractNumId="202">
    <w:nsid w:val="20F4BDAD"/>
    <w:multiLevelType w:val="hybridMultilevel"/>
    <w:lvl w:ilvl="0">
      <w:lvlJc w:val="left"/>
      <w:lvlText w:val="(%1)"/>
      <w:numFmt w:val="lowerLetter"/>
      <w:start w:val="1"/>
    </w:lvl>
  </w:abstractNum>
  <w:abstractNum w:abstractNumId="203">
    <w:nsid w:val="639DEFAC"/>
    <w:multiLevelType w:val="hybridMultilevel"/>
    <w:lvl w:ilvl="0">
      <w:lvlJc w:val="left"/>
      <w:lvlText w:val="(%1)"/>
      <w:numFmt w:val="lowerRoman"/>
      <w:start w:val="2"/>
    </w:lvl>
  </w:abstractNum>
  <w:abstractNum w:abstractNumId="204">
    <w:nsid w:val="501F9786"/>
    <w:multiLevelType w:val="hybridMultilevel"/>
    <w:lvl w:ilvl="0">
      <w:lvlJc w:val="left"/>
      <w:lvlText w:val="(%1)"/>
      <w:numFmt w:val="lowerLetter"/>
      <w:start w:val="1"/>
    </w:lvl>
  </w:abstractNum>
  <w:abstractNum w:abstractNumId="205">
    <w:nsid w:val="6B057295"/>
    <w:multiLevelType w:val="hybridMultilevel"/>
    <w:lvl w:ilvl="0">
      <w:lvlJc w:val="left"/>
      <w:lvlText w:val="(%1)"/>
      <w:numFmt w:val="lowerLetter"/>
      <w:start w:val="2"/>
    </w:lvl>
  </w:abstractNum>
  <w:abstractNum w:abstractNumId="206">
    <w:nsid w:val="2771AC80"/>
    <w:multiLevelType w:val="hybridMultilevel"/>
    <w:lvl w:ilvl="0">
      <w:lvlJc w:val="left"/>
      <w:lvlText w:val="(%1)"/>
      <w:numFmt w:val="lowerLetter"/>
      <w:start w:val="1"/>
    </w:lvl>
    <w:lvl w:ilvl="1">
      <w:lvlJc w:val="left"/>
      <w:lvlText w:val="(%2)"/>
      <w:numFmt w:val="upperLetter"/>
      <w:start w:val="1"/>
    </w:lvl>
  </w:abstractNum>
  <w:abstractNum w:abstractNumId="207">
    <w:nsid w:val="1C4A08EC"/>
    <w:multiLevelType w:val="hybridMultilevel"/>
    <w:lvl w:ilvl="0">
      <w:lvlJc w:val="left"/>
      <w:lvlText w:val="(%1)"/>
      <w:numFmt w:val="lowerRoman"/>
      <w:start w:val="2"/>
    </w:lvl>
    <w:lvl w:ilvl="1">
      <w:lvlJc w:val="left"/>
      <w:lvlText w:val="(%2)"/>
      <w:numFmt w:val="upperLetter"/>
      <w:start w:val="1"/>
    </w:lvl>
  </w:abstractNum>
  <w:abstractNum w:abstractNumId="208">
    <w:nsid w:val="1958BD17"/>
    <w:multiLevelType w:val="hybridMultilevel"/>
    <w:lvl w:ilvl="0">
      <w:lvlJc w:val="left"/>
      <w:lvlText w:val="%1"/>
      <w:numFmt w:val="lowerLetter"/>
      <w:start w:val="1"/>
    </w:lvl>
    <w:lvl w:ilvl="1">
      <w:lvlJc w:val="left"/>
      <w:lvlText w:val="(%2)"/>
      <w:numFmt w:val="lowerRoman"/>
      <w:start w:val="4"/>
    </w:lvl>
  </w:abstractNum>
  <w:abstractNum w:abstractNumId="209">
    <w:nsid w:val="4E647FE4"/>
    <w:multiLevelType w:val="hybridMultilevel"/>
    <w:lvl w:ilvl="0">
      <w:lvlJc w:val="left"/>
      <w:lvlText w:val="(%1)"/>
      <w:numFmt w:val="lowerLetter"/>
      <w:start w:val="3"/>
    </w:lvl>
    <w:lvl w:ilvl="1">
      <w:lvlJc w:val="left"/>
      <w:lvlText w:val="%2"/>
      <w:numFmt w:val="lowerRoman"/>
      <w:start w:val="1"/>
    </w:lvl>
  </w:abstractNum>
  <w:abstractNum w:abstractNumId="210">
    <w:nsid w:val="E0BB885"/>
    <w:multiLevelType w:val="hybridMultilevel"/>
    <w:lvl w:ilvl="0">
      <w:lvlJc w:val="left"/>
      <w:lvlText w:val="%1"/>
      <w:numFmt w:val="lowerLetter"/>
      <w:start w:val="1"/>
    </w:lvl>
    <w:lvl w:ilvl="1">
      <w:lvlJc w:val="left"/>
      <w:lvlText w:val="(%2)"/>
      <w:numFmt w:val="lowerLetter"/>
      <w:start w:val="35"/>
    </w:lvl>
  </w:abstractNum>
  <w:abstractNum w:abstractNumId="211">
    <w:nsid w:val="565976F1"/>
    <w:multiLevelType w:val="hybridMultilevel"/>
    <w:lvl w:ilvl="0">
      <w:lvlJc w:val="left"/>
      <w:lvlText w:val="(%1)"/>
      <w:numFmt w:val="lowerLetter"/>
      <w:start w:val="4"/>
    </w:lvl>
    <w:lvl w:ilvl="1">
      <w:lvlJc w:val="left"/>
      <w:lvlText w:val="%2"/>
      <w:numFmt w:val="lowerLetter"/>
      <w:start w:val="1"/>
    </w:lvl>
  </w:abstractNum>
  <w:abstractNum w:abstractNumId="212">
    <w:nsid w:val="64212B8C"/>
    <w:multiLevelType w:val="hybridMultilevel"/>
    <w:lvl w:ilvl="0">
      <w:lvlJc w:val="left"/>
      <w:lvlText w:val="(%1)"/>
      <w:numFmt w:val="lowerLetter"/>
      <w:start w:val="7"/>
    </w:lvl>
  </w:abstractNum>
  <w:abstractNum w:abstractNumId="213">
    <w:nsid w:val="5C17530C"/>
    <w:multiLevelType w:val="hybridMultilevel"/>
    <w:lvl w:ilvl="0">
      <w:lvlJc w:val="left"/>
      <w:lvlText w:val="(%1)"/>
      <w:numFmt w:val="lowerLetter"/>
      <w:start w:val="1"/>
    </w:lvl>
  </w:abstractNum>
  <w:abstractNum w:abstractNumId="214">
    <w:nsid w:val="19A52566"/>
    <w:multiLevelType w:val="hybridMultilevel"/>
    <w:lvl w:ilvl="0">
      <w:lvlJc w:val="left"/>
      <w:lvlText w:val="(%1)"/>
      <w:numFmt w:val="lowerLetter"/>
      <w:start w:val="2"/>
    </w:lvl>
  </w:abstractNum>
  <w:abstractNum w:abstractNumId="215">
    <w:nsid w:val="335A1DF1"/>
    <w:multiLevelType w:val="hybridMultilevel"/>
    <w:lvl w:ilvl="0">
      <w:lvlJc w:val="left"/>
      <w:lvlText w:val="(%1)"/>
      <w:numFmt w:val="lowerLetter"/>
      <w:start w:val="1"/>
    </w:lvl>
  </w:abstractNum>
  <w:abstractNum w:abstractNumId="216">
    <w:nsid w:val="28677B7C"/>
    <w:multiLevelType w:val="hybridMultilevel"/>
    <w:lvl w:ilvl="0">
      <w:lvlJc w:val="left"/>
      <w:lvlText w:val="(%1)"/>
      <w:numFmt w:val="lowerLetter"/>
      <w:start w:val="1"/>
    </w:lvl>
  </w:abstractNum>
  <w:abstractNum w:abstractNumId="217">
    <w:nsid w:val="378D97C0"/>
    <w:multiLevelType w:val="hybridMultilevel"/>
    <w:lvl w:ilvl="0">
      <w:lvlJc w:val="left"/>
      <w:lvlText w:val="(%1)"/>
      <w:numFmt w:val="lowerLetter"/>
      <w:start w:val="1"/>
    </w:lvl>
  </w:abstractNum>
  <w:abstractNum w:abstractNumId="218">
    <w:nsid w:val="1D91467C"/>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2"/>
    </w:lvl>
  </w:abstractNum>
  <w:abstractNum w:abstractNumId="219">
    <w:nsid w:val="316032BB"/>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220">
    <w:nsid w:val="44344C22"/>
    <w:multiLevelType w:val="hybridMultilevel"/>
    <w:lvl w:ilvl="0">
      <w:lvlJc w:val="left"/>
      <w:lvlText w:val="(%1)"/>
      <w:numFmt w:val="lowerLetter"/>
      <w:start w:val="1"/>
    </w:lvl>
  </w:abstractNum>
  <w:abstractNum w:abstractNumId="221">
    <w:nsid w:val="13CDFCFC"/>
    <w:multiLevelType w:val="hybridMultilevel"/>
    <w:lvl w:ilvl="0">
      <w:lvlJc w:val="left"/>
      <w:lvlText w:val="(%1)"/>
      <w:numFmt w:val="lowerLetter"/>
      <w:start w:val="3"/>
    </w:lvl>
  </w:abstractNum>
  <w:abstractNum w:abstractNumId="222">
    <w:nsid w:val="471745E4"/>
    <w:multiLevelType w:val="hybridMultilevel"/>
    <w:lvl w:ilvl="0">
      <w:lvlJc w:val="left"/>
      <w:lvlText w:val="(%1)"/>
      <w:numFmt w:val="lowerLetter"/>
      <w:start w:val="1"/>
    </w:lvl>
    <w:lvl w:ilvl="1">
      <w:lvlJc w:val="left"/>
      <w:lvlText w:val="(%2)"/>
      <w:numFmt w:val="lowerRoman"/>
      <w:start w:val="1"/>
    </w:lvl>
  </w:abstractNum>
  <w:abstractNum w:abstractNumId="223">
    <w:nsid w:val="1DDBC66"/>
    <w:multiLevelType w:val="hybridMultilevel"/>
    <w:lvl w:ilvl="0">
      <w:lvlJc w:val="left"/>
      <w:lvlText w:val="(%1)"/>
      <w:numFmt w:val="lowerLetter"/>
      <w:start w:val="1"/>
    </w:lvl>
  </w:abstractNum>
  <w:abstractNum w:abstractNumId="224">
    <w:nsid w:val="30AADFDA"/>
    <w:multiLevelType w:val="hybridMultilevel"/>
    <w:lvl w:ilvl="0">
      <w:lvlJc w:val="left"/>
      <w:lvlText w:val="%1."/>
      <w:numFmt w:val="decimal"/>
      <w:start w:val="1"/>
    </w:lvl>
    <w:lvl w:ilvl="1">
      <w:lvlJc w:val="left"/>
      <w:lvlText w:val="%2)"/>
      <w:numFmt w:val="lowerLetter"/>
      <w:start w:val="1"/>
    </w:lvl>
  </w:abstractNum>
  <w:abstractNum w:abstractNumId="225">
    <w:nsid w:val="30EADA61"/>
    <w:multiLevelType w:val="hybridMultilevel"/>
    <w:lvl w:ilvl="0">
      <w:lvlJc w:val="left"/>
      <w:lvlText w:val="%1."/>
      <w:numFmt w:val="decimal"/>
      <w:start w:val="1"/>
    </w:lvl>
    <w:lvl w:ilvl="1">
      <w:lvlJc w:val="left"/>
      <w:lvlText w:val="%2)"/>
      <w:numFmt w:val="lowerLetter"/>
      <w:start w:val="1"/>
    </w:lvl>
  </w:abstractNum>
  <w:abstractNum w:abstractNumId="226">
    <w:nsid w:val="27179C0B"/>
    <w:multiLevelType w:val="hybridMultilevel"/>
    <w:lvl w:ilvl="0">
      <w:lvlJc w:val="left"/>
      <w:lvlText w:val="•"/>
      <w:numFmt w:val="bullet"/>
      <w:start w:val="1"/>
    </w:lvl>
  </w:abstractNum>
  <w:abstractNum w:abstractNumId="227">
    <w:nsid w:val="5E6360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16" Type="http://schemas.openxmlformats.org/officeDocument/2006/relationships/hyperlink" Target="http://www.sec.gov/Archives/edgar/data/1710155/000156761917002270/s001582x19_ex3-1.htm" TargetMode="External"/><Relationship Id="rId17" Type="http://schemas.openxmlformats.org/officeDocument/2006/relationships/hyperlink" Target="http://www.sec.gov/Archives/edgar/data/1710155/000156761917002270/s001582x19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2019-12-28T08:41:40Z</dcterms:created>
  <dcterms:modified xsi:type="dcterms:W3CDTF">2019-12-28T08:41:40Z</dcterms:modified>
</cp:coreProperties>
</file>