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5400"/>
                    </a:xfrm>
                    <a:prstGeom prst="rect">
                      <a:avLst/>
                    </a:prstGeom>
                    <a:noFill/>
                  </pic:spPr>
                </pic:pic>
              </a:graphicData>
            </a:graphic>
          </wp:anchor>
        </w:drawing>
        <w:t>UNITED STATES</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57" w:lineRule="exact"/>
        <w:rPr>
          <w:sz w:val="24"/>
          <w:szCs w:val="24"/>
          <w:color w:val="auto"/>
        </w:rPr>
      </w:pPr>
    </w:p>
    <w:p>
      <w:pPr>
        <w:ind w:left="35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88" w:lineRule="exact"/>
        <w:rPr>
          <w:sz w:val="24"/>
          <w:szCs w:val="24"/>
          <w:color w:val="auto"/>
        </w:rPr>
      </w:pPr>
    </w:p>
    <w:p>
      <w:pPr>
        <w:ind w:left="35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77"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jc w:val="center"/>
        <w:spacing w:after="0"/>
        <w:rPr>
          <w:sz w:val="20"/>
          <w:szCs w:val="20"/>
          <w:color w:val="auto"/>
        </w:rPr>
      </w:pPr>
      <w:r>
        <w:rPr>
          <w:rFonts w:ascii="Arial" w:cs="Arial" w:eastAsia="Arial" w:hAnsi="Arial"/>
          <w:sz w:val="16"/>
          <w:szCs w:val="16"/>
          <w:b w:val="1"/>
          <w:bCs w:val="1"/>
          <w:color w:val="auto"/>
        </w:rPr>
        <w:t>For the quarterly period ended June 28, 2025</w:t>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75"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ind w:left="3960"/>
        <w:spacing w:after="0"/>
        <w:tabs>
          <w:tab w:leader="none" w:pos="672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001-38257</w:t>
      </w:r>
    </w:p>
    <w:p>
      <w:pPr>
        <w:spacing w:after="0" w:line="111"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National Vision Holdings, Inc.</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7" w:lineRule="exact"/>
        <w:rPr>
          <w:sz w:val="24"/>
          <w:szCs w:val="24"/>
          <w:color w:val="auto"/>
        </w:rPr>
      </w:pPr>
    </w:p>
    <w:p>
      <w:pPr>
        <w:ind w:left="35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129" w:lineRule="exact"/>
        <w:rPr>
          <w:sz w:val="24"/>
          <w:szCs w:val="24"/>
          <w:color w:val="auto"/>
        </w:rPr>
      </w:pPr>
    </w:p>
    <w:tbl>
      <w:tblPr>
        <w:tblLayout w:type="fixed"/>
        <w:tblInd w:w="1740" w:type="dxa"/>
        <w:tblCellMar>
          <w:top w:w="0" w:type="dxa"/>
          <w:left w:w="0" w:type="dxa"/>
          <w:bottom w:w="0" w:type="dxa"/>
          <w:right w:w="0" w:type="dxa"/>
        </w:tblCellMar>
      </w:tblPr>
      <w:tr>
        <w:trPr>
          <w:trHeight w:val="223"/>
        </w:trPr>
        <w:tc>
          <w:tcPr>
            <w:tcW w:w="4260" w:type="dxa"/>
            <w:vAlign w:val="bottom"/>
          </w:tcPr>
          <w:p>
            <w:pPr>
              <w:jc w:val="center"/>
              <w:ind w:right="1419"/>
              <w:spacing w:after="0"/>
              <w:rPr>
                <w:sz w:val="20"/>
                <w:szCs w:val="20"/>
                <w:color w:val="auto"/>
              </w:rPr>
            </w:pPr>
            <w:r>
              <w:rPr>
                <w:rFonts w:ascii="Arial" w:cs="Arial" w:eastAsia="Arial" w:hAnsi="Arial"/>
                <w:sz w:val="16"/>
                <w:szCs w:val="16"/>
                <w:b w:val="1"/>
                <w:bCs w:val="1"/>
                <w:color w:val="auto"/>
              </w:rPr>
              <w:t>Delaware</w:t>
            </w:r>
          </w:p>
        </w:tc>
        <w:tc>
          <w:tcPr>
            <w:tcW w:w="2740" w:type="dxa"/>
            <w:vAlign w:val="bottom"/>
          </w:tcPr>
          <w:p>
            <w:pPr>
              <w:jc w:val="right"/>
              <w:ind w:right="119"/>
              <w:spacing w:after="0"/>
              <w:rPr>
                <w:sz w:val="20"/>
                <w:szCs w:val="20"/>
                <w:color w:val="auto"/>
              </w:rPr>
            </w:pPr>
            <w:r>
              <w:rPr>
                <w:rFonts w:ascii="Arial" w:cs="Arial" w:eastAsia="Arial" w:hAnsi="Arial"/>
                <w:sz w:val="16"/>
                <w:szCs w:val="16"/>
                <w:b w:val="1"/>
                <w:bCs w:val="1"/>
                <w:color w:val="auto"/>
              </w:rPr>
              <w:t>46-4841717</w:t>
            </w:r>
          </w:p>
        </w:tc>
      </w:tr>
      <w:tr>
        <w:trPr>
          <w:trHeight w:val="197"/>
        </w:trPr>
        <w:tc>
          <w:tcPr>
            <w:tcW w:w="4260" w:type="dxa"/>
            <w:vAlign w:val="bottom"/>
          </w:tcPr>
          <w:p>
            <w:pPr>
              <w:jc w:val="center"/>
              <w:ind w:right="1419"/>
              <w:spacing w:after="0"/>
              <w:rPr>
                <w:sz w:val="20"/>
                <w:szCs w:val="20"/>
                <w:color w:val="auto"/>
              </w:rPr>
            </w:pPr>
            <w:r>
              <w:rPr>
                <w:rFonts w:ascii="Arial" w:cs="Arial" w:eastAsia="Arial" w:hAnsi="Arial"/>
                <w:sz w:val="16"/>
                <w:szCs w:val="16"/>
                <w:color w:val="auto"/>
              </w:rPr>
              <w:t>(State or other jurisdiction of</w:t>
            </w:r>
          </w:p>
        </w:tc>
        <w:tc>
          <w:tcPr>
            <w:tcW w:w="2740" w:type="dxa"/>
            <w:vAlign w:val="bottom"/>
          </w:tcPr>
          <w:p>
            <w:pPr>
              <w:jc w:val="center"/>
              <w:ind w:left="1399"/>
              <w:spacing w:after="0"/>
              <w:rPr>
                <w:sz w:val="20"/>
                <w:szCs w:val="20"/>
                <w:color w:val="auto"/>
              </w:rPr>
            </w:pPr>
            <w:r>
              <w:rPr>
                <w:rFonts w:ascii="Arial" w:cs="Arial" w:eastAsia="Arial" w:hAnsi="Arial"/>
                <w:sz w:val="16"/>
                <w:szCs w:val="16"/>
                <w:color w:val="auto"/>
              </w:rPr>
              <w:t>(I.R.S. Employer</w:t>
            </w:r>
          </w:p>
        </w:tc>
      </w:tr>
      <w:tr>
        <w:trPr>
          <w:trHeight w:val="215"/>
        </w:trPr>
        <w:tc>
          <w:tcPr>
            <w:tcW w:w="4260" w:type="dxa"/>
            <w:vAlign w:val="bottom"/>
          </w:tcPr>
          <w:p>
            <w:pPr>
              <w:jc w:val="center"/>
              <w:ind w:right="1419"/>
              <w:spacing w:after="0"/>
              <w:rPr>
                <w:sz w:val="20"/>
                <w:szCs w:val="20"/>
                <w:color w:val="auto"/>
              </w:rPr>
            </w:pPr>
            <w:r>
              <w:rPr>
                <w:rFonts w:ascii="Arial" w:cs="Arial" w:eastAsia="Arial" w:hAnsi="Arial"/>
                <w:sz w:val="16"/>
                <w:szCs w:val="16"/>
                <w:color w:val="auto"/>
              </w:rPr>
              <w:t>incorporation or organization)</w:t>
            </w:r>
          </w:p>
        </w:tc>
        <w:tc>
          <w:tcPr>
            <w:tcW w:w="2740" w:type="dxa"/>
            <w:vAlign w:val="bottom"/>
          </w:tcPr>
          <w:p>
            <w:pPr>
              <w:jc w:val="center"/>
              <w:ind w:left="1399"/>
              <w:spacing w:after="0"/>
              <w:rPr>
                <w:sz w:val="20"/>
                <w:szCs w:val="20"/>
                <w:color w:val="auto"/>
              </w:rPr>
            </w:pPr>
            <w:r>
              <w:rPr>
                <w:rFonts w:ascii="Arial" w:cs="Arial" w:eastAsia="Arial" w:hAnsi="Arial"/>
                <w:sz w:val="16"/>
                <w:szCs w:val="16"/>
                <w:color w:val="auto"/>
              </w:rPr>
              <w:t>Identification No.)</w:t>
            </w:r>
          </w:p>
        </w:tc>
      </w:tr>
      <w:tr>
        <w:trPr>
          <w:trHeight w:val="271"/>
        </w:trPr>
        <w:tc>
          <w:tcPr>
            <w:tcW w:w="4260" w:type="dxa"/>
            <w:vAlign w:val="bottom"/>
          </w:tcPr>
          <w:p>
            <w:pPr>
              <w:jc w:val="center"/>
              <w:ind w:right="1419"/>
              <w:spacing w:after="0"/>
              <w:rPr>
                <w:sz w:val="20"/>
                <w:szCs w:val="20"/>
                <w:color w:val="auto"/>
              </w:rPr>
            </w:pPr>
            <w:r>
              <w:rPr>
                <w:rFonts w:ascii="Arial" w:cs="Arial" w:eastAsia="Arial" w:hAnsi="Arial"/>
                <w:sz w:val="16"/>
                <w:szCs w:val="16"/>
                <w:b w:val="1"/>
                <w:bCs w:val="1"/>
                <w:color w:val="auto"/>
                <w:w w:val="99"/>
              </w:rPr>
              <w:t>2435 Commerce Ave</w:t>
            </w:r>
          </w:p>
        </w:tc>
        <w:tc>
          <w:tcPr>
            <w:tcW w:w="2740" w:type="dxa"/>
            <w:vAlign w:val="bottom"/>
          </w:tcPr>
          <w:p>
            <w:pPr>
              <w:spacing w:after="0"/>
              <w:rPr>
                <w:sz w:val="23"/>
                <w:szCs w:val="23"/>
                <w:color w:val="auto"/>
              </w:rPr>
            </w:pPr>
          </w:p>
        </w:tc>
      </w:tr>
      <w:tr>
        <w:trPr>
          <w:trHeight w:val="216"/>
        </w:trPr>
        <w:tc>
          <w:tcPr>
            <w:tcW w:w="4260" w:type="dxa"/>
            <w:vAlign w:val="bottom"/>
          </w:tcPr>
          <w:p>
            <w:pPr>
              <w:jc w:val="center"/>
              <w:ind w:right="1419"/>
              <w:spacing w:after="0"/>
              <w:rPr>
                <w:sz w:val="20"/>
                <w:szCs w:val="20"/>
                <w:color w:val="auto"/>
              </w:rPr>
            </w:pPr>
            <w:r>
              <w:rPr>
                <w:rFonts w:ascii="Arial" w:cs="Arial" w:eastAsia="Arial" w:hAnsi="Arial"/>
                <w:sz w:val="16"/>
                <w:szCs w:val="16"/>
                <w:b w:val="1"/>
                <w:bCs w:val="1"/>
                <w:color w:val="auto"/>
                <w:w w:val="99"/>
              </w:rPr>
              <w:t>Building 2200</w:t>
            </w:r>
          </w:p>
        </w:tc>
        <w:tc>
          <w:tcPr>
            <w:tcW w:w="2740" w:type="dxa"/>
            <w:vAlign w:val="bottom"/>
          </w:tcPr>
          <w:p>
            <w:pPr>
              <w:jc w:val="right"/>
              <w:ind w:right="319"/>
              <w:spacing w:after="0"/>
              <w:rPr>
                <w:sz w:val="20"/>
                <w:szCs w:val="20"/>
                <w:color w:val="auto"/>
              </w:rPr>
            </w:pPr>
            <w:r>
              <w:rPr>
                <w:rFonts w:ascii="Arial" w:cs="Arial" w:eastAsia="Arial" w:hAnsi="Arial"/>
                <w:sz w:val="16"/>
                <w:szCs w:val="16"/>
                <w:b w:val="1"/>
                <w:bCs w:val="1"/>
                <w:color w:val="auto"/>
              </w:rPr>
              <w:t>30096</w:t>
            </w:r>
          </w:p>
        </w:tc>
      </w:tr>
      <w:tr>
        <w:trPr>
          <w:trHeight w:val="216"/>
        </w:trPr>
        <w:tc>
          <w:tcPr>
            <w:tcW w:w="4260" w:type="dxa"/>
            <w:vAlign w:val="bottom"/>
          </w:tcPr>
          <w:p>
            <w:pPr>
              <w:jc w:val="center"/>
              <w:ind w:right="1419"/>
              <w:spacing w:after="0"/>
              <w:rPr>
                <w:sz w:val="20"/>
                <w:szCs w:val="20"/>
                <w:color w:val="auto"/>
              </w:rPr>
            </w:pPr>
            <w:r>
              <w:rPr>
                <w:rFonts w:ascii="Arial" w:cs="Arial" w:eastAsia="Arial" w:hAnsi="Arial"/>
                <w:sz w:val="16"/>
                <w:szCs w:val="16"/>
                <w:b w:val="1"/>
                <w:bCs w:val="1"/>
                <w:color w:val="auto"/>
                <w:w w:val="99"/>
              </w:rPr>
              <w:t>Duluth, Georgia</w:t>
            </w:r>
          </w:p>
        </w:tc>
        <w:tc>
          <w:tcPr>
            <w:tcW w:w="2740" w:type="dxa"/>
            <w:vAlign w:val="bottom"/>
          </w:tcPr>
          <w:p>
            <w:pPr>
              <w:jc w:val="center"/>
              <w:ind w:left="1419"/>
              <w:spacing w:after="0"/>
              <w:rPr>
                <w:sz w:val="20"/>
                <w:szCs w:val="20"/>
                <w:color w:val="auto"/>
              </w:rPr>
            </w:pPr>
            <w:r>
              <w:rPr>
                <w:rFonts w:ascii="Arial" w:cs="Arial" w:eastAsia="Arial" w:hAnsi="Arial"/>
                <w:sz w:val="16"/>
                <w:szCs w:val="16"/>
                <w:color w:val="auto"/>
              </w:rPr>
              <w:t>(Zip Code)</w:t>
            </w:r>
          </w:p>
        </w:tc>
      </w:tr>
      <w:tr>
        <w:trPr>
          <w:trHeight w:val="215"/>
        </w:trPr>
        <w:tc>
          <w:tcPr>
            <w:tcW w:w="4260" w:type="dxa"/>
            <w:vAlign w:val="bottom"/>
          </w:tcPr>
          <w:p>
            <w:pPr>
              <w:jc w:val="center"/>
              <w:ind w:right="1419"/>
              <w:spacing w:after="0"/>
              <w:rPr>
                <w:sz w:val="20"/>
                <w:szCs w:val="20"/>
                <w:color w:val="auto"/>
              </w:rPr>
            </w:pPr>
            <w:r>
              <w:rPr>
                <w:rFonts w:ascii="Arial" w:cs="Arial" w:eastAsia="Arial" w:hAnsi="Arial"/>
                <w:sz w:val="16"/>
                <w:szCs w:val="16"/>
                <w:color w:val="auto"/>
              </w:rPr>
              <w:t>(Address of principal executive offices)</w:t>
            </w:r>
          </w:p>
        </w:tc>
        <w:tc>
          <w:tcPr>
            <w:tcW w:w="2740" w:type="dxa"/>
            <w:vAlign w:val="bottom"/>
          </w:tcPr>
          <w:p>
            <w:pPr>
              <w:spacing w:after="0"/>
              <w:rPr>
                <w:sz w:val="18"/>
                <w:szCs w:val="18"/>
                <w:color w:val="auto"/>
              </w:rPr>
            </w:pPr>
          </w:p>
        </w:tc>
      </w:tr>
    </w:tbl>
    <w:p>
      <w:pPr>
        <w:spacing w:after="0" w:line="47" w:lineRule="exact"/>
        <w:rPr>
          <w:sz w:val="24"/>
          <w:szCs w:val="24"/>
          <w:color w:val="auto"/>
        </w:rPr>
      </w:pPr>
    </w:p>
    <w:p>
      <w:pPr>
        <w:jc w:val="center"/>
        <w:spacing w:after="0" w:line="184" w:lineRule="exact"/>
        <w:rPr>
          <w:sz w:val="20"/>
          <w:szCs w:val="20"/>
          <w:color w:val="auto"/>
        </w:rPr>
      </w:pPr>
      <w:r>
        <w:rPr>
          <w:rFonts w:ascii="Arial" w:cs="Arial" w:eastAsia="Arial" w:hAnsi="Arial"/>
          <w:sz w:val="16"/>
          <w:szCs w:val="16"/>
          <w:b w:val="1"/>
          <w:bCs w:val="1"/>
          <w:color w:val="auto"/>
        </w:rPr>
        <w:t>(770) 822</w:t>
      </w:r>
      <w:r>
        <w:rPr>
          <w:rFonts w:ascii="MS PGothic" w:cs="MS PGothic" w:eastAsia="MS PGothic" w:hAnsi="MS PGothic"/>
          <w:sz w:val="16"/>
          <w:szCs w:val="16"/>
          <w:color w:val="auto"/>
          <w:strike w:val="1"/>
        </w:rPr>
        <w:t>‑</w:t>
      </w:r>
      <w:r>
        <w:rPr>
          <w:rFonts w:ascii="Arial" w:cs="Arial" w:eastAsia="Arial" w:hAnsi="Arial"/>
          <w:sz w:val="16"/>
          <w:szCs w:val="16"/>
          <w:b w:val="1"/>
          <w:bCs w:val="1"/>
          <w:color w:val="auto"/>
        </w:rPr>
        <w:t>3600</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55"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67" w:lineRule="exact"/>
        <w:rPr>
          <w:sz w:val="24"/>
          <w:szCs w:val="24"/>
          <w:color w:val="auto"/>
        </w:rPr>
      </w:pPr>
    </w:p>
    <w:tbl>
      <w:tblPr>
        <w:tblLayout w:type="fixed"/>
        <w:tblInd w:w="1080" w:type="dxa"/>
        <w:tblCellMar>
          <w:top w:w="0" w:type="dxa"/>
          <w:left w:w="0" w:type="dxa"/>
          <w:bottom w:w="0" w:type="dxa"/>
          <w:right w:w="0" w:type="dxa"/>
        </w:tblCellMar>
      </w:tblPr>
      <w:tr>
        <w:trPr>
          <w:trHeight w:val="217"/>
        </w:trPr>
        <w:tc>
          <w:tcPr>
            <w:tcW w:w="37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Title of each class</w:t>
            </w: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Trading Symbol(s)</w:t>
            </w:r>
          </w:p>
        </w:tc>
        <w:tc>
          <w:tcPr>
            <w:tcW w:w="366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8"/>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Common Stock, par value $0.01 per share</w:t>
            </w:r>
          </w:p>
        </w:tc>
        <w:tc>
          <w:tcPr>
            <w:tcW w:w="100" w:type="dxa"/>
            <w:vAlign w:val="bottom"/>
          </w:tcPr>
          <w:p>
            <w:pPr>
              <w:spacing w:after="0"/>
              <w:rPr>
                <w:sz w:val="18"/>
                <w:szCs w:val="18"/>
                <w:color w:val="auto"/>
              </w:rPr>
            </w:pP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EYE</w:t>
            </w:r>
          </w:p>
        </w:tc>
        <w:tc>
          <w:tcPr>
            <w:tcW w:w="100" w:type="dxa"/>
            <w:vAlign w:val="bottom"/>
          </w:tcPr>
          <w:p>
            <w:pPr>
              <w:spacing w:after="0"/>
              <w:rPr>
                <w:sz w:val="18"/>
                <w:szCs w:val="18"/>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Nasdaq</w:t>
            </w:r>
          </w:p>
        </w:tc>
      </w:tr>
    </w:tbl>
    <w:p>
      <w:pPr>
        <w:spacing w:after="0" w:line="186" w:lineRule="exact"/>
        <w:rPr>
          <w:sz w:val="24"/>
          <w:szCs w:val="24"/>
          <w:color w:val="auto"/>
        </w:rPr>
      </w:pPr>
    </w:p>
    <w:p>
      <w:pPr>
        <w:ind w:right="100"/>
        <w:spacing w:after="0" w:line="191"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50" w:lineRule="exact"/>
        <w:rPr>
          <w:sz w:val="24"/>
          <w:szCs w:val="24"/>
          <w:color w:val="auto"/>
        </w:rPr>
      </w:pPr>
    </w:p>
    <w:p>
      <w:pPr>
        <w:ind w:right="20"/>
        <w:spacing w:after="0" w:line="199"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5" w:lineRule="exact"/>
        <w:rPr>
          <w:sz w:val="24"/>
          <w:szCs w:val="24"/>
          <w:color w:val="auto"/>
        </w:rPr>
      </w:pPr>
    </w:p>
    <w:p>
      <w:pPr>
        <w:ind w:right="120"/>
        <w:spacing w:after="0" w:line="263"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3" w:lineRule="exact"/>
        <w:rPr>
          <w:sz w:val="24"/>
          <w:szCs w:val="24"/>
          <w:color w:val="auto"/>
        </w:rPr>
      </w:pPr>
    </w:p>
    <w:tbl>
      <w:tblPr>
        <w:tblLayout w:type="fixed"/>
        <w:tblInd w:w="1740" w:type="dxa"/>
        <w:tblCellMar>
          <w:top w:w="0" w:type="dxa"/>
          <w:left w:w="0" w:type="dxa"/>
          <w:bottom w:w="0" w:type="dxa"/>
          <w:right w:w="0" w:type="dxa"/>
        </w:tblCellMar>
      </w:tblPr>
      <w:tr>
        <w:trPr>
          <w:trHeight w:val="239"/>
        </w:trPr>
        <w:tc>
          <w:tcPr>
            <w:tcW w:w="1780" w:type="dxa"/>
            <w:vAlign w:val="bottom"/>
          </w:tcPr>
          <w:p>
            <w:pPr>
              <w:jc w:val="center"/>
              <w:ind w:right="99"/>
              <w:spacing w:after="0"/>
              <w:rPr>
                <w:sz w:val="20"/>
                <w:szCs w:val="20"/>
                <w:color w:val="auto"/>
              </w:rPr>
            </w:pPr>
            <w:r>
              <w:rPr>
                <w:rFonts w:ascii="Arial" w:cs="Arial" w:eastAsia="Arial" w:hAnsi="Arial"/>
                <w:sz w:val="16"/>
                <w:szCs w:val="16"/>
                <w:color w:val="auto"/>
              </w:rPr>
              <w:t>Large accelerated filer</w:t>
            </w:r>
          </w:p>
        </w:tc>
        <w:tc>
          <w:tcPr>
            <w:tcW w:w="110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800" w:type="dxa"/>
            <w:vAlign w:val="bottom"/>
          </w:tcPr>
          <w:p>
            <w:pPr>
              <w:jc w:val="center"/>
              <w:ind w:left="559"/>
              <w:spacing w:after="0"/>
              <w:rPr>
                <w:sz w:val="20"/>
                <w:szCs w:val="20"/>
                <w:color w:val="auto"/>
              </w:rPr>
            </w:pPr>
            <w:r>
              <w:rPr>
                <w:rFonts w:ascii="Arial" w:cs="Arial" w:eastAsia="Arial" w:hAnsi="Arial"/>
                <w:sz w:val="16"/>
                <w:szCs w:val="16"/>
                <w:color w:val="auto"/>
              </w:rPr>
              <w:t>Accelerated filer</w:t>
            </w:r>
          </w:p>
        </w:tc>
        <w:tc>
          <w:tcPr>
            <w:tcW w:w="260" w:type="dxa"/>
            <w:vAlign w:val="bottom"/>
          </w:tcPr>
          <w:p>
            <w:pPr>
              <w:ind w:left="1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1780" w:type="dxa"/>
            <w:vAlign w:val="bottom"/>
          </w:tcPr>
          <w:p>
            <w:pPr>
              <w:jc w:val="center"/>
              <w:ind w:right="119"/>
              <w:spacing w:after="0"/>
              <w:rPr>
                <w:sz w:val="20"/>
                <w:szCs w:val="20"/>
                <w:color w:val="auto"/>
              </w:rPr>
            </w:pPr>
            <w:r>
              <w:rPr>
                <w:rFonts w:ascii="Arial" w:cs="Arial" w:eastAsia="Arial" w:hAnsi="Arial"/>
                <w:sz w:val="16"/>
                <w:szCs w:val="16"/>
                <w:color w:val="auto"/>
              </w:rPr>
              <w:t>Non-accelerated filer</w:t>
            </w:r>
          </w:p>
        </w:tc>
        <w:tc>
          <w:tcPr>
            <w:tcW w:w="110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2800" w:type="dxa"/>
            <w:vAlign w:val="bottom"/>
          </w:tcPr>
          <w:p>
            <w:pPr>
              <w:jc w:val="center"/>
              <w:ind w:left="579"/>
              <w:spacing w:after="0"/>
              <w:rPr>
                <w:sz w:val="20"/>
                <w:szCs w:val="20"/>
                <w:color w:val="auto"/>
              </w:rPr>
            </w:pPr>
            <w:r>
              <w:rPr>
                <w:rFonts w:ascii="Arial" w:cs="Arial" w:eastAsia="Arial" w:hAnsi="Arial"/>
                <w:sz w:val="16"/>
                <w:szCs w:val="16"/>
                <w:color w:val="auto"/>
              </w:rPr>
              <w:t>Smaller reporting company</w:t>
            </w:r>
          </w:p>
        </w:tc>
        <w:tc>
          <w:tcPr>
            <w:tcW w:w="260" w:type="dxa"/>
            <w:vAlign w:val="bottom"/>
          </w:tcPr>
          <w:p>
            <w:pPr>
              <w:ind w:left="1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7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800" w:type="dxa"/>
            <w:vAlign w:val="bottom"/>
          </w:tcPr>
          <w:p>
            <w:pPr>
              <w:jc w:val="center"/>
              <w:ind w:left="559"/>
              <w:spacing w:after="0"/>
              <w:rPr>
                <w:sz w:val="20"/>
                <w:szCs w:val="20"/>
                <w:color w:val="auto"/>
              </w:rPr>
            </w:pPr>
            <w:r>
              <w:rPr>
                <w:rFonts w:ascii="Arial" w:cs="Arial" w:eastAsia="Arial" w:hAnsi="Arial"/>
                <w:sz w:val="16"/>
                <w:szCs w:val="16"/>
                <w:color w:val="auto"/>
              </w:rPr>
              <w:t>Emerging growth company</w:t>
            </w:r>
          </w:p>
        </w:tc>
        <w:tc>
          <w:tcPr>
            <w:tcW w:w="260" w:type="dxa"/>
            <w:vAlign w:val="bottom"/>
          </w:tcPr>
          <w:p>
            <w:pPr>
              <w:ind w:left="1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57" w:lineRule="exact"/>
        <w:rPr>
          <w:sz w:val="24"/>
          <w:szCs w:val="24"/>
          <w:color w:val="auto"/>
        </w:rPr>
      </w:pPr>
    </w:p>
    <w:p>
      <w:pPr>
        <w:ind w:right="220"/>
        <w:spacing w:after="0" w:line="199"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 w:lineRule="exact"/>
        <w:rPr>
          <w:sz w:val="24"/>
          <w:szCs w:val="24"/>
          <w:color w:val="auto"/>
        </w:rPr>
      </w:pPr>
    </w:p>
    <w:p>
      <w:pPr>
        <w:ind w:right="2580"/>
        <w:spacing w:after="0" w:line="232"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the number of shares outstanding of each of the issuer’s classes of common stock, as of the latest practicable date.</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6280" w:type="dxa"/>
            <w:vAlign w:val="bottom"/>
            <w:gridSpan w:val="2"/>
          </w:tcPr>
          <w:p>
            <w:pPr>
              <w:ind w:left="20"/>
              <w:spacing w:after="0"/>
              <w:rPr>
                <w:sz w:val="20"/>
                <w:szCs w:val="20"/>
                <w:color w:val="auto"/>
              </w:rPr>
            </w:pPr>
            <w:r>
              <w:rPr>
                <w:rFonts w:ascii="Arial" w:cs="Arial" w:eastAsia="Arial" w:hAnsi="Arial"/>
                <w:sz w:val="16"/>
                <w:szCs w:val="16"/>
                <w:b w:val="1"/>
                <w:bCs w:val="1"/>
                <w:color w:val="auto"/>
              </w:rPr>
              <w:t>Class</w:t>
            </w:r>
          </w:p>
        </w:tc>
        <w:tc>
          <w:tcPr>
            <w:tcW w:w="4960" w:type="dxa"/>
            <w:vAlign w:val="bottom"/>
            <w:gridSpan w:val="2"/>
          </w:tcPr>
          <w:p>
            <w:pPr>
              <w:ind w:left="20"/>
              <w:spacing w:after="0"/>
              <w:rPr>
                <w:sz w:val="20"/>
                <w:szCs w:val="20"/>
                <w:color w:val="auto"/>
              </w:rPr>
            </w:pPr>
            <w:r>
              <w:rPr>
                <w:rFonts w:ascii="Arial" w:cs="Arial" w:eastAsia="Arial" w:hAnsi="Arial"/>
                <w:sz w:val="16"/>
                <w:szCs w:val="16"/>
                <w:b w:val="1"/>
                <w:bCs w:val="1"/>
                <w:color w:val="auto"/>
              </w:rPr>
              <w:t>Outstanding at July 25, 2025</w:t>
            </w:r>
          </w:p>
        </w:tc>
      </w:tr>
      <w:tr>
        <w:trPr>
          <w:trHeight w:val="208"/>
        </w:trPr>
        <w:tc>
          <w:tcPr>
            <w:tcW w:w="49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Common stock, $0.01 par value</w:t>
            </w:r>
          </w:p>
        </w:tc>
        <w:tc>
          <w:tcPr>
            <w:tcW w:w="1380" w:type="dxa"/>
            <w:vAlign w:val="bottom"/>
          </w:tcPr>
          <w:p>
            <w:pPr>
              <w:spacing w:after="0"/>
              <w:rPr>
                <w:sz w:val="18"/>
                <w:szCs w:val="18"/>
                <w:color w:val="auto"/>
              </w:rPr>
            </w:pPr>
          </w:p>
        </w:tc>
        <w:tc>
          <w:tcPr>
            <w:tcW w:w="49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79,196,383</w:t>
            </w:r>
          </w:p>
        </w:tc>
        <w:tc>
          <w:tcPr>
            <w:tcW w:w="40" w:type="dxa"/>
            <w:vAlign w:val="bottom"/>
          </w:tcPr>
          <w:p>
            <w:pPr>
              <w:spacing w:after="0"/>
              <w:rPr>
                <w:sz w:val="18"/>
                <w:szCs w:val="18"/>
                <w:color w:val="auto"/>
              </w:rPr>
            </w:pPr>
          </w:p>
        </w:tc>
      </w:tr>
      <w:tr>
        <w:trPr>
          <w:trHeight w:val="123"/>
        </w:trPr>
        <w:tc>
          <w:tcPr>
            <w:tcW w:w="49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49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r>
      <w:tr>
        <w:trPr>
          <w:trHeight w:val="41"/>
        </w:trPr>
        <w:tc>
          <w:tcPr>
            <w:tcW w:w="49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49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r>
      <w:tr>
        <w:trPr>
          <w:trHeight w:val="844"/>
        </w:trPr>
        <w:tc>
          <w:tcPr>
            <w:tcW w:w="49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t>NATIONAL VISION HOLDINGS, INC. AND SUBSIDIARIES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00" w:type="dxa"/>
            <w:vAlign w:val="bottom"/>
            <w:gridSpan w:val="3"/>
          </w:tcPr>
          <w:p>
            <w:pPr>
              <w:spacing w:after="0"/>
              <w:rPr>
                <w:sz w:val="20"/>
                <w:szCs w:val="20"/>
                <w:color w:val="auto"/>
              </w:rPr>
            </w:pPr>
            <w:r>
              <w:rPr>
                <w:rFonts w:ascii="Arial" w:cs="Arial" w:eastAsia="Arial" w:hAnsi="Arial"/>
                <w:sz w:val="18"/>
                <w:szCs w:val="18"/>
                <w:color w:val="auto"/>
              </w:rPr>
              <w:t>Page</w:t>
            </w:r>
          </w:p>
        </w:tc>
      </w:tr>
      <w:tr>
        <w:trPr>
          <w:trHeight w:val="198"/>
        </w:trPr>
        <w:tc>
          <w:tcPr>
            <w:tcW w:w="260" w:type="dxa"/>
            <w:vAlign w:val="bottom"/>
          </w:tcPr>
          <w:p>
            <w:pPr>
              <w:spacing w:after="0"/>
              <w:rPr>
                <w:sz w:val="17"/>
                <w:szCs w:val="17"/>
                <w:color w:val="auto"/>
              </w:rPr>
            </w:pPr>
          </w:p>
        </w:tc>
        <w:tc>
          <w:tcPr>
            <w:tcW w:w="10080" w:type="dxa"/>
            <w:vAlign w:val="bottom"/>
            <w:gridSpan w:val="25"/>
          </w:tcPr>
          <w:p>
            <w:pPr>
              <w:spacing w:after="0" w:line="199" w:lineRule="exact"/>
              <w:rPr>
                <w:sz w:val="20"/>
                <w:szCs w:val="20"/>
                <w:color w:val="auto"/>
              </w:rPr>
            </w:pPr>
            <w:r>
              <w:rPr>
                <w:rFonts w:ascii="Arial" w:cs="Arial" w:eastAsia="Arial" w:hAnsi="Arial"/>
                <w:sz w:val="18"/>
                <w:szCs w:val="18"/>
                <w:color w:val="0000FF"/>
              </w:rPr>
              <w:t>SPECIAL NOTE REGARDING FORWARD-LOOKING STATEMENTS</w:t>
            </w:r>
          </w:p>
        </w:tc>
        <w:tc>
          <w:tcPr>
            <w:tcW w:w="200" w:type="dxa"/>
            <w:vAlign w:val="bottom"/>
            <w:gridSpan w:val="2"/>
          </w:tcPr>
          <w:p>
            <w:pPr>
              <w:spacing w:after="0" w:line="199" w:lineRule="exact"/>
              <w:rPr>
                <w:sz w:val="20"/>
                <w:szCs w:val="20"/>
                <w:color w:val="auto"/>
              </w:rPr>
            </w:pPr>
            <w:r>
              <w:rPr>
                <w:rFonts w:ascii="Arial" w:cs="Arial" w:eastAsia="Arial" w:hAnsi="Arial"/>
                <w:sz w:val="18"/>
                <w:szCs w:val="18"/>
                <w:color w:val="0000FF"/>
              </w:rPr>
              <w:t>3</w:t>
            </w:r>
          </w:p>
        </w:tc>
        <w:tc>
          <w:tcPr>
            <w:tcW w:w="700" w:type="dxa"/>
            <w:vAlign w:val="bottom"/>
          </w:tcPr>
          <w:p>
            <w:pPr>
              <w:spacing w:after="0"/>
              <w:rPr>
                <w:sz w:val="17"/>
                <w:szCs w:val="17"/>
                <w:color w:val="auto"/>
              </w:rPr>
            </w:pPr>
          </w:p>
        </w:tc>
      </w:tr>
      <w:tr>
        <w:trPr>
          <w:trHeight w:val="250"/>
        </w:trPr>
        <w:tc>
          <w:tcPr>
            <w:tcW w:w="260" w:type="dxa"/>
            <w:vAlign w:val="bottom"/>
          </w:tcPr>
          <w:p>
            <w:pPr>
              <w:spacing w:after="0"/>
              <w:rPr>
                <w:sz w:val="21"/>
                <w:szCs w:val="21"/>
                <w:color w:val="auto"/>
              </w:rPr>
            </w:pPr>
          </w:p>
        </w:tc>
        <w:tc>
          <w:tcPr>
            <w:tcW w:w="3000" w:type="dxa"/>
            <w:vAlign w:val="bottom"/>
            <w:tcBorders>
              <w:top w:val="single" w:sz="8" w:color="0000FF"/>
              <w:bottom w:val="single" w:sz="8" w:color="0000FF"/>
            </w:tcBorders>
            <w:gridSpan w:val="12"/>
          </w:tcPr>
          <w:p>
            <w:pPr>
              <w:spacing w:after="0"/>
              <w:rPr>
                <w:sz w:val="20"/>
                <w:szCs w:val="20"/>
                <w:color w:val="auto"/>
              </w:rPr>
            </w:pPr>
            <w:r>
              <w:rPr>
                <w:rFonts w:ascii="Arial" w:cs="Arial" w:eastAsia="Arial" w:hAnsi="Arial"/>
                <w:sz w:val="18"/>
                <w:szCs w:val="18"/>
                <w:color w:val="0000FF"/>
                <w:w w:val="98"/>
              </w:rPr>
              <w:t>PART I – FINANCIAL INFORMATION</w:t>
            </w:r>
          </w:p>
        </w:tc>
        <w:tc>
          <w:tcPr>
            <w:tcW w:w="2520" w:type="dxa"/>
            <w:vAlign w:val="bottom"/>
            <w:tcBorders>
              <w:top w:val="single" w:sz="8" w:color="0000FF"/>
            </w:tcBorders>
            <w:gridSpan w:val="6"/>
          </w:tcPr>
          <w:p>
            <w:pPr>
              <w:spacing w:after="0"/>
              <w:rPr>
                <w:sz w:val="21"/>
                <w:szCs w:val="21"/>
                <w:color w:val="auto"/>
              </w:rPr>
            </w:pPr>
          </w:p>
        </w:tc>
        <w:tc>
          <w:tcPr>
            <w:tcW w:w="4560" w:type="dxa"/>
            <w:vAlign w:val="bottom"/>
            <w:gridSpan w:val="7"/>
          </w:tcPr>
          <w:p>
            <w:pPr>
              <w:spacing w:after="0"/>
              <w:rPr>
                <w:sz w:val="21"/>
                <w:szCs w:val="21"/>
                <w:color w:val="auto"/>
              </w:rPr>
            </w:pPr>
          </w:p>
        </w:tc>
        <w:tc>
          <w:tcPr>
            <w:tcW w:w="10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79"/>
              </w:rPr>
              <w:t>5</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50"/>
        </w:trPr>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1.</w:t>
            </w:r>
          </w:p>
        </w:tc>
        <w:tc>
          <w:tcPr>
            <w:tcW w:w="320" w:type="dxa"/>
            <w:vAlign w:val="bottom"/>
            <w:gridSpan w:val="2"/>
          </w:tcPr>
          <w:p>
            <w:pPr>
              <w:spacing w:after="0"/>
              <w:rPr>
                <w:sz w:val="21"/>
                <w:szCs w:val="21"/>
                <w:color w:val="auto"/>
              </w:rPr>
            </w:pPr>
          </w:p>
        </w:tc>
        <w:tc>
          <w:tcPr>
            <w:tcW w:w="8780" w:type="dxa"/>
            <w:vAlign w:val="bottom"/>
            <w:gridSpan w:val="21"/>
          </w:tcPr>
          <w:p>
            <w:pPr>
              <w:spacing w:after="0"/>
              <w:rPr>
                <w:sz w:val="20"/>
                <w:szCs w:val="20"/>
                <w:color w:val="auto"/>
              </w:rPr>
            </w:pPr>
            <w:r>
              <w:rPr>
                <w:rFonts w:ascii="Arial" w:cs="Arial" w:eastAsia="Arial" w:hAnsi="Arial"/>
                <w:sz w:val="18"/>
                <w:szCs w:val="18"/>
                <w:color w:val="0000FF"/>
              </w:rPr>
              <w:t>Financial Statements (Unaudited)</w:t>
            </w:r>
          </w:p>
        </w:tc>
        <w:tc>
          <w:tcPr>
            <w:tcW w:w="200" w:type="dxa"/>
            <w:vAlign w:val="bottom"/>
            <w:gridSpan w:val="2"/>
          </w:tcPr>
          <w:p>
            <w:pPr>
              <w:spacing w:after="0"/>
              <w:rPr>
                <w:sz w:val="20"/>
                <w:szCs w:val="20"/>
                <w:color w:val="auto"/>
              </w:rPr>
            </w:pPr>
            <w:r>
              <w:rPr>
                <w:rFonts w:ascii="Arial" w:cs="Arial" w:eastAsia="Arial" w:hAnsi="Arial"/>
                <w:sz w:val="18"/>
                <w:szCs w:val="18"/>
                <w:color w:val="0000FF"/>
              </w:rPr>
              <w:t>5</w:t>
            </w:r>
          </w:p>
        </w:tc>
        <w:tc>
          <w:tcPr>
            <w:tcW w:w="700" w:type="dxa"/>
            <w:vAlign w:val="bottom"/>
          </w:tcPr>
          <w:p>
            <w:pPr>
              <w:spacing w:after="0"/>
              <w:rPr>
                <w:sz w:val="21"/>
                <w:szCs w:val="21"/>
                <w:color w:val="auto"/>
              </w:rPr>
            </w:pPr>
          </w:p>
        </w:tc>
      </w:tr>
      <w:tr>
        <w:trPr>
          <w:trHeight w:val="20"/>
        </w:trPr>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780" w:type="dxa"/>
            <w:vAlign w:val="bottom"/>
            <w:gridSpan w:val="21"/>
          </w:tcPr>
          <w:p>
            <w:pPr>
              <w:spacing w:after="0"/>
              <w:rPr>
                <w:sz w:val="20"/>
                <w:szCs w:val="20"/>
                <w:color w:val="auto"/>
              </w:rPr>
            </w:pPr>
            <w:r>
              <w:rPr>
                <w:rFonts w:ascii="Arial" w:cs="Arial" w:eastAsia="Arial" w:hAnsi="Arial"/>
                <w:sz w:val="18"/>
                <w:szCs w:val="18"/>
                <w:color w:val="0000FF"/>
              </w:rPr>
              <w:t>Condensed Consolidated Balance Sheets</w:t>
            </w:r>
          </w:p>
        </w:tc>
        <w:tc>
          <w:tcPr>
            <w:tcW w:w="200" w:type="dxa"/>
            <w:vAlign w:val="bottom"/>
            <w:gridSpan w:val="2"/>
          </w:tcPr>
          <w:p>
            <w:pPr>
              <w:spacing w:after="0"/>
              <w:rPr>
                <w:sz w:val="20"/>
                <w:szCs w:val="20"/>
                <w:color w:val="auto"/>
              </w:rPr>
            </w:pPr>
            <w:r>
              <w:rPr>
                <w:rFonts w:ascii="Arial" w:cs="Arial" w:eastAsia="Arial" w:hAnsi="Arial"/>
                <w:sz w:val="18"/>
                <w:szCs w:val="18"/>
                <w:color w:val="0000FF"/>
              </w:rPr>
              <w:t>5</w:t>
            </w:r>
          </w:p>
        </w:tc>
        <w:tc>
          <w:tcPr>
            <w:tcW w:w="700" w:type="dxa"/>
            <w:vAlign w:val="bottom"/>
          </w:tcPr>
          <w:p>
            <w:pPr>
              <w:spacing w:after="0"/>
              <w:rPr>
                <w:sz w:val="21"/>
                <w:szCs w:val="21"/>
                <w:color w:val="auto"/>
              </w:rPr>
            </w:pPr>
          </w:p>
        </w:tc>
      </w:tr>
      <w:tr>
        <w:trPr>
          <w:trHeight w:val="20"/>
        </w:trPr>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780" w:type="dxa"/>
            <w:vAlign w:val="bottom"/>
            <w:gridSpan w:val="21"/>
          </w:tcPr>
          <w:p>
            <w:pPr>
              <w:spacing w:after="0"/>
              <w:rPr>
                <w:sz w:val="20"/>
                <w:szCs w:val="20"/>
                <w:color w:val="auto"/>
              </w:rPr>
            </w:pPr>
            <w:r>
              <w:rPr>
                <w:rFonts w:ascii="Arial" w:cs="Arial" w:eastAsia="Arial" w:hAnsi="Arial"/>
                <w:sz w:val="18"/>
                <w:szCs w:val="18"/>
                <w:color w:val="0000FF"/>
              </w:rPr>
              <w:t>Condensed Consolidated Statements of Operations and Comprehensive Income</w:t>
            </w:r>
          </w:p>
        </w:tc>
        <w:tc>
          <w:tcPr>
            <w:tcW w:w="200" w:type="dxa"/>
            <w:vAlign w:val="bottom"/>
            <w:gridSpan w:val="2"/>
          </w:tcPr>
          <w:p>
            <w:pPr>
              <w:spacing w:after="0"/>
              <w:rPr>
                <w:sz w:val="20"/>
                <w:szCs w:val="20"/>
                <w:color w:val="auto"/>
              </w:rPr>
            </w:pPr>
            <w:r>
              <w:rPr>
                <w:rFonts w:ascii="Arial" w:cs="Arial" w:eastAsia="Arial" w:hAnsi="Arial"/>
                <w:sz w:val="18"/>
                <w:szCs w:val="18"/>
                <w:color w:val="0000FF"/>
              </w:rPr>
              <w:t>6</w:t>
            </w:r>
          </w:p>
        </w:tc>
        <w:tc>
          <w:tcPr>
            <w:tcW w:w="700" w:type="dxa"/>
            <w:vAlign w:val="bottom"/>
          </w:tcPr>
          <w:p>
            <w:pPr>
              <w:spacing w:after="0"/>
              <w:rPr>
                <w:sz w:val="21"/>
                <w:szCs w:val="21"/>
                <w:color w:val="auto"/>
              </w:rPr>
            </w:pPr>
          </w:p>
        </w:tc>
      </w:tr>
      <w:tr>
        <w:trPr>
          <w:trHeight w:val="250"/>
        </w:trPr>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60" w:type="dxa"/>
            <w:vAlign w:val="bottom"/>
            <w:tcBorders>
              <w:top w:val="single" w:sz="8" w:color="0000FF"/>
              <w:bottom w:val="single" w:sz="8" w:color="0000FF"/>
            </w:tcBorders>
            <w:gridSpan w:val="18"/>
          </w:tcPr>
          <w:p>
            <w:pPr>
              <w:spacing w:after="0"/>
              <w:rPr>
                <w:sz w:val="20"/>
                <w:szCs w:val="20"/>
                <w:color w:val="auto"/>
              </w:rPr>
            </w:pPr>
            <w:r>
              <w:rPr>
                <w:rFonts w:ascii="Arial" w:cs="Arial" w:eastAsia="Arial" w:hAnsi="Arial"/>
                <w:sz w:val="18"/>
                <w:szCs w:val="18"/>
                <w:color w:val="0000FF"/>
                <w:w w:val="99"/>
              </w:rPr>
              <w:t>Condensed Consolidated Statements of Stockholders’ Equity</w:t>
            </w:r>
          </w:p>
        </w:tc>
        <w:tc>
          <w:tcPr>
            <w:tcW w:w="1540" w:type="dxa"/>
            <w:vAlign w:val="bottom"/>
            <w:tcBorders>
              <w:top w:val="single" w:sz="8" w:color="0000FF"/>
            </w:tcBorders>
          </w:tcPr>
          <w:p>
            <w:pPr>
              <w:spacing w:after="0"/>
              <w:rPr>
                <w:sz w:val="21"/>
                <w:szCs w:val="21"/>
                <w:color w:val="auto"/>
              </w:rPr>
            </w:pPr>
          </w:p>
        </w:tc>
        <w:tc>
          <w:tcPr>
            <w:tcW w:w="2380" w:type="dxa"/>
            <w:vAlign w:val="bottom"/>
            <w:gridSpan w:val="2"/>
          </w:tcPr>
          <w:p>
            <w:pPr>
              <w:spacing w:after="0"/>
              <w:rPr>
                <w:sz w:val="21"/>
                <w:szCs w:val="21"/>
                <w:color w:val="auto"/>
              </w:rPr>
            </w:pPr>
          </w:p>
        </w:tc>
        <w:tc>
          <w:tcPr>
            <w:tcW w:w="10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79"/>
              </w:rPr>
              <w:t>7</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50"/>
        </w:trPr>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780" w:type="dxa"/>
            <w:vAlign w:val="bottom"/>
            <w:gridSpan w:val="21"/>
          </w:tcPr>
          <w:p>
            <w:pPr>
              <w:spacing w:after="0"/>
              <w:rPr>
                <w:sz w:val="20"/>
                <w:szCs w:val="20"/>
                <w:color w:val="auto"/>
              </w:rPr>
            </w:pPr>
            <w:r>
              <w:rPr>
                <w:rFonts w:ascii="Arial" w:cs="Arial" w:eastAsia="Arial" w:hAnsi="Arial"/>
                <w:sz w:val="18"/>
                <w:szCs w:val="18"/>
                <w:color w:val="0000FF"/>
              </w:rPr>
              <w:t>Condensed Consolidated Statements of Cash Flows</w:t>
            </w:r>
          </w:p>
        </w:tc>
        <w:tc>
          <w:tcPr>
            <w:tcW w:w="200" w:type="dxa"/>
            <w:vAlign w:val="bottom"/>
            <w:gridSpan w:val="2"/>
          </w:tcPr>
          <w:p>
            <w:pPr>
              <w:spacing w:after="0"/>
              <w:rPr>
                <w:sz w:val="20"/>
                <w:szCs w:val="20"/>
                <w:color w:val="auto"/>
              </w:rPr>
            </w:pPr>
            <w:r>
              <w:rPr>
                <w:rFonts w:ascii="Arial" w:cs="Arial" w:eastAsia="Arial" w:hAnsi="Arial"/>
                <w:sz w:val="18"/>
                <w:szCs w:val="18"/>
                <w:color w:val="0000FF"/>
              </w:rPr>
              <w:t>8</w:t>
            </w:r>
          </w:p>
        </w:tc>
        <w:tc>
          <w:tcPr>
            <w:tcW w:w="700" w:type="dxa"/>
            <w:vAlign w:val="bottom"/>
          </w:tcPr>
          <w:p>
            <w:pPr>
              <w:spacing w:after="0"/>
              <w:rPr>
                <w:sz w:val="21"/>
                <w:szCs w:val="21"/>
                <w:color w:val="auto"/>
              </w:rPr>
            </w:pPr>
          </w:p>
        </w:tc>
      </w:tr>
      <w:tr>
        <w:trPr>
          <w:trHeight w:val="20"/>
        </w:trPr>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780" w:type="dxa"/>
            <w:vAlign w:val="bottom"/>
            <w:gridSpan w:val="21"/>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200" w:type="dxa"/>
            <w:vAlign w:val="bottom"/>
            <w:gridSpan w:val="2"/>
          </w:tcPr>
          <w:p>
            <w:pPr>
              <w:spacing w:after="0"/>
              <w:rPr>
                <w:sz w:val="20"/>
                <w:szCs w:val="20"/>
                <w:color w:val="auto"/>
              </w:rPr>
            </w:pPr>
            <w:r>
              <w:rPr>
                <w:rFonts w:ascii="Arial" w:cs="Arial" w:eastAsia="Arial" w:hAnsi="Arial"/>
                <w:sz w:val="18"/>
                <w:szCs w:val="18"/>
                <w:color w:val="0000FF"/>
              </w:rPr>
              <w:t>9</w:t>
            </w:r>
          </w:p>
        </w:tc>
        <w:tc>
          <w:tcPr>
            <w:tcW w:w="700" w:type="dxa"/>
            <w:vAlign w:val="bottom"/>
          </w:tcPr>
          <w:p>
            <w:pPr>
              <w:spacing w:after="0"/>
              <w:rPr>
                <w:sz w:val="21"/>
                <w:szCs w:val="21"/>
                <w:color w:val="auto"/>
              </w:rPr>
            </w:pPr>
          </w:p>
        </w:tc>
      </w:tr>
      <w:tr>
        <w:trPr>
          <w:trHeight w:val="20"/>
        </w:trPr>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92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0000FF"/>
              </w:rPr>
              <w:t>Item 2.</w:t>
            </w:r>
          </w:p>
        </w:tc>
        <w:tc>
          <w:tcPr>
            <w:tcW w:w="200" w:type="dxa"/>
            <w:vAlign w:val="bottom"/>
          </w:tcPr>
          <w:p>
            <w:pPr>
              <w:spacing w:after="0"/>
              <w:rPr>
                <w:sz w:val="21"/>
                <w:szCs w:val="21"/>
                <w:color w:val="auto"/>
              </w:rPr>
            </w:pPr>
          </w:p>
        </w:tc>
        <w:tc>
          <w:tcPr>
            <w:tcW w:w="8780" w:type="dxa"/>
            <w:vAlign w:val="bottom"/>
            <w:gridSpan w:val="21"/>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900" w:type="dxa"/>
            <w:vAlign w:val="bottom"/>
            <w:gridSpan w:val="3"/>
          </w:tcPr>
          <w:p>
            <w:pPr>
              <w:spacing w:after="0"/>
              <w:rPr>
                <w:sz w:val="20"/>
                <w:szCs w:val="20"/>
                <w:color w:val="auto"/>
              </w:rPr>
            </w:pPr>
            <w:r>
              <w:rPr>
                <w:rFonts w:ascii="Arial" w:cs="Arial" w:eastAsia="Arial" w:hAnsi="Arial"/>
                <w:sz w:val="18"/>
                <w:szCs w:val="18"/>
                <w:color w:val="0000FF"/>
              </w:rPr>
              <w:t>21</w:t>
            </w:r>
          </w:p>
        </w:tc>
      </w:tr>
      <w:tr>
        <w:trPr>
          <w:trHeight w:val="20"/>
        </w:trPr>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160" w:type="dxa"/>
            <w:vAlign w:val="bottom"/>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20" w:type="dxa"/>
            <w:vAlign w:val="bottom"/>
            <w:gridSpan w:val="3"/>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780" w:type="dxa"/>
            <w:vAlign w:val="bottom"/>
            <w:gridSpan w:val="21"/>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900" w:type="dxa"/>
            <w:vAlign w:val="bottom"/>
            <w:gridSpan w:val="3"/>
          </w:tcPr>
          <w:p>
            <w:pPr>
              <w:spacing w:after="0"/>
              <w:rPr>
                <w:sz w:val="20"/>
                <w:szCs w:val="20"/>
                <w:color w:val="auto"/>
              </w:rPr>
            </w:pPr>
            <w:r>
              <w:rPr>
                <w:rFonts w:ascii="Arial" w:cs="Arial" w:eastAsia="Arial" w:hAnsi="Arial"/>
                <w:sz w:val="18"/>
                <w:szCs w:val="18"/>
                <w:color w:val="0000FF"/>
              </w:rPr>
              <w:t>34</w:t>
            </w:r>
          </w:p>
        </w:tc>
      </w:tr>
      <w:tr>
        <w:trPr>
          <w:trHeight w:val="20"/>
        </w:trPr>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160" w:type="dxa"/>
            <w:vAlign w:val="bottom"/>
            <w:gridSpan w:val="6"/>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4.</w:t>
            </w:r>
          </w:p>
        </w:tc>
        <w:tc>
          <w:tcPr>
            <w:tcW w:w="320" w:type="dxa"/>
            <w:vAlign w:val="bottom"/>
            <w:gridSpan w:val="2"/>
          </w:tcPr>
          <w:p>
            <w:pPr>
              <w:spacing w:after="0"/>
              <w:rPr>
                <w:sz w:val="21"/>
                <w:szCs w:val="21"/>
                <w:color w:val="auto"/>
              </w:rPr>
            </w:pPr>
          </w:p>
        </w:tc>
        <w:tc>
          <w:tcPr>
            <w:tcW w:w="8780" w:type="dxa"/>
            <w:vAlign w:val="bottom"/>
            <w:gridSpan w:val="21"/>
          </w:tcPr>
          <w:p>
            <w:pPr>
              <w:spacing w:after="0"/>
              <w:rPr>
                <w:sz w:val="20"/>
                <w:szCs w:val="20"/>
                <w:color w:val="auto"/>
              </w:rPr>
            </w:pPr>
            <w:r>
              <w:rPr>
                <w:rFonts w:ascii="Arial" w:cs="Arial" w:eastAsia="Arial" w:hAnsi="Arial"/>
                <w:sz w:val="18"/>
                <w:szCs w:val="18"/>
                <w:color w:val="0000FF"/>
              </w:rPr>
              <w:t>Controls and Procedures</w:t>
            </w:r>
          </w:p>
        </w:tc>
        <w:tc>
          <w:tcPr>
            <w:tcW w:w="900" w:type="dxa"/>
            <w:vAlign w:val="bottom"/>
            <w:gridSpan w:val="3"/>
          </w:tcPr>
          <w:p>
            <w:pPr>
              <w:spacing w:after="0"/>
              <w:rPr>
                <w:sz w:val="20"/>
                <w:szCs w:val="20"/>
                <w:color w:val="auto"/>
              </w:rPr>
            </w:pPr>
            <w:r>
              <w:rPr>
                <w:rFonts w:ascii="Arial" w:cs="Arial" w:eastAsia="Arial" w:hAnsi="Arial"/>
                <w:sz w:val="18"/>
                <w:szCs w:val="18"/>
                <w:color w:val="0000FF"/>
              </w:rPr>
              <w:t>35</w:t>
            </w:r>
          </w:p>
        </w:tc>
      </w:tr>
      <w:tr>
        <w:trPr>
          <w:trHeight w:val="20"/>
        </w:trPr>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274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8"/>
              </w:rPr>
              <w:t>PART II – OTHER INFORMATION</w:t>
            </w:r>
          </w:p>
        </w:tc>
        <w:tc>
          <w:tcPr>
            <w:tcW w:w="7340" w:type="dxa"/>
            <w:vAlign w:val="bottom"/>
            <w:gridSpan w:val="15"/>
          </w:tcPr>
          <w:p>
            <w:pPr>
              <w:spacing w:after="0"/>
              <w:rPr>
                <w:sz w:val="21"/>
                <w:szCs w:val="21"/>
                <w:color w:val="auto"/>
              </w:rPr>
            </w:pPr>
          </w:p>
        </w:tc>
        <w:tc>
          <w:tcPr>
            <w:tcW w:w="20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9"/>
              </w:rPr>
              <w:t>35</w:t>
            </w:r>
          </w:p>
        </w:tc>
        <w:tc>
          <w:tcPr>
            <w:tcW w:w="700" w:type="dxa"/>
            <w:vAlign w:val="bottom"/>
          </w:tcPr>
          <w:p>
            <w:pPr>
              <w:spacing w:after="0"/>
              <w:rPr>
                <w:sz w:val="21"/>
                <w:szCs w:val="21"/>
                <w:color w:val="auto"/>
              </w:rPr>
            </w:pPr>
          </w:p>
        </w:tc>
      </w:tr>
      <w:tr>
        <w:trPr>
          <w:trHeight w:val="250"/>
        </w:trPr>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0000FF"/>
              </w:rPr>
              <w:t>Item 1.</w:t>
            </w:r>
          </w:p>
        </w:tc>
        <w:tc>
          <w:tcPr>
            <w:tcW w:w="200" w:type="dxa"/>
            <w:vAlign w:val="bottom"/>
          </w:tcPr>
          <w:p>
            <w:pPr>
              <w:spacing w:after="0"/>
              <w:rPr>
                <w:sz w:val="21"/>
                <w:szCs w:val="21"/>
                <w:color w:val="auto"/>
              </w:rPr>
            </w:pPr>
          </w:p>
        </w:tc>
        <w:tc>
          <w:tcPr>
            <w:tcW w:w="8780" w:type="dxa"/>
            <w:vAlign w:val="bottom"/>
            <w:gridSpan w:val="21"/>
          </w:tcPr>
          <w:p>
            <w:pPr>
              <w:spacing w:after="0"/>
              <w:rPr>
                <w:sz w:val="20"/>
                <w:szCs w:val="20"/>
                <w:color w:val="auto"/>
              </w:rPr>
            </w:pPr>
            <w:r>
              <w:rPr>
                <w:rFonts w:ascii="Arial" w:cs="Arial" w:eastAsia="Arial" w:hAnsi="Arial"/>
                <w:sz w:val="18"/>
                <w:szCs w:val="18"/>
                <w:color w:val="0000FF"/>
              </w:rPr>
              <w:t>Legal Proceedings</w:t>
            </w:r>
          </w:p>
        </w:tc>
        <w:tc>
          <w:tcPr>
            <w:tcW w:w="900" w:type="dxa"/>
            <w:vAlign w:val="bottom"/>
            <w:gridSpan w:val="3"/>
          </w:tcPr>
          <w:p>
            <w:pPr>
              <w:spacing w:after="0"/>
              <w:rPr>
                <w:sz w:val="20"/>
                <w:szCs w:val="20"/>
                <w:color w:val="auto"/>
              </w:rPr>
            </w:pPr>
            <w:r>
              <w:rPr>
                <w:rFonts w:ascii="Arial" w:cs="Arial" w:eastAsia="Arial" w:hAnsi="Arial"/>
                <w:sz w:val="18"/>
                <w:szCs w:val="18"/>
                <w:color w:val="0000FF"/>
              </w:rPr>
              <w:t>36</w:t>
            </w:r>
          </w:p>
        </w:tc>
      </w:tr>
      <w:tr>
        <w:trPr>
          <w:trHeight w:val="20"/>
        </w:trPr>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0000FF"/>
                <w:w w:val="98"/>
              </w:rPr>
              <w:t>Item 1A.</w:t>
            </w:r>
          </w:p>
        </w:tc>
        <w:tc>
          <w:tcPr>
            <w:tcW w:w="200" w:type="dxa"/>
            <w:vAlign w:val="bottom"/>
          </w:tcPr>
          <w:p>
            <w:pPr>
              <w:spacing w:after="0"/>
              <w:rPr>
                <w:sz w:val="21"/>
                <w:szCs w:val="21"/>
                <w:color w:val="auto"/>
              </w:rPr>
            </w:pPr>
          </w:p>
        </w:tc>
        <w:tc>
          <w:tcPr>
            <w:tcW w:w="8780" w:type="dxa"/>
            <w:vAlign w:val="bottom"/>
            <w:gridSpan w:val="21"/>
          </w:tcPr>
          <w:p>
            <w:pPr>
              <w:spacing w:after="0"/>
              <w:rPr>
                <w:sz w:val="20"/>
                <w:szCs w:val="20"/>
                <w:color w:val="auto"/>
              </w:rPr>
            </w:pPr>
            <w:r>
              <w:rPr>
                <w:rFonts w:ascii="Arial" w:cs="Arial" w:eastAsia="Arial" w:hAnsi="Arial"/>
                <w:sz w:val="18"/>
                <w:szCs w:val="18"/>
                <w:color w:val="0000FF"/>
              </w:rPr>
              <w:t>Risk Factors</w:t>
            </w:r>
          </w:p>
        </w:tc>
        <w:tc>
          <w:tcPr>
            <w:tcW w:w="900" w:type="dxa"/>
            <w:vAlign w:val="bottom"/>
            <w:gridSpan w:val="3"/>
          </w:tcPr>
          <w:p>
            <w:pPr>
              <w:spacing w:after="0"/>
              <w:rPr>
                <w:sz w:val="20"/>
                <w:szCs w:val="20"/>
                <w:color w:val="auto"/>
              </w:rPr>
            </w:pPr>
            <w:r>
              <w:rPr>
                <w:rFonts w:ascii="Arial" w:cs="Arial" w:eastAsia="Arial" w:hAnsi="Arial"/>
                <w:sz w:val="18"/>
                <w:szCs w:val="18"/>
                <w:color w:val="0000FF"/>
              </w:rPr>
              <w:t>36</w:t>
            </w:r>
          </w:p>
        </w:tc>
      </w:tr>
      <w:tr>
        <w:trPr>
          <w:trHeight w:val="20"/>
        </w:trPr>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0000FF"/>
              </w:rPr>
              <w:t>Item 2.</w:t>
            </w:r>
          </w:p>
        </w:tc>
        <w:tc>
          <w:tcPr>
            <w:tcW w:w="200" w:type="dxa"/>
            <w:vAlign w:val="bottom"/>
          </w:tcPr>
          <w:p>
            <w:pPr>
              <w:spacing w:after="0"/>
              <w:rPr>
                <w:sz w:val="21"/>
                <w:szCs w:val="21"/>
                <w:color w:val="auto"/>
              </w:rPr>
            </w:pPr>
          </w:p>
        </w:tc>
        <w:tc>
          <w:tcPr>
            <w:tcW w:w="8780" w:type="dxa"/>
            <w:vAlign w:val="bottom"/>
            <w:gridSpan w:val="21"/>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900" w:type="dxa"/>
            <w:vAlign w:val="bottom"/>
            <w:gridSpan w:val="3"/>
          </w:tcPr>
          <w:p>
            <w:pPr>
              <w:spacing w:after="0"/>
              <w:rPr>
                <w:sz w:val="20"/>
                <w:szCs w:val="20"/>
                <w:color w:val="auto"/>
              </w:rPr>
            </w:pPr>
            <w:r>
              <w:rPr>
                <w:rFonts w:ascii="Arial" w:cs="Arial" w:eastAsia="Arial" w:hAnsi="Arial"/>
                <w:sz w:val="18"/>
                <w:szCs w:val="18"/>
                <w:color w:val="0000FF"/>
              </w:rPr>
              <w:t>36</w:t>
            </w:r>
          </w:p>
        </w:tc>
      </w:tr>
      <w:tr>
        <w:trPr>
          <w:trHeight w:val="20"/>
        </w:trPr>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300" w:type="dxa"/>
            <w:vAlign w:val="bottom"/>
            <w:gridSpan w:val="7"/>
            <w:shd w:val="clear" w:color="auto" w:fill="0000FF"/>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gridSpan w:val="3"/>
          </w:tcPr>
          <w:p>
            <w:pPr>
              <w:spacing w:after="0"/>
              <w:rPr>
                <w:sz w:val="20"/>
                <w:szCs w:val="20"/>
                <w:color w:val="auto"/>
              </w:rPr>
            </w:pPr>
            <w:r>
              <w:rPr>
                <w:rFonts w:ascii="Arial" w:cs="Arial" w:eastAsia="Arial" w:hAnsi="Arial"/>
                <w:sz w:val="18"/>
                <w:szCs w:val="18"/>
                <w:color w:val="0000FF"/>
              </w:rPr>
              <w:t>Item 3.</w:t>
            </w:r>
          </w:p>
        </w:tc>
        <w:tc>
          <w:tcPr>
            <w:tcW w:w="8780" w:type="dxa"/>
            <w:vAlign w:val="bottom"/>
            <w:gridSpan w:val="21"/>
          </w:tcPr>
          <w:p>
            <w:pPr>
              <w:spacing w:after="0"/>
              <w:rPr>
                <w:sz w:val="20"/>
                <w:szCs w:val="20"/>
                <w:color w:val="auto"/>
              </w:rPr>
            </w:pPr>
            <w:r>
              <w:rPr>
                <w:rFonts w:ascii="Arial" w:cs="Arial" w:eastAsia="Arial" w:hAnsi="Arial"/>
                <w:sz w:val="18"/>
                <w:szCs w:val="18"/>
                <w:color w:val="0000FF"/>
              </w:rPr>
              <w:t>Defaults Upon Senior Securities</w:t>
            </w:r>
          </w:p>
        </w:tc>
        <w:tc>
          <w:tcPr>
            <w:tcW w:w="900" w:type="dxa"/>
            <w:vAlign w:val="bottom"/>
            <w:gridSpan w:val="3"/>
          </w:tcPr>
          <w:p>
            <w:pPr>
              <w:spacing w:after="0"/>
              <w:rPr>
                <w:sz w:val="20"/>
                <w:szCs w:val="20"/>
                <w:color w:val="auto"/>
              </w:rPr>
            </w:pPr>
            <w:r>
              <w:rPr>
                <w:rFonts w:ascii="Arial" w:cs="Arial" w:eastAsia="Arial" w:hAnsi="Arial"/>
                <w:sz w:val="18"/>
                <w:szCs w:val="18"/>
                <w:color w:val="0000FF"/>
              </w:rPr>
              <w:t>36</w:t>
            </w:r>
          </w:p>
        </w:tc>
      </w:tr>
      <w:tr>
        <w:trPr>
          <w:trHeight w:val="20"/>
        </w:trPr>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6240" w:type="dxa"/>
            <w:vAlign w:val="bottom"/>
            <w:gridSpan w:val="11"/>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4.</w:t>
            </w:r>
          </w:p>
        </w:tc>
        <w:tc>
          <w:tcPr>
            <w:tcW w:w="320" w:type="dxa"/>
            <w:vAlign w:val="bottom"/>
            <w:gridSpan w:val="2"/>
          </w:tcPr>
          <w:p>
            <w:pPr>
              <w:spacing w:after="0"/>
              <w:rPr>
                <w:sz w:val="21"/>
                <w:szCs w:val="21"/>
                <w:color w:val="auto"/>
              </w:rPr>
            </w:pPr>
          </w:p>
        </w:tc>
        <w:tc>
          <w:tcPr>
            <w:tcW w:w="8780" w:type="dxa"/>
            <w:vAlign w:val="bottom"/>
            <w:gridSpan w:val="21"/>
          </w:tcPr>
          <w:p>
            <w:pPr>
              <w:spacing w:after="0"/>
              <w:rPr>
                <w:sz w:val="20"/>
                <w:szCs w:val="20"/>
                <w:color w:val="auto"/>
              </w:rPr>
            </w:pPr>
            <w:r>
              <w:rPr>
                <w:rFonts w:ascii="Arial" w:cs="Arial" w:eastAsia="Arial" w:hAnsi="Arial"/>
                <w:sz w:val="18"/>
                <w:szCs w:val="18"/>
                <w:color w:val="0000FF"/>
              </w:rPr>
              <w:t>Mine Safety Disclosures</w:t>
            </w:r>
          </w:p>
        </w:tc>
        <w:tc>
          <w:tcPr>
            <w:tcW w:w="900" w:type="dxa"/>
            <w:vAlign w:val="bottom"/>
            <w:gridSpan w:val="3"/>
          </w:tcPr>
          <w:p>
            <w:pPr>
              <w:spacing w:after="0"/>
              <w:rPr>
                <w:sz w:val="20"/>
                <w:szCs w:val="20"/>
                <w:color w:val="auto"/>
              </w:rPr>
            </w:pPr>
            <w:r>
              <w:rPr>
                <w:rFonts w:ascii="Arial" w:cs="Arial" w:eastAsia="Arial" w:hAnsi="Arial"/>
                <w:sz w:val="18"/>
                <w:szCs w:val="18"/>
                <w:color w:val="0000FF"/>
              </w:rPr>
              <w:t>36</w:t>
            </w:r>
          </w:p>
        </w:tc>
      </w:tr>
      <w:tr>
        <w:trPr>
          <w:trHeight w:val="20"/>
        </w:trPr>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6860" w:type="dxa"/>
            <w:vAlign w:val="bottom"/>
            <w:gridSpan w:val="1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5.</w:t>
            </w:r>
          </w:p>
        </w:tc>
        <w:tc>
          <w:tcPr>
            <w:tcW w:w="320" w:type="dxa"/>
            <w:vAlign w:val="bottom"/>
            <w:gridSpan w:val="2"/>
          </w:tcPr>
          <w:p>
            <w:pPr>
              <w:spacing w:after="0"/>
              <w:rPr>
                <w:sz w:val="21"/>
                <w:szCs w:val="21"/>
                <w:color w:val="auto"/>
              </w:rPr>
            </w:pPr>
          </w:p>
        </w:tc>
        <w:tc>
          <w:tcPr>
            <w:tcW w:w="8780" w:type="dxa"/>
            <w:vAlign w:val="bottom"/>
            <w:gridSpan w:val="21"/>
          </w:tcPr>
          <w:p>
            <w:pPr>
              <w:spacing w:after="0"/>
              <w:rPr>
                <w:sz w:val="20"/>
                <w:szCs w:val="20"/>
                <w:color w:val="auto"/>
              </w:rPr>
            </w:pPr>
            <w:r>
              <w:rPr>
                <w:rFonts w:ascii="Arial" w:cs="Arial" w:eastAsia="Arial" w:hAnsi="Arial"/>
                <w:sz w:val="18"/>
                <w:szCs w:val="18"/>
                <w:color w:val="0000FF"/>
              </w:rPr>
              <w:t>Other Information</w:t>
            </w:r>
          </w:p>
        </w:tc>
        <w:tc>
          <w:tcPr>
            <w:tcW w:w="900" w:type="dxa"/>
            <w:vAlign w:val="bottom"/>
            <w:gridSpan w:val="3"/>
          </w:tcPr>
          <w:p>
            <w:pPr>
              <w:spacing w:after="0"/>
              <w:rPr>
                <w:sz w:val="20"/>
                <w:szCs w:val="20"/>
                <w:color w:val="auto"/>
              </w:rPr>
            </w:pPr>
            <w:r>
              <w:rPr>
                <w:rFonts w:ascii="Arial" w:cs="Arial" w:eastAsia="Arial" w:hAnsi="Arial"/>
                <w:sz w:val="18"/>
                <w:szCs w:val="18"/>
                <w:color w:val="0000FF"/>
              </w:rPr>
              <w:t>36</w:t>
            </w:r>
          </w:p>
        </w:tc>
      </w:tr>
      <w:tr>
        <w:trPr>
          <w:trHeight w:val="20"/>
        </w:trPr>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380" w:type="dxa"/>
            <w:vAlign w:val="bottom"/>
            <w:gridSpan w:val="16"/>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6.</w:t>
            </w:r>
          </w:p>
        </w:tc>
        <w:tc>
          <w:tcPr>
            <w:tcW w:w="320" w:type="dxa"/>
            <w:vAlign w:val="bottom"/>
            <w:gridSpan w:val="2"/>
          </w:tcPr>
          <w:p>
            <w:pPr>
              <w:spacing w:after="0"/>
              <w:rPr>
                <w:sz w:val="21"/>
                <w:szCs w:val="21"/>
                <w:color w:val="auto"/>
              </w:rPr>
            </w:pPr>
          </w:p>
        </w:tc>
        <w:tc>
          <w:tcPr>
            <w:tcW w:w="8780" w:type="dxa"/>
            <w:vAlign w:val="bottom"/>
            <w:gridSpan w:val="21"/>
          </w:tcPr>
          <w:p>
            <w:pPr>
              <w:spacing w:after="0"/>
              <w:rPr>
                <w:sz w:val="20"/>
                <w:szCs w:val="20"/>
                <w:color w:val="auto"/>
              </w:rPr>
            </w:pPr>
            <w:r>
              <w:rPr>
                <w:rFonts w:ascii="Arial" w:cs="Arial" w:eastAsia="Arial" w:hAnsi="Arial"/>
                <w:sz w:val="18"/>
                <w:szCs w:val="18"/>
                <w:color w:val="0000FF"/>
              </w:rPr>
              <w:t>Exhibits</w:t>
            </w:r>
          </w:p>
        </w:tc>
        <w:tc>
          <w:tcPr>
            <w:tcW w:w="900" w:type="dxa"/>
            <w:vAlign w:val="bottom"/>
            <w:gridSpan w:val="3"/>
          </w:tcPr>
          <w:p>
            <w:pPr>
              <w:spacing w:after="0"/>
              <w:rPr>
                <w:sz w:val="20"/>
                <w:szCs w:val="20"/>
                <w:color w:val="auto"/>
              </w:rPr>
            </w:pPr>
            <w:r>
              <w:rPr>
                <w:rFonts w:ascii="Arial" w:cs="Arial" w:eastAsia="Arial" w:hAnsi="Arial"/>
                <w:sz w:val="18"/>
                <w:szCs w:val="18"/>
                <w:color w:val="0000FF"/>
              </w:rPr>
              <w:t>37</w:t>
            </w:r>
          </w:p>
        </w:tc>
      </w:tr>
      <w:tr>
        <w:trPr>
          <w:trHeight w:val="20"/>
        </w:trPr>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920" w:type="dxa"/>
            <w:vAlign w:val="bottom"/>
            <w:gridSpan w:val="18"/>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780" w:type="dxa"/>
            <w:vAlign w:val="bottom"/>
            <w:gridSpan w:val="21"/>
          </w:tcPr>
          <w:p>
            <w:pPr>
              <w:spacing w:after="0"/>
              <w:rPr>
                <w:sz w:val="20"/>
                <w:szCs w:val="20"/>
                <w:color w:val="auto"/>
              </w:rPr>
            </w:pPr>
            <w:r>
              <w:rPr>
                <w:rFonts w:ascii="Arial" w:cs="Arial" w:eastAsia="Arial" w:hAnsi="Arial"/>
                <w:sz w:val="18"/>
                <w:szCs w:val="18"/>
                <w:color w:val="0000FF"/>
              </w:rPr>
              <w:t>Signatures</w:t>
            </w:r>
          </w:p>
        </w:tc>
        <w:tc>
          <w:tcPr>
            <w:tcW w:w="900" w:type="dxa"/>
            <w:vAlign w:val="bottom"/>
            <w:gridSpan w:val="3"/>
          </w:tcPr>
          <w:p>
            <w:pPr>
              <w:spacing w:after="0"/>
              <w:rPr>
                <w:sz w:val="20"/>
                <w:szCs w:val="20"/>
                <w:color w:val="auto"/>
              </w:rPr>
            </w:pPr>
            <w:r>
              <w:rPr>
                <w:rFonts w:ascii="Arial" w:cs="Arial" w:eastAsia="Arial" w:hAnsi="Arial"/>
                <w:sz w:val="18"/>
                <w:szCs w:val="18"/>
                <w:color w:val="0000FF"/>
              </w:rPr>
              <w:t>38</w:t>
            </w:r>
          </w:p>
        </w:tc>
      </w:tr>
      <w:tr>
        <w:trPr>
          <w:trHeight w:val="1134"/>
        </w:trPr>
        <w:tc>
          <w:tcPr>
            <w:tcW w:w="2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9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Quarterly Report on Form 10-Q (this “Form 10-Q”) contains “forward-looking statements” within the meaning of Section 27A of the Securities Act of 1933, as amended (the “Securities Act”), and Section 21E of the Securities Exchange Act of 1934, as amended (the “Exchange Act”), which are subject to the “safe harbor” created by those sections. All statements, other than statements of historical facts included in this Form 10-Q, including statements concerning our plans, objectives, goals, beliefs, business strategies, future events, business conditions, results of operations, financial position, business outlook, business trends and other information, may be forward-looking statements.</w:t>
      </w:r>
    </w:p>
    <w:p>
      <w:pPr>
        <w:spacing w:after="0" w:line="7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Words such as “believes,” “expects,” “may,” “will,” “should,” “could,” “seeks,” “intends,” “plans,” “estimates,” “anticipates,” or variations of such words or similar expressions are intended to identify forward-looking statements. The forward-looking statements are not historical facts or guarantees of future performance and are based upon our current expectations, beliefs, estimates and projections, and various assumptions, many of which, by their nature, are inherently uncertain and beyond our control. Our expectations, beliefs, and projections are expressed in good faith and we believe there is a reasonable basis for them. However, there can be no assurance that management’s expectations, beliefs and projections will result or be achieved and actual results may vary materially from what is expressed in or indicated by the forward-looking statements.</w:t>
      </w:r>
    </w:p>
    <w:p>
      <w:pPr>
        <w:spacing w:after="0" w:line="75"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There are a number of risks, uncertainties and other important factors, many of which are beyond our control, that could cause our actual results to differ materially from the forward-looking statements contained in this Form 10-Q. Such risks, uncertainties and other important factors that could cause actual results to differ include, among others, the risks, uncertainties and factors set forth in Part I, Item 1A - “Risk Factors” in the Company’s Annual Report on Form 10-K for the year ended December 28, 2024 (the “2024 Annual Report on Form 10-K”), as filed with the Securities and Exchange Commission (the “SEC”), as such risk factors may be updated from time to time in our periodic filings with the SEC, which are accessible on the SEC’s website at www.sec.gov, and also include, but are not limited to, market volatility, an overall decline in the health of the economy, global macroeconomic conditions and other factors that may affect consumer spending or behavior; our ability to successfully implement our transformation initiatives, or anticipate the impact of important strategic initiatives; our ability to recruit and retain vision care professionals for in-store roles or to provide remote care offerings; our ability to compete in the highly competitive optical retail industry; the success of our marketing, advertising and promotional efforts; our ability to maintain, protect, and enhance the value of our owned brands; our ability to open and operate new stores (including as a result of store conversions) in a timely and cost-effective manner or to successfully enter new markets; our ability to increase sales in existing stores and to successfully reinvest in existing stores; our ability to successfully implement our pricing strategies; changes in the cost of inputs, and factors such as wage rate increases, inflation, cost increases, increases in the price of raw materials and energy prices significant capital requirements to fund our expanding business including updating our Enterprise Resource Planning (“ERP”) and Customer Relationship Management (“CRM”), and other technological, systems and capabilities; the potential for our growth strategy to strain our existing resources and cause the performance of our existing stores to suffer; risks associated with leasing substantial amounts of space, including future increases in occupancy costs; our ability to successfully manage the distinct risks faced by our e-commerce and omni-channel business; our ability to retain our existing senior management team or attract qualified new personnel; seasonal fluctuations in our operating results and inventory levels fluctuate; the potential impacts of catastrophic events, including changing climate and weather patterns leading to severe weather and natural disasters; the potential for certain technological advances, greater availability of, or increased consumer preferences for, vision correction alternatives to prescription eyeglasses or contact lenses, or future drug development for the correction of vision-related problems to reduce the demand for our products; our ability to successfully manage our inventory balances and inventory shrinkage; the potential for the loss of, or disruption in the operations of, one or more of our distribution centers or optical laboratories, which would impact our ability to process and fulfill customer orders and deliver our products in a timely manner, or at all, or result in quality issues; the performance of our Host brands and our ability to maintain or extend our operating relationships with our Host partners impacts resulting from the termination of our partnership with Walmart; our investments in technological innovators in the optical retail industry, including artificial intelligence; sustainability issues, including those related to climate change; our ability to develop, maintain and extend relationships with managed vision care companies, vision insurance providers and other third-party payors; risks associated with vendors from whom our products are sourced and our dependence on a limited number of suppliers; the impact of any significant failure, inadequacy, interruption or security breach affecting our information technology systems, or those of our vendors; our reliance on third-party coverage and reimbursement, including government programs, for an increasing portion of our revenues; our ability to comply with state, local and federal vision care and healthcare laws and regulations, as well as managed vision care laws and regulations; liability stemming from rapidly changing and increasingly stringent laws, regulations, contractual obligations, and industry standards relating to privacy, data security and data protection; product liability, product recall or personal injury issues; our ability to comply with laws, regulations and enforcement activities or changes in statutory, regulatory, accounting and other legal requirements; the outcome of legal proceedings relating to our business operations; the protection and validity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 w:name="page4"/>
    <w:bookmarkEnd w:id="3"/>
    <w:p>
      <w:pPr>
        <w:ind w:right="480"/>
        <w:spacing w:after="0" w:line="287" w:lineRule="auto"/>
        <w:rPr>
          <w:sz w:val="20"/>
          <w:szCs w:val="20"/>
          <w:color w:val="auto"/>
        </w:rPr>
      </w:pPr>
      <w:r>
        <w:rPr>
          <w:rFonts w:ascii="Arial" w:cs="Arial" w:eastAsia="Arial" w:hAnsi="Arial"/>
          <w:sz w:val="18"/>
          <w:szCs w:val="18"/>
          <w:color w:val="auto"/>
        </w:rPr>
        <w:t>of our intellectual property; risks related to our indebtedness; changes in interest rates; restrictions in our credit agreement that limit our flexibility in operating our business; and risks related to owning our common stock.</w:t>
      </w:r>
    </w:p>
    <w:p>
      <w:pPr>
        <w:spacing w:after="0" w:line="4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caution you that the risks, uncertainties and other factors referenced above may not contain all of the risks, uncertainties and other factors that are important to you. In addition, we cannot assure you that we will realize the results, benefits or developments that we expect or anticipate or, even if substantially realized, that they will result in the consequences or affect us or our business in the way expected. There can be no assurance that (i) 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All forward-looking statements in this Form 10-Q apply only as of the date of this Form 10-Q or as of the date they were made and, except as required by applicable law, we undertake no obligation to publicly update or revise any forward-looking statement, whether as a result of new information, future developments or otherwise.</w:t>
      </w:r>
    </w:p>
    <w:p>
      <w:pPr>
        <w:spacing w:after="0" w:line="7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All references to “we,” “us,” “our,” or the “Company” in this Form 10-Q mean National Vision Holdings, Inc. and its subsidiaries, unless the context otherwise requires. References to “eye care practitioners” in this Form 10-Q mean optometrists and ophthalmologists and references to “vision care professionals” mean optometrists (including optometrists employed by us or by professional corporations owned by eye care practitioners with which we have arrangements) and opticians.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Disclosure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use our website www.nationalvision.com as a channel of distribution of Company information. Financial and other important information regarding the Company is routinely accessible through and posted on our website. Accordingly, investors should monitor our website, in addition to following our press releases, SEC filings and public conference calls and webcasts. In addition, you may automatically receive e-mail alerts and other information about National Vision Holdings, Inc. when you enroll your e-mail address by visiting the “Email Alerts” page of the Investor Resources section of our website at www.nationalvision.com/investors. The contents of our website are not, however, a part of this Form 10-Q.</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30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8300" w:type="dxa"/>
            <w:vAlign w:val="bottom"/>
            <w:gridSpan w:val="2"/>
          </w:tcPr>
          <w:p>
            <w:pPr>
              <w:spacing w:after="0"/>
              <w:rPr>
                <w:sz w:val="20"/>
                <w:szCs w:val="20"/>
                <w:color w:val="auto"/>
              </w:rPr>
            </w:pPr>
            <w:r>
              <w:rPr>
                <w:rFonts w:ascii="Arial" w:cs="Arial" w:eastAsia="Arial" w:hAnsi="Arial"/>
                <w:sz w:val="18"/>
                <w:szCs w:val="18"/>
                <w:b w:val="1"/>
                <w:bCs w:val="1"/>
                <w:color w:val="auto"/>
              </w:rPr>
              <w:t>PART I – FINANCIAL INFORMATION</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0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 (Unaudited).</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6900" w:type="dxa"/>
            <w:vAlign w:val="bottom"/>
          </w:tcPr>
          <w:p>
            <w:pPr>
              <w:jc w:val="center"/>
              <w:ind w:left="1470"/>
              <w:spacing w:after="0"/>
              <w:rPr>
                <w:sz w:val="20"/>
                <w:szCs w:val="20"/>
                <w:color w:val="auto"/>
              </w:rPr>
            </w:pPr>
            <w:r>
              <w:rPr>
                <w:rFonts w:ascii="Arial" w:cs="Arial" w:eastAsia="Arial" w:hAnsi="Arial"/>
                <w:sz w:val="18"/>
                <w:szCs w:val="18"/>
                <w:b w:val="1"/>
                <w:bCs w:val="1"/>
                <w:color w:val="auto"/>
                <w:w w:val="99"/>
              </w:rPr>
              <w:t>National Vision Holdings, Inc. and Subsidiaries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400" w:type="dxa"/>
            <w:vAlign w:val="bottom"/>
          </w:tcPr>
          <w:p>
            <w:pPr>
              <w:spacing w:after="0"/>
              <w:rPr>
                <w:sz w:val="21"/>
                <w:szCs w:val="21"/>
                <w:color w:val="auto"/>
              </w:rPr>
            </w:pPr>
          </w:p>
        </w:tc>
        <w:tc>
          <w:tcPr>
            <w:tcW w:w="6900" w:type="dxa"/>
            <w:vAlign w:val="bottom"/>
          </w:tcPr>
          <w:p>
            <w:pPr>
              <w:jc w:val="center"/>
              <w:ind w:left="1450"/>
              <w:spacing w:after="0"/>
              <w:rPr>
                <w:sz w:val="20"/>
                <w:szCs w:val="20"/>
                <w:color w:val="auto"/>
              </w:rPr>
            </w:pPr>
            <w:r>
              <w:rPr>
                <w:rFonts w:ascii="Arial" w:cs="Arial" w:eastAsia="Arial" w:hAnsi="Arial"/>
                <w:sz w:val="18"/>
                <w:szCs w:val="18"/>
                <w:b w:val="1"/>
                <w:bCs w:val="1"/>
                <w:color w:val="auto"/>
                <w:w w:val="99"/>
              </w:rPr>
              <w:t>Condensed Consolidated Balance Sheets (Unaudited)</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3"/>
        </w:trPr>
        <w:tc>
          <w:tcPr>
            <w:tcW w:w="140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rPr>
              <w:t>As of</w:t>
            </w:r>
          </w:p>
        </w:tc>
        <w:tc>
          <w:tcPr>
            <w:tcW w:w="140" w:type="dxa"/>
            <w:vAlign w:val="bottom"/>
          </w:tcPr>
          <w:p>
            <w:pPr>
              <w:spacing w:after="0"/>
              <w:rPr>
                <w:sz w:val="24"/>
                <w:szCs w:val="24"/>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color w:val="auto"/>
                <w:w w:val="97"/>
              </w:rPr>
              <w:t>As of</w:t>
            </w:r>
          </w:p>
        </w:tc>
        <w:tc>
          <w:tcPr>
            <w:tcW w:w="0" w:type="dxa"/>
            <w:vAlign w:val="bottom"/>
          </w:tcPr>
          <w:p>
            <w:pPr>
              <w:spacing w:after="0"/>
              <w:rPr>
                <w:sz w:val="1"/>
                <w:szCs w:val="1"/>
                <w:color w:val="auto"/>
              </w:rPr>
            </w:pPr>
          </w:p>
        </w:tc>
      </w:tr>
      <w:tr>
        <w:trPr>
          <w:trHeight w:val="176"/>
        </w:trPr>
        <w:tc>
          <w:tcPr>
            <w:tcW w:w="830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In thousands, except par value</w:t>
            </w:r>
          </w:p>
        </w:tc>
        <w:tc>
          <w:tcPr>
            <w:tcW w:w="12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center"/>
              <w:ind w:right="50"/>
              <w:spacing w:after="0" w:line="176" w:lineRule="exact"/>
              <w:rPr>
                <w:sz w:val="20"/>
                <w:szCs w:val="20"/>
                <w:color w:val="auto"/>
              </w:rPr>
            </w:pPr>
            <w:r>
              <w:rPr>
                <w:rFonts w:ascii="Arial" w:cs="Arial" w:eastAsia="Arial" w:hAnsi="Arial"/>
                <w:sz w:val="18"/>
                <w:szCs w:val="18"/>
                <w:color w:val="auto"/>
                <w:w w:val="99"/>
              </w:rPr>
              <w:t>December 28,</w:t>
            </w:r>
          </w:p>
        </w:tc>
        <w:tc>
          <w:tcPr>
            <w:tcW w:w="0" w:type="dxa"/>
            <w:vAlign w:val="bottom"/>
          </w:tcPr>
          <w:p>
            <w:pPr>
              <w:spacing w:after="0"/>
              <w:rPr>
                <w:sz w:val="1"/>
                <w:szCs w:val="1"/>
                <w:color w:val="auto"/>
              </w:rPr>
            </w:pPr>
          </w:p>
        </w:tc>
      </w:tr>
      <w:tr>
        <w:trPr>
          <w:trHeight w:val="243"/>
        </w:trPr>
        <w:tc>
          <w:tcPr>
            <w:tcW w:w="83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June 28, 2025</w:t>
            </w:r>
          </w:p>
        </w:tc>
        <w:tc>
          <w:tcPr>
            <w:tcW w:w="140" w:type="dxa"/>
            <w:vAlign w:val="bottom"/>
          </w:tcPr>
          <w:p>
            <w:pPr>
              <w:spacing w:after="0"/>
              <w:rPr>
                <w:sz w:val="21"/>
                <w:szCs w:val="21"/>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color w:val="auto"/>
                <w:w w:val="99"/>
              </w:rPr>
              <w:t>2024</w:t>
            </w:r>
          </w:p>
        </w:tc>
        <w:tc>
          <w:tcPr>
            <w:tcW w:w="0" w:type="dxa"/>
            <w:vAlign w:val="bottom"/>
          </w:tcPr>
          <w:p>
            <w:pPr>
              <w:spacing w:after="0"/>
              <w:rPr>
                <w:sz w:val="1"/>
                <w:szCs w:val="1"/>
                <w:color w:val="auto"/>
              </w:rPr>
            </w:pPr>
          </w:p>
        </w:tc>
      </w:tr>
      <w:tr>
        <w:trPr>
          <w:trHeight w:val="210"/>
        </w:trPr>
        <w:tc>
          <w:tcPr>
            <w:tcW w:w="83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0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48,471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73,948</w:t>
            </w:r>
          </w:p>
        </w:tc>
        <w:tc>
          <w:tcPr>
            <w:tcW w:w="0" w:type="dxa"/>
            <w:vAlign w:val="bottom"/>
          </w:tcPr>
          <w:p>
            <w:pPr>
              <w:spacing w:after="0"/>
              <w:rPr>
                <w:sz w:val="1"/>
                <w:szCs w:val="1"/>
                <w:color w:val="auto"/>
              </w:rPr>
            </w:pPr>
          </w:p>
        </w:tc>
      </w:tr>
      <w:tr>
        <w:trPr>
          <w:trHeight w:val="229"/>
        </w:trPr>
        <w:tc>
          <w:tcPr>
            <w:tcW w:w="8300" w:type="dxa"/>
            <w:vAlign w:val="bottom"/>
            <w:gridSpan w:val="2"/>
          </w:tcPr>
          <w:p>
            <w:pPr>
              <w:ind w:left="22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45,958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49,938</w:t>
            </w:r>
          </w:p>
        </w:tc>
        <w:tc>
          <w:tcPr>
            <w:tcW w:w="0" w:type="dxa"/>
            <w:vAlign w:val="bottom"/>
          </w:tcPr>
          <w:p>
            <w:pPr>
              <w:spacing w:after="0"/>
              <w:rPr>
                <w:sz w:val="1"/>
                <w:szCs w:val="1"/>
                <w:color w:val="auto"/>
              </w:rPr>
            </w:pPr>
          </w:p>
        </w:tc>
      </w:tr>
      <w:tr>
        <w:trPr>
          <w:trHeight w:val="229"/>
        </w:trPr>
        <w:tc>
          <w:tcPr>
            <w:tcW w:w="8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Inventories, net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93,918</w:t>
            </w:r>
          </w:p>
        </w:tc>
        <w:tc>
          <w:tcPr>
            <w:tcW w:w="0" w:type="dxa"/>
            <w:vAlign w:val="bottom"/>
          </w:tcPr>
          <w:p>
            <w:pPr>
              <w:spacing w:after="0"/>
              <w:rPr>
                <w:sz w:val="1"/>
                <w:szCs w:val="1"/>
                <w:color w:val="auto"/>
              </w:rPr>
            </w:pPr>
          </w:p>
        </w:tc>
      </w:tr>
      <w:tr>
        <w:trPr>
          <w:trHeight w:val="230"/>
        </w:trPr>
        <w:tc>
          <w:tcPr>
            <w:tcW w:w="83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33,624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32,024</w:t>
            </w:r>
          </w:p>
        </w:tc>
        <w:tc>
          <w:tcPr>
            <w:tcW w:w="0" w:type="dxa"/>
            <w:vAlign w:val="bottom"/>
          </w:tcPr>
          <w:p>
            <w:pPr>
              <w:spacing w:after="0"/>
              <w:rPr>
                <w:sz w:val="1"/>
                <w:szCs w:val="1"/>
                <w:color w:val="auto"/>
              </w:rPr>
            </w:pPr>
          </w:p>
        </w:tc>
      </w:tr>
      <w:tr>
        <w:trPr>
          <w:trHeight w:val="223"/>
        </w:trPr>
        <w:tc>
          <w:tcPr>
            <w:tcW w:w="8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249,828</w:t>
            </w:r>
          </w:p>
        </w:tc>
        <w:tc>
          <w:tcPr>
            <w:tcW w:w="0" w:type="dxa"/>
            <w:vAlign w:val="bottom"/>
          </w:tcPr>
          <w:p>
            <w:pPr>
              <w:spacing w:after="0"/>
              <w:rPr>
                <w:sz w:val="1"/>
                <w:szCs w:val="1"/>
                <w:color w:val="auto"/>
              </w:rPr>
            </w:pPr>
          </w:p>
        </w:tc>
      </w:tr>
      <w:tr>
        <w:trPr>
          <w:trHeight w:val="108"/>
        </w:trPr>
        <w:tc>
          <w:tcPr>
            <w:tcW w:w="830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83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assets: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gridSpan w:val="2"/>
          </w:tcPr>
          <w:p>
            <w:pPr>
              <w:ind w:left="220"/>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350,803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362,175</w:t>
            </w:r>
          </w:p>
        </w:tc>
        <w:tc>
          <w:tcPr>
            <w:tcW w:w="0" w:type="dxa"/>
            <w:vAlign w:val="bottom"/>
          </w:tcPr>
          <w:p>
            <w:pPr>
              <w:spacing w:after="0"/>
              <w:rPr>
                <w:sz w:val="1"/>
                <w:szCs w:val="1"/>
                <w:color w:val="auto"/>
              </w:rPr>
            </w:pPr>
          </w:p>
        </w:tc>
      </w:tr>
      <w:tr>
        <w:trPr>
          <w:trHeight w:val="229"/>
        </w:trPr>
        <w:tc>
          <w:tcPr>
            <w:tcW w:w="8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698,305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698,305</w:t>
            </w:r>
          </w:p>
        </w:tc>
        <w:tc>
          <w:tcPr>
            <w:tcW w:w="0" w:type="dxa"/>
            <w:vAlign w:val="bottom"/>
          </w:tcPr>
          <w:p>
            <w:pPr>
              <w:spacing w:after="0"/>
              <w:rPr>
                <w:sz w:val="1"/>
                <w:szCs w:val="1"/>
                <w:color w:val="auto"/>
              </w:rPr>
            </w:pPr>
          </w:p>
        </w:tc>
      </w:tr>
      <w:tr>
        <w:trPr>
          <w:trHeight w:val="229"/>
        </w:trPr>
        <w:tc>
          <w:tcPr>
            <w:tcW w:w="8300" w:type="dxa"/>
            <w:vAlign w:val="bottom"/>
            <w:gridSpan w:val="2"/>
          </w:tcPr>
          <w:p>
            <w:pPr>
              <w:ind w:left="220"/>
              <w:spacing w:after="0"/>
              <w:rPr>
                <w:sz w:val="20"/>
                <w:szCs w:val="20"/>
                <w:color w:val="auto"/>
              </w:rPr>
            </w:pPr>
            <w:r>
              <w:rPr>
                <w:rFonts w:ascii="Arial" w:cs="Arial" w:eastAsia="Arial" w:hAnsi="Arial"/>
                <w:sz w:val="18"/>
                <w:szCs w:val="18"/>
                <w:color w:val="auto"/>
              </w:rPr>
              <w:t>Trademarks and trade names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240,547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240,547</w:t>
            </w:r>
          </w:p>
        </w:tc>
        <w:tc>
          <w:tcPr>
            <w:tcW w:w="0" w:type="dxa"/>
            <w:vAlign w:val="bottom"/>
          </w:tcPr>
          <w:p>
            <w:pPr>
              <w:spacing w:after="0"/>
              <w:rPr>
                <w:sz w:val="1"/>
                <w:szCs w:val="1"/>
                <w:color w:val="auto"/>
              </w:rPr>
            </w:pPr>
          </w:p>
        </w:tc>
      </w:tr>
      <w:tr>
        <w:trPr>
          <w:trHeight w:val="230"/>
        </w:trPr>
        <w:tc>
          <w:tcPr>
            <w:tcW w:w="8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intangible assets, net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8,269</w:t>
            </w:r>
          </w:p>
        </w:tc>
        <w:tc>
          <w:tcPr>
            <w:tcW w:w="0" w:type="dxa"/>
            <w:vAlign w:val="bottom"/>
          </w:tcPr>
          <w:p>
            <w:pPr>
              <w:spacing w:after="0"/>
              <w:rPr>
                <w:sz w:val="1"/>
                <w:szCs w:val="1"/>
                <w:color w:val="auto"/>
              </w:rPr>
            </w:pPr>
          </w:p>
        </w:tc>
      </w:tr>
      <w:tr>
        <w:trPr>
          <w:trHeight w:val="229"/>
        </w:trPr>
        <w:tc>
          <w:tcPr>
            <w:tcW w:w="8300" w:type="dxa"/>
            <w:vAlign w:val="bottom"/>
            <w:gridSpan w:val="2"/>
          </w:tcPr>
          <w:p>
            <w:pPr>
              <w:ind w:left="220"/>
              <w:spacing w:after="0"/>
              <w:rPr>
                <w:sz w:val="20"/>
                <w:szCs w:val="20"/>
                <w:color w:val="auto"/>
              </w:rPr>
            </w:pPr>
            <w:r>
              <w:rPr>
                <w:rFonts w:ascii="Arial" w:cs="Arial" w:eastAsia="Arial" w:hAnsi="Arial"/>
                <w:sz w:val="18"/>
                <w:szCs w:val="18"/>
                <w:color w:val="auto"/>
              </w:rPr>
              <w:t>Right of use assets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391,632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408,589</w:t>
            </w:r>
          </w:p>
        </w:tc>
        <w:tc>
          <w:tcPr>
            <w:tcW w:w="0" w:type="dxa"/>
            <w:vAlign w:val="bottom"/>
          </w:tcPr>
          <w:p>
            <w:pPr>
              <w:spacing w:after="0"/>
              <w:rPr>
                <w:sz w:val="1"/>
                <w:szCs w:val="1"/>
                <w:color w:val="auto"/>
              </w:rPr>
            </w:pPr>
          </w:p>
        </w:tc>
      </w:tr>
      <w:tr>
        <w:trPr>
          <w:trHeight w:val="230"/>
        </w:trPr>
        <w:tc>
          <w:tcPr>
            <w:tcW w:w="8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61,459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40,058</w:t>
            </w:r>
          </w:p>
        </w:tc>
        <w:tc>
          <w:tcPr>
            <w:tcW w:w="0" w:type="dxa"/>
            <w:vAlign w:val="bottom"/>
          </w:tcPr>
          <w:p>
            <w:pPr>
              <w:spacing w:after="0"/>
              <w:rPr>
                <w:sz w:val="1"/>
                <w:szCs w:val="1"/>
                <w:color w:val="auto"/>
              </w:rPr>
            </w:pPr>
          </w:p>
        </w:tc>
      </w:tr>
      <w:tr>
        <w:trPr>
          <w:trHeight w:val="223"/>
        </w:trPr>
        <w:tc>
          <w:tcPr>
            <w:tcW w:w="8300" w:type="dxa"/>
            <w:vAlign w:val="bottom"/>
            <w:tcBorders>
              <w:bottom w:val="single" w:sz="8" w:color="CCEEFF"/>
            </w:tcBorders>
            <w:gridSpan w:val="2"/>
          </w:tcPr>
          <w:p>
            <w:pPr>
              <w:ind w:left="480"/>
              <w:spacing w:after="0"/>
              <w:rPr>
                <w:sz w:val="20"/>
                <w:szCs w:val="20"/>
                <w:color w:val="auto"/>
              </w:rPr>
            </w:pPr>
            <w:r>
              <w:rPr>
                <w:rFonts w:ascii="Arial" w:cs="Arial" w:eastAsia="Arial" w:hAnsi="Arial"/>
                <w:sz w:val="18"/>
                <w:szCs w:val="18"/>
                <w:color w:val="auto"/>
              </w:rPr>
              <w:t>Total noncurrent assets</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1,750,651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1,757,943</w:t>
            </w:r>
          </w:p>
        </w:tc>
        <w:tc>
          <w:tcPr>
            <w:tcW w:w="0" w:type="dxa"/>
            <w:vAlign w:val="bottom"/>
          </w:tcPr>
          <w:p>
            <w:pPr>
              <w:spacing w:after="0"/>
              <w:rPr>
                <w:sz w:val="1"/>
                <w:szCs w:val="1"/>
                <w:color w:val="auto"/>
              </w:rPr>
            </w:pPr>
          </w:p>
        </w:tc>
      </w:tr>
      <w:tr>
        <w:trPr>
          <w:trHeight w:val="248"/>
        </w:trPr>
        <w:tc>
          <w:tcPr>
            <w:tcW w:w="8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1,968,352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2,007,771</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1400" w:type="dxa"/>
            <w:vAlign w:val="bottom"/>
          </w:tcPr>
          <w:p>
            <w:pPr>
              <w:spacing w:after="0"/>
              <w:rPr>
                <w:sz w:val="4"/>
                <w:szCs w:val="4"/>
                <w:color w:val="auto"/>
              </w:rPr>
            </w:pPr>
          </w:p>
        </w:tc>
        <w:tc>
          <w:tcPr>
            <w:tcW w:w="6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83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53,643</w:t>
            </w:r>
          </w:p>
        </w:tc>
        <w:tc>
          <w:tcPr>
            <w:tcW w:w="0" w:type="dxa"/>
            <w:vAlign w:val="bottom"/>
          </w:tcPr>
          <w:p>
            <w:pPr>
              <w:spacing w:after="0"/>
              <w:rPr>
                <w:sz w:val="1"/>
                <w:szCs w:val="1"/>
                <w:color w:val="auto"/>
              </w:rPr>
            </w:pPr>
          </w:p>
        </w:tc>
      </w:tr>
      <w:tr>
        <w:trPr>
          <w:trHeight w:val="229"/>
        </w:trPr>
        <w:tc>
          <w:tcPr>
            <w:tcW w:w="8300" w:type="dxa"/>
            <w:vAlign w:val="bottom"/>
            <w:gridSpan w:val="2"/>
          </w:tcPr>
          <w:p>
            <w:pPr>
              <w:ind w:left="220"/>
              <w:spacing w:after="0"/>
              <w:rPr>
                <w:sz w:val="20"/>
                <w:szCs w:val="20"/>
                <w:color w:val="auto"/>
              </w:rPr>
            </w:pPr>
            <w:r>
              <w:rPr>
                <w:rFonts w:ascii="Arial" w:cs="Arial" w:eastAsia="Arial" w:hAnsi="Arial"/>
                <w:sz w:val="18"/>
                <w:szCs w:val="18"/>
                <w:color w:val="auto"/>
              </w:rPr>
              <w:t>Other payables and accrued expenses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126,730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109,036</w:t>
            </w:r>
          </w:p>
        </w:tc>
        <w:tc>
          <w:tcPr>
            <w:tcW w:w="0" w:type="dxa"/>
            <w:vAlign w:val="bottom"/>
          </w:tcPr>
          <w:p>
            <w:pPr>
              <w:spacing w:after="0"/>
              <w:rPr>
                <w:sz w:val="1"/>
                <w:szCs w:val="1"/>
                <w:color w:val="auto"/>
              </w:rPr>
            </w:pPr>
          </w:p>
        </w:tc>
      </w:tr>
      <w:tr>
        <w:trPr>
          <w:trHeight w:val="230"/>
        </w:trPr>
        <w:tc>
          <w:tcPr>
            <w:tcW w:w="8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Unearned revenue</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42,689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42,002</w:t>
            </w:r>
          </w:p>
        </w:tc>
        <w:tc>
          <w:tcPr>
            <w:tcW w:w="0" w:type="dxa"/>
            <w:vAlign w:val="bottom"/>
          </w:tcPr>
          <w:p>
            <w:pPr>
              <w:spacing w:after="0"/>
              <w:rPr>
                <w:sz w:val="1"/>
                <w:szCs w:val="1"/>
                <w:color w:val="auto"/>
              </w:rPr>
            </w:pPr>
          </w:p>
        </w:tc>
      </w:tr>
      <w:tr>
        <w:trPr>
          <w:trHeight w:val="230"/>
        </w:trPr>
        <w:tc>
          <w:tcPr>
            <w:tcW w:w="8300" w:type="dxa"/>
            <w:vAlign w:val="bottom"/>
            <w:gridSpan w:val="2"/>
          </w:tcPr>
          <w:p>
            <w:pPr>
              <w:ind w:left="22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64,733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62,507</w:t>
            </w:r>
          </w:p>
        </w:tc>
        <w:tc>
          <w:tcPr>
            <w:tcW w:w="0" w:type="dxa"/>
            <w:vAlign w:val="bottom"/>
          </w:tcPr>
          <w:p>
            <w:pPr>
              <w:spacing w:after="0"/>
              <w:rPr>
                <w:sz w:val="1"/>
                <w:szCs w:val="1"/>
                <w:color w:val="auto"/>
              </w:rPr>
            </w:pPr>
          </w:p>
        </w:tc>
      </w:tr>
      <w:tr>
        <w:trPr>
          <w:trHeight w:val="230"/>
        </w:trPr>
        <w:tc>
          <w:tcPr>
            <w:tcW w:w="8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Current maturities of long-term debt and finance lease obligations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101,392</w:t>
            </w:r>
          </w:p>
        </w:tc>
        <w:tc>
          <w:tcPr>
            <w:tcW w:w="0" w:type="dxa"/>
            <w:vAlign w:val="bottom"/>
          </w:tcPr>
          <w:p>
            <w:pPr>
              <w:spacing w:after="0"/>
              <w:rPr>
                <w:sz w:val="1"/>
                <w:szCs w:val="1"/>
                <w:color w:val="auto"/>
              </w:rPr>
            </w:pPr>
          </w:p>
        </w:tc>
      </w:tr>
      <w:tr>
        <w:trPr>
          <w:trHeight w:val="229"/>
        </w:trPr>
        <w:tc>
          <w:tcPr>
            <w:tcW w:w="83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Current operating lease obligations</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102,213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99,694</w:t>
            </w:r>
          </w:p>
        </w:tc>
        <w:tc>
          <w:tcPr>
            <w:tcW w:w="0" w:type="dxa"/>
            <w:vAlign w:val="bottom"/>
          </w:tcPr>
          <w:p>
            <w:pPr>
              <w:spacing w:after="0"/>
              <w:rPr>
                <w:sz w:val="1"/>
                <w:szCs w:val="1"/>
                <w:color w:val="auto"/>
              </w:rPr>
            </w:pPr>
          </w:p>
        </w:tc>
      </w:tr>
      <w:tr>
        <w:trPr>
          <w:trHeight w:val="223"/>
        </w:trPr>
        <w:tc>
          <w:tcPr>
            <w:tcW w:w="8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418,246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468,274</w:t>
            </w:r>
          </w:p>
        </w:tc>
        <w:tc>
          <w:tcPr>
            <w:tcW w:w="0" w:type="dxa"/>
            <w:vAlign w:val="bottom"/>
          </w:tcPr>
          <w:p>
            <w:pPr>
              <w:spacing w:after="0"/>
              <w:rPr>
                <w:sz w:val="1"/>
                <w:szCs w:val="1"/>
                <w:color w:val="auto"/>
              </w:rPr>
            </w:pPr>
          </w:p>
        </w:tc>
      </w:tr>
      <w:tr>
        <w:trPr>
          <w:trHeight w:val="108"/>
        </w:trPr>
        <w:tc>
          <w:tcPr>
            <w:tcW w:w="830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83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liabilities: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gridSpan w:val="2"/>
          </w:tcPr>
          <w:p>
            <w:pPr>
              <w:ind w:left="220"/>
              <w:spacing w:after="0"/>
              <w:rPr>
                <w:sz w:val="20"/>
                <w:szCs w:val="20"/>
                <w:color w:val="auto"/>
              </w:rPr>
            </w:pPr>
            <w:r>
              <w:rPr>
                <w:rFonts w:ascii="Arial" w:cs="Arial" w:eastAsia="Arial" w:hAnsi="Arial"/>
                <w:sz w:val="18"/>
                <w:szCs w:val="18"/>
                <w:color w:val="auto"/>
              </w:rPr>
              <w:t>Long-term debt and finance lease obligations, less current portion and debt discount</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255,620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248,610</w:t>
            </w:r>
          </w:p>
        </w:tc>
        <w:tc>
          <w:tcPr>
            <w:tcW w:w="0" w:type="dxa"/>
            <w:vAlign w:val="bottom"/>
          </w:tcPr>
          <w:p>
            <w:pPr>
              <w:spacing w:after="0"/>
              <w:rPr>
                <w:sz w:val="1"/>
                <w:szCs w:val="1"/>
                <w:color w:val="auto"/>
              </w:rPr>
            </w:pPr>
          </w:p>
        </w:tc>
      </w:tr>
      <w:tr>
        <w:trPr>
          <w:trHeight w:val="230"/>
        </w:trPr>
        <w:tc>
          <w:tcPr>
            <w:tcW w:w="8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Noncurrent operating lease obligations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366,335</w:t>
            </w:r>
          </w:p>
        </w:tc>
        <w:tc>
          <w:tcPr>
            <w:tcW w:w="0" w:type="dxa"/>
            <w:vAlign w:val="bottom"/>
          </w:tcPr>
          <w:p>
            <w:pPr>
              <w:spacing w:after="0"/>
              <w:rPr>
                <w:sz w:val="1"/>
                <w:szCs w:val="1"/>
                <w:color w:val="auto"/>
              </w:rPr>
            </w:pPr>
          </w:p>
        </w:tc>
      </w:tr>
      <w:tr>
        <w:trPr>
          <w:trHeight w:val="230"/>
        </w:trPr>
        <w:tc>
          <w:tcPr>
            <w:tcW w:w="8300" w:type="dxa"/>
            <w:vAlign w:val="bottom"/>
            <w:gridSpan w:val="2"/>
          </w:tcPr>
          <w:p>
            <w:pPr>
              <w:ind w:left="22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22,778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22,082</w:t>
            </w:r>
          </w:p>
        </w:tc>
        <w:tc>
          <w:tcPr>
            <w:tcW w:w="0" w:type="dxa"/>
            <w:vAlign w:val="bottom"/>
          </w:tcPr>
          <w:p>
            <w:pPr>
              <w:spacing w:after="0"/>
              <w:rPr>
                <w:sz w:val="1"/>
                <w:szCs w:val="1"/>
                <w:color w:val="auto"/>
              </w:rPr>
            </w:pPr>
          </w:p>
        </w:tc>
      </w:tr>
      <w:tr>
        <w:trPr>
          <w:trHeight w:val="229"/>
        </w:trPr>
        <w:tc>
          <w:tcPr>
            <w:tcW w:w="8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8,228</w:t>
            </w:r>
          </w:p>
        </w:tc>
        <w:tc>
          <w:tcPr>
            <w:tcW w:w="0" w:type="dxa"/>
            <w:vAlign w:val="bottom"/>
          </w:tcPr>
          <w:p>
            <w:pPr>
              <w:spacing w:after="0"/>
              <w:rPr>
                <w:sz w:val="1"/>
                <w:szCs w:val="1"/>
                <w:color w:val="auto"/>
              </w:rPr>
            </w:pPr>
          </w:p>
        </w:tc>
      </w:tr>
      <w:tr>
        <w:trPr>
          <w:trHeight w:val="230"/>
        </w:trPr>
        <w:tc>
          <w:tcPr>
            <w:tcW w:w="83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Deferred income taxes, net</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68,109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77,909</w:t>
            </w:r>
          </w:p>
        </w:tc>
        <w:tc>
          <w:tcPr>
            <w:tcW w:w="0" w:type="dxa"/>
            <w:vAlign w:val="bottom"/>
          </w:tcPr>
          <w:p>
            <w:pPr>
              <w:spacing w:after="0"/>
              <w:rPr>
                <w:sz w:val="1"/>
                <w:szCs w:val="1"/>
                <w:color w:val="auto"/>
              </w:rPr>
            </w:pPr>
          </w:p>
        </w:tc>
      </w:tr>
      <w:tr>
        <w:trPr>
          <w:trHeight w:val="223"/>
        </w:trPr>
        <w:tc>
          <w:tcPr>
            <w:tcW w:w="8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noncurrent liabilities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699,525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723,164</w:t>
            </w:r>
          </w:p>
        </w:tc>
        <w:tc>
          <w:tcPr>
            <w:tcW w:w="0" w:type="dxa"/>
            <w:vAlign w:val="bottom"/>
          </w:tcPr>
          <w:p>
            <w:pPr>
              <w:spacing w:after="0"/>
              <w:rPr>
                <w:sz w:val="1"/>
                <w:szCs w:val="1"/>
                <w:color w:val="auto"/>
              </w:rPr>
            </w:pPr>
          </w:p>
        </w:tc>
      </w:tr>
      <w:tr>
        <w:trPr>
          <w:trHeight w:val="230"/>
        </w:trPr>
        <w:tc>
          <w:tcPr>
            <w:tcW w:w="8300" w:type="dxa"/>
            <w:vAlign w:val="bottom"/>
            <w:gridSpan w:val="2"/>
          </w:tcPr>
          <w:p>
            <w:pPr>
              <w:ind w:left="20"/>
              <w:spacing w:after="0"/>
              <w:rPr>
                <w:sz w:val="20"/>
                <w:szCs w:val="20"/>
                <w:color w:val="auto"/>
              </w:rPr>
            </w:pPr>
            <w:r>
              <w:rPr>
                <w:rFonts w:ascii="Arial" w:cs="Arial" w:eastAsia="Arial" w:hAnsi="Arial"/>
                <w:sz w:val="18"/>
                <w:szCs w:val="18"/>
                <w:b w:val="1"/>
                <w:bCs w:val="1"/>
                <w:color w:val="auto"/>
              </w:rPr>
              <w:t>Commitments and contingencies (See Note 8)</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3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Common stock, $0.01 par value; 200,000 shares authorized; 85,977 and 85,444 shares issued as of</w:t>
            </w: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300" w:type="dxa"/>
            <w:vAlign w:val="bottom"/>
            <w:gridSpan w:val="2"/>
          </w:tcPr>
          <w:p>
            <w:pPr>
              <w:ind w:left="20"/>
              <w:spacing w:after="0" w:line="183" w:lineRule="exact"/>
              <w:rPr>
                <w:sz w:val="20"/>
                <w:szCs w:val="20"/>
                <w:color w:val="auto"/>
              </w:rPr>
            </w:pPr>
            <w:r>
              <w:rPr>
                <w:rFonts w:ascii="Arial" w:cs="Arial" w:eastAsia="Arial" w:hAnsi="Arial"/>
                <w:sz w:val="18"/>
                <w:szCs w:val="18"/>
                <w:color w:val="auto"/>
              </w:rPr>
              <w:t>June 28, 2025 and December 28, 2024, respectively; 79,175 and 78,775 shares outstanding as of June</w:t>
            </w:r>
          </w:p>
        </w:tc>
        <w:tc>
          <w:tcPr>
            <w:tcW w:w="12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859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35"/>
        </w:trPr>
        <w:tc>
          <w:tcPr>
            <w:tcW w:w="8300" w:type="dxa"/>
            <w:vAlign w:val="bottom"/>
            <w:gridSpan w:val="2"/>
          </w:tcPr>
          <w:p>
            <w:pPr>
              <w:ind w:left="20"/>
              <w:spacing w:after="0"/>
              <w:rPr>
                <w:sz w:val="20"/>
                <w:szCs w:val="20"/>
                <w:color w:val="auto"/>
              </w:rPr>
            </w:pPr>
            <w:r>
              <w:rPr>
                <w:rFonts w:ascii="Arial" w:cs="Arial" w:eastAsia="Arial" w:hAnsi="Arial"/>
                <w:sz w:val="18"/>
                <w:szCs w:val="18"/>
                <w:color w:val="auto"/>
              </w:rPr>
              <w:t>28, 2025 and December 28, 2024, respectively</w:t>
            </w:r>
          </w:p>
        </w:tc>
        <w:tc>
          <w:tcPr>
            <w:tcW w:w="12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820,059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807,048</w:t>
            </w:r>
          </w:p>
        </w:tc>
        <w:tc>
          <w:tcPr>
            <w:tcW w:w="0" w:type="dxa"/>
            <w:vAlign w:val="bottom"/>
          </w:tcPr>
          <w:p>
            <w:pPr>
              <w:spacing w:after="0"/>
              <w:rPr>
                <w:sz w:val="1"/>
                <w:szCs w:val="1"/>
                <w:color w:val="auto"/>
              </w:rPr>
            </w:pPr>
          </w:p>
        </w:tc>
      </w:tr>
      <w:tr>
        <w:trPr>
          <w:trHeight w:val="230"/>
        </w:trPr>
        <w:tc>
          <w:tcPr>
            <w:tcW w:w="8300" w:type="dxa"/>
            <w:vAlign w:val="bottom"/>
            <w:gridSpan w:val="2"/>
          </w:tcPr>
          <w:p>
            <w:pPr>
              <w:ind w:left="22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249,028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226,117</w:t>
            </w:r>
          </w:p>
        </w:tc>
        <w:tc>
          <w:tcPr>
            <w:tcW w:w="0" w:type="dxa"/>
            <w:vAlign w:val="bottom"/>
          </w:tcPr>
          <w:p>
            <w:pPr>
              <w:spacing w:after="0"/>
              <w:rPr>
                <w:sz w:val="1"/>
                <w:szCs w:val="1"/>
                <w:color w:val="auto"/>
              </w:rPr>
            </w:pPr>
          </w:p>
        </w:tc>
      </w:tr>
      <w:tr>
        <w:trPr>
          <w:trHeight w:val="175"/>
        </w:trPr>
        <w:tc>
          <w:tcPr>
            <w:tcW w:w="83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Treasury stock, at cost; 6,802 and 6,669 shares as of June 28, 2025 and December 28, 2024,</w:t>
            </w:r>
          </w:p>
        </w:tc>
        <w:tc>
          <w:tcPr>
            <w:tcW w:w="12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(219,365)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(217,686)</w:t>
            </w:r>
          </w:p>
        </w:tc>
        <w:tc>
          <w:tcPr>
            <w:tcW w:w="0" w:type="dxa"/>
            <w:vAlign w:val="bottom"/>
          </w:tcPr>
          <w:p>
            <w:pPr>
              <w:spacing w:after="0"/>
              <w:rPr>
                <w:sz w:val="1"/>
                <w:szCs w:val="1"/>
                <w:color w:val="auto"/>
              </w:rPr>
            </w:pPr>
          </w:p>
        </w:tc>
      </w:tr>
      <w:tr>
        <w:trPr>
          <w:trHeight w:val="243"/>
        </w:trPr>
        <w:tc>
          <w:tcPr>
            <w:tcW w:w="8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respectively</w:t>
            </w:r>
          </w:p>
        </w:tc>
        <w:tc>
          <w:tcPr>
            <w:tcW w:w="1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300" w:type="dxa"/>
            <w:vAlign w:val="bottom"/>
            <w:tcBorders>
              <w:bottom w:val="single" w:sz="8" w:color="CCEEFF"/>
            </w:tcBorders>
            <w:gridSpan w:val="2"/>
          </w:tcPr>
          <w:p>
            <w:pPr>
              <w:ind w:left="48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850,581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816,333</w:t>
            </w:r>
          </w:p>
        </w:tc>
        <w:tc>
          <w:tcPr>
            <w:tcW w:w="0" w:type="dxa"/>
            <w:vAlign w:val="bottom"/>
          </w:tcPr>
          <w:p>
            <w:pPr>
              <w:spacing w:after="0"/>
              <w:rPr>
                <w:sz w:val="1"/>
                <w:szCs w:val="1"/>
                <w:color w:val="auto"/>
              </w:rPr>
            </w:pPr>
          </w:p>
        </w:tc>
      </w:tr>
      <w:tr>
        <w:trPr>
          <w:trHeight w:val="248"/>
        </w:trPr>
        <w:tc>
          <w:tcPr>
            <w:tcW w:w="8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1,968,352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2,007,771</w:t>
            </w:r>
          </w:p>
        </w:tc>
        <w:tc>
          <w:tcPr>
            <w:tcW w:w="0" w:type="dxa"/>
            <w:vAlign w:val="bottom"/>
          </w:tcPr>
          <w:p>
            <w:pPr>
              <w:spacing w:after="0"/>
              <w:rPr>
                <w:sz w:val="1"/>
                <w:szCs w:val="1"/>
                <w:color w:val="auto"/>
              </w:rPr>
            </w:pPr>
          </w:p>
        </w:tc>
      </w:tr>
      <w:tr>
        <w:trPr>
          <w:trHeight w:val="20"/>
        </w:trPr>
        <w:tc>
          <w:tcPr>
            <w:tcW w:w="1400" w:type="dxa"/>
            <w:vAlign w:val="bottom"/>
            <w:tcBorders>
              <w:top w:val="single" w:sz="8" w:color="CCEEFF"/>
            </w:tcBorders>
          </w:tcPr>
          <w:p>
            <w:pPr>
              <w:spacing w:after="0" w:line="20" w:lineRule="exact"/>
              <w:rPr>
                <w:sz w:val="1"/>
                <w:szCs w:val="1"/>
                <w:color w:val="auto"/>
              </w:rPr>
            </w:pPr>
          </w:p>
        </w:tc>
        <w:tc>
          <w:tcPr>
            <w:tcW w:w="6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530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650"/>
        </w:trPr>
        <w:tc>
          <w:tcPr>
            <w:tcW w:w="1400" w:type="dxa"/>
            <w:vAlign w:val="bottom"/>
            <w:tcBorders>
              <w:top w:val="single" w:sz="8" w:color="0000FF"/>
            </w:tcBorders>
          </w:tcPr>
          <w:p>
            <w:pPr>
              <w:spacing w:after="0"/>
              <w:rPr>
                <w:sz w:val="24"/>
                <w:szCs w:val="24"/>
                <w:color w:val="auto"/>
              </w:rPr>
            </w:pPr>
          </w:p>
        </w:tc>
        <w:tc>
          <w:tcPr>
            <w:tcW w:w="6860" w:type="dxa"/>
            <w:vAlign w:val="bottom"/>
            <w:gridSpan w:val="7"/>
          </w:tcPr>
          <w:p>
            <w:pPr>
              <w:jc w:val="center"/>
              <w:ind w:left="1510"/>
              <w:spacing w:after="0"/>
              <w:rPr>
                <w:sz w:val="20"/>
                <w:szCs w:val="20"/>
                <w:color w:val="auto"/>
              </w:rPr>
            </w:pPr>
            <w:r>
              <w:rPr>
                <w:rFonts w:ascii="Arial" w:cs="Arial" w:eastAsia="Arial" w:hAnsi="Arial"/>
                <w:sz w:val="18"/>
                <w:szCs w:val="18"/>
                <w:b w:val="1"/>
                <w:bCs w:val="1"/>
                <w:color w:val="auto"/>
                <w:w w:val="99"/>
              </w:rPr>
              <w:t>National Vision Holdings, Inc. and Subsidiaries</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47"/>
        </w:trPr>
        <w:tc>
          <w:tcPr>
            <w:tcW w:w="1400" w:type="dxa"/>
            <w:vAlign w:val="bottom"/>
          </w:tcPr>
          <w:p>
            <w:pPr>
              <w:spacing w:after="0"/>
              <w:rPr>
                <w:sz w:val="21"/>
                <w:szCs w:val="21"/>
                <w:color w:val="auto"/>
              </w:rPr>
            </w:pPr>
          </w:p>
        </w:tc>
        <w:tc>
          <w:tcPr>
            <w:tcW w:w="8400" w:type="dxa"/>
            <w:vAlign w:val="bottom"/>
            <w:gridSpan w:val="10"/>
          </w:tcPr>
          <w:p>
            <w:pPr>
              <w:jc w:val="center"/>
              <w:spacing w:after="0"/>
              <w:rPr>
                <w:sz w:val="20"/>
                <w:szCs w:val="20"/>
                <w:color w:val="auto"/>
              </w:rPr>
            </w:pPr>
            <w:r>
              <w:rPr>
                <w:rFonts w:ascii="Arial" w:cs="Arial" w:eastAsia="Arial" w:hAnsi="Arial"/>
                <w:sz w:val="18"/>
                <w:szCs w:val="18"/>
                <w:b w:val="1"/>
                <w:bCs w:val="1"/>
                <w:color w:val="auto"/>
                <w:w w:val="99"/>
              </w:rPr>
              <w:t>Condensed Consolidated Statements of Operations and Comprehensive Income (Unaudited)</w:t>
            </w: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2"/>
        </w:trPr>
        <w:tc>
          <w:tcPr>
            <w:tcW w:w="14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40" w:type="dxa"/>
            <w:vAlign w:val="bottom"/>
            <w:gridSpan w:val="5"/>
          </w:tcPr>
          <w:p>
            <w:pPr>
              <w:ind w:left="480"/>
              <w:spacing w:after="0"/>
              <w:rPr>
                <w:sz w:val="20"/>
                <w:szCs w:val="20"/>
                <w:color w:val="auto"/>
              </w:rPr>
            </w:pPr>
            <w:r>
              <w:rPr>
                <w:rFonts w:ascii="Arial" w:cs="Arial" w:eastAsia="Arial" w:hAnsi="Arial"/>
                <w:sz w:val="18"/>
                <w:szCs w:val="18"/>
                <w:color w:val="auto"/>
              </w:rPr>
              <w:t>Three Months Ended</w:t>
            </w:r>
          </w:p>
        </w:tc>
        <w:tc>
          <w:tcPr>
            <w:tcW w:w="140" w:type="dxa"/>
            <w:vAlign w:val="bottom"/>
          </w:tcPr>
          <w:p>
            <w:pPr>
              <w:spacing w:after="0"/>
              <w:rPr>
                <w:sz w:val="21"/>
                <w:szCs w:val="21"/>
                <w:color w:val="auto"/>
              </w:rPr>
            </w:pPr>
          </w:p>
        </w:tc>
        <w:tc>
          <w:tcPr>
            <w:tcW w:w="2840" w:type="dxa"/>
            <w:vAlign w:val="bottom"/>
            <w:gridSpan w:val="4"/>
          </w:tcPr>
          <w:p>
            <w:pPr>
              <w:jc w:val="right"/>
              <w:ind w:right="670"/>
              <w:spacing w:after="0"/>
              <w:rPr>
                <w:sz w:val="20"/>
                <w:szCs w:val="20"/>
                <w:color w:val="auto"/>
              </w:rPr>
            </w:pPr>
            <w:r>
              <w:rPr>
                <w:rFonts w:ascii="Arial" w:cs="Arial" w:eastAsia="Arial" w:hAnsi="Arial"/>
                <w:sz w:val="18"/>
                <w:szCs w:val="18"/>
                <w:color w:val="auto"/>
              </w:rPr>
              <w:t>Six Months Ended</w:t>
            </w:r>
          </w:p>
        </w:tc>
      </w:tr>
      <w:tr>
        <w:trPr>
          <w:trHeight w:val="229"/>
        </w:trPr>
        <w:tc>
          <w:tcPr>
            <w:tcW w:w="530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 except per share amounts</w:t>
            </w: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June 28, 2025</w:t>
            </w:r>
          </w:p>
        </w:tc>
        <w:tc>
          <w:tcPr>
            <w:tcW w:w="1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8"/>
              </w:rPr>
              <w:t>June 29, 2024</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June 28, 2025</w:t>
            </w: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June 29, 2024</w:t>
            </w:r>
          </w:p>
        </w:tc>
      </w:tr>
      <w:tr>
        <w:trPr>
          <w:trHeight w:val="209"/>
        </w:trPr>
        <w:tc>
          <w:tcPr>
            <w:tcW w:w="53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30"/>
        </w:trPr>
        <w:tc>
          <w:tcPr>
            <w:tcW w:w="5300" w:type="dxa"/>
            <w:vAlign w:val="bottom"/>
            <w:gridSpan w:val="2"/>
          </w:tcPr>
          <w:p>
            <w:pPr>
              <w:ind w:left="220"/>
              <w:spacing w:after="0"/>
              <w:rPr>
                <w:sz w:val="20"/>
                <w:szCs w:val="20"/>
                <w:color w:val="auto"/>
              </w:rPr>
            </w:pPr>
            <w:r>
              <w:rPr>
                <w:rFonts w:ascii="Arial" w:cs="Arial" w:eastAsia="Arial" w:hAnsi="Arial"/>
                <w:sz w:val="18"/>
                <w:szCs w:val="18"/>
                <w:color w:val="auto"/>
              </w:rPr>
              <w:t>Net product sales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394,589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361,967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807,354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750,050</w:t>
            </w:r>
          </w:p>
        </w:tc>
      </w:tr>
      <w:tr>
        <w:trPr>
          <w:trHeight w:val="229"/>
        </w:trPr>
        <w:tc>
          <w:tcPr>
            <w:tcW w:w="5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sales of services and plans</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91,834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89,766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189,393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184,477</w:t>
            </w:r>
          </w:p>
        </w:tc>
      </w:tr>
      <w:tr>
        <w:trPr>
          <w:trHeight w:val="223"/>
        </w:trPr>
        <w:tc>
          <w:tcPr>
            <w:tcW w:w="5300" w:type="dxa"/>
            <w:vAlign w:val="bottom"/>
            <w:gridSpan w:val="2"/>
          </w:tcPr>
          <w:p>
            <w:pPr>
              <w:ind w:left="360"/>
              <w:spacing w:after="0"/>
              <w:rPr>
                <w:sz w:val="20"/>
                <w:szCs w:val="20"/>
                <w:color w:val="auto"/>
              </w:rPr>
            </w:pPr>
            <w:r>
              <w:rPr>
                <w:rFonts w:ascii="Arial" w:cs="Arial" w:eastAsia="Arial" w:hAnsi="Arial"/>
                <w:sz w:val="18"/>
                <w:szCs w:val="18"/>
                <w:color w:val="auto"/>
              </w:rPr>
              <w:t>Total net revenue</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486,423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451,733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996,747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934,527</w:t>
            </w:r>
          </w:p>
        </w:tc>
      </w:tr>
      <w:tr>
        <w:trPr>
          <w:trHeight w:val="175"/>
        </w:trPr>
        <w:tc>
          <w:tcPr>
            <w:tcW w:w="53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Costs applicable to revenue (exclusive of depreciation and</w:t>
            </w: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43"/>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amortization):</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29"/>
        </w:trPr>
        <w:tc>
          <w:tcPr>
            <w:tcW w:w="5300" w:type="dxa"/>
            <w:vAlign w:val="bottom"/>
            <w:gridSpan w:val="2"/>
          </w:tcPr>
          <w:p>
            <w:pPr>
              <w:ind w:left="220"/>
              <w:spacing w:after="0"/>
              <w:rPr>
                <w:sz w:val="20"/>
                <w:szCs w:val="20"/>
                <w:color w:val="auto"/>
              </w:rPr>
            </w:pPr>
            <w:r>
              <w:rPr>
                <w:rFonts w:ascii="Arial" w:cs="Arial" w:eastAsia="Arial" w:hAnsi="Arial"/>
                <w:sz w:val="18"/>
                <w:szCs w:val="18"/>
                <w:color w:val="auto"/>
              </w:rPr>
              <w:t>Products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114,686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111,213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231,600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224,417</w:t>
            </w:r>
          </w:p>
        </w:tc>
      </w:tr>
      <w:tr>
        <w:trPr>
          <w:trHeight w:val="230"/>
        </w:trPr>
        <w:tc>
          <w:tcPr>
            <w:tcW w:w="5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Services and plans</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85,685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82,367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173,961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164,709</w:t>
            </w:r>
          </w:p>
        </w:tc>
      </w:tr>
      <w:tr>
        <w:trPr>
          <w:trHeight w:val="223"/>
        </w:trPr>
        <w:tc>
          <w:tcPr>
            <w:tcW w:w="5300" w:type="dxa"/>
            <w:vAlign w:val="bottom"/>
            <w:gridSpan w:val="2"/>
          </w:tcPr>
          <w:p>
            <w:pPr>
              <w:ind w:left="360"/>
              <w:spacing w:after="0"/>
              <w:rPr>
                <w:sz w:val="20"/>
                <w:szCs w:val="20"/>
                <w:color w:val="auto"/>
              </w:rPr>
            </w:pPr>
            <w:r>
              <w:rPr>
                <w:rFonts w:ascii="Arial" w:cs="Arial" w:eastAsia="Arial" w:hAnsi="Arial"/>
                <w:sz w:val="18"/>
                <w:szCs w:val="18"/>
                <w:color w:val="auto"/>
              </w:rPr>
              <w:t>Total costs applicable to revenue</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200,371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193,580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405,561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389,126</w:t>
            </w:r>
          </w:p>
        </w:tc>
      </w:tr>
      <w:tr>
        <w:trPr>
          <w:trHeight w:val="229"/>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5300" w:type="dxa"/>
            <w:vAlign w:val="bottom"/>
            <w:gridSpan w:val="2"/>
          </w:tcPr>
          <w:p>
            <w:pPr>
              <w:ind w:left="22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247,167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231,353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502,699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471,481</w:t>
            </w:r>
          </w:p>
        </w:tc>
      </w:tr>
      <w:tr>
        <w:trPr>
          <w:trHeight w:val="229"/>
        </w:trPr>
        <w:tc>
          <w:tcPr>
            <w:tcW w:w="5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45,913</w:t>
            </w:r>
          </w:p>
        </w:tc>
      </w:tr>
      <w:tr>
        <w:trPr>
          <w:trHeight w:val="230"/>
        </w:trPr>
        <w:tc>
          <w:tcPr>
            <w:tcW w:w="5300" w:type="dxa"/>
            <w:vAlign w:val="bottom"/>
            <w:gridSpan w:val="2"/>
          </w:tcPr>
          <w:p>
            <w:pPr>
              <w:ind w:left="220"/>
              <w:spacing w:after="0"/>
              <w:rPr>
                <w:sz w:val="20"/>
                <w:szCs w:val="20"/>
                <w:color w:val="auto"/>
              </w:rPr>
            </w:pPr>
            <w:r>
              <w:rPr>
                <w:rFonts w:ascii="Arial" w:cs="Arial" w:eastAsia="Arial" w:hAnsi="Arial"/>
                <w:sz w:val="18"/>
                <w:szCs w:val="18"/>
                <w:color w:val="auto"/>
              </w:rPr>
              <w:t>Asset impairment</w:t>
            </w: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3,975</w:t>
            </w:r>
          </w:p>
        </w:tc>
      </w:tr>
      <w:tr>
        <w:trPr>
          <w:trHeight w:val="229"/>
        </w:trPr>
        <w:tc>
          <w:tcPr>
            <w:tcW w:w="5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expense (income), net</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30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269,603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257,562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548,600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521,368</w:t>
            </w:r>
          </w:p>
        </w:tc>
      </w:tr>
      <w:tr>
        <w:trPr>
          <w:trHeight w:val="223"/>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24,033</w:t>
            </w:r>
          </w:p>
        </w:tc>
      </w:tr>
      <w:tr>
        <w:trPr>
          <w:trHeight w:val="230"/>
        </w:trPr>
        <w:tc>
          <w:tcPr>
            <w:tcW w:w="53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Interest expense, net</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7,452</w:t>
            </w:r>
          </w:p>
        </w:tc>
      </w:tr>
      <w:tr>
        <w:trPr>
          <w:trHeight w:val="223"/>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Earnings (loss) from continuing operations before income taxes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16,581</w:t>
            </w:r>
          </w:p>
        </w:tc>
      </w:tr>
      <w:tr>
        <w:trPr>
          <w:trHeight w:val="230"/>
        </w:trPr>
        <w:tc>
          <w:tcPr>
            <w:tcW w:w="53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tax provision (benefit)</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5,869</w:t>
            </w:r>
          </w:p>
        </w:tc>
      </w:tr>
      <w:tr>
        <w:trPr>
          <w:trHeight w:val="223"/>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(loss) from continuing operations</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22,911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10,712</w:t>
            </w:r>
          </w:p>
        </w:tc>
      </w:tr>
      <w:tr>
        <w:trPr>
          <w:trHeight w:val="223"/>
        </w:trPr>
        <w:tc>
          <w:tcPr>
            <w:tcW w:w="53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Loss from discontinued operations, net of tax (See Note 2)</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(2,152)</w:t>
            </w:r>
          </w:p>
        </w:tc>
      </w:tr>
      <w:tr>
        <w:trPr>
          <w:trHeight w:val="248"/>
        </w:trPr>
        <w:tc>
          <w:tcPr>
            <w:tcW w:w="5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8,560</w:t>
            </w:r>
          </w:p>
        </w:tc>
      </w:tr>
      <w:tr>
        <w:trPr>
          <w:trHeight w:val="20"/>
        </w:trPr>
        <w:tc>
          <w:tcPr>
            <w:tcW w:w="53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14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29"/>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(loss) per share:</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5300" w:type="dxa"/>
            <w:vAlign w:val="bottom"/>
            <w:gridSpan w:val="2"/>
          </w:tcPr>
          <w:p>
            <w:pPr>
              <w:ind w:left="220"/>
              <w:spacing w:after="0"/>
              <w:rPr>
                <w:sz w:val="20"/>
                <w:szCs w:val="20"/>
                <w:color w:val="auto"/>
              </w:rPr>
            </w:pPr>
            <w:r>
              <w:rPr>
                <w:rFonts w:ascii="Arial" w:cs="Arial" w:eastAsia="Arial" w:hAnsi="Arial"/>
                <w:sz w:val="18"/>
                <w:szCs w:val="18"/>
                <w:color w:val="auto"/>
              </w:rPr>
              <w:t>Continuing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0.14</w:t>
            </w:r>
          </w:p>
        </w:tc>
      </w:tr>
      <w:tr>
        <w:trPr>
          <w:trHeight w:val="230"/>
        </w:trPr>
        <w:tc>
          <w:tcPr>
            <w:tcW w:w="5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Discontinued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r>
      <w:tr>
        <w:trPr>
          <w:trHeight w:val="230"/>
        </w:trPr>
        <w:tc>
          <w:tcPr>
            <w:tcW w:w="530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0.11</w:t>
            </w:r>
          </w:p>
        </w:tc>
      </w:tr>
      <w:tr>
        <w:trPr>
          <w:trHeight w:val="229"/>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(loss) per share:</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5300" w:type="dxa"/>
            <w:vAlign w:val="bottom"/>
            <w:gridSpan w:val="2"/>
          </w:tcPr>
          <w:p>
            <w:pPr>
              <w:ind w:left="220"/>
              <w:spacing w:after="0"/>
              <w:rPr>
                <w:sz w:val="20"/>
                <w:szCs w:val="20"/>
                <w:color w:val="auto"/>
              </w:rPr>
            </w:pPr>
            <w:r>
              <w:rPr>
                <w:rFonts w:ascii="Arial" w:cs="Arial" w:eastAsia="Arial" w:hAnsi="Arial"/>
                <w:sz w:val="18"/>
                <w:szCs w:val="18"/>
                <w:color w:val="auto"/>
              </w:rPr>
              <w:t>Continuing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0.14</w:t>
            </w:r>
          </w:p>
        </w:tc>
      </w:tr>
      <w:tr>
        <w:trPr>
          <w:trHeight w:val="230"/>
        </w:trPr>
        <w:tc>
          <w:tcPr>
            <w:tcW w:w="5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Discontinued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r>
      <w:tr>
        <w:trPr>
          <w:trHeight w:val="230"/>
        </w:trPr>
        <w:tc>
          <w:tcPr>
            <w:tcW w:w="530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0.11</w:t>
            </w:r>
          </w:p>
        </w:tc>
      </w:tr>
      <w:tr>
        <w:trPr>
          <w:trHeight w:val="216"/>
        </w:trPr>
        <w:tc>
          <w:tcPr>
            <w:tcW w:w="53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5300" w:type="dxa"/>
            <w:vAlign w:val="bottom"/>
            <w:gridSpan w:val="2"/>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5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78,480</w:t>
            </w:r>
          </w:p>
        </w:tc>
      </w:tr>
      <w:tr>
        <w:trPr>
          <w:trHeight w:val="229"/>
        </w:trPr>
        <w:tc>
          <w:tcPr>
            <w:tcW w:w="5300" w:type="dxa"/>
            <w:vAlign w:val="bottom"/>
            <w:gridSpan w:val="2"/>
          </w:tcPr>
          <w:p>
            <w:pPr>
              <w:ind w:left="22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80,057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78,575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79,658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78,774</w:t>
            </w:r>
          </w:p>
        </w:tc>
      </w:tr>
      <w:tr>
        <w:trPr>
          <w:trHeight w:val="203"/>
        </w:trPr>
        <w:tc>
          <w:tcPr>
            <w:tcW w:w="530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30"/>
        </w:trPr>
        <w:tc>
          <w:tcPr>
            <w:tcW w:w="5300" w:type="dxa"/>
            <w:vAlign w:val="bottom"/>
            <w:gridSpan w:val="2"/>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5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8,560</w:t>
            </w:r>
          </w:p>
        </w:tc>
      </w:tr>
      <w:tr>
        <w:trPr>
          <w:trHeight w:val="230"/>
        </w:trPr>
        <w:tc>
          <w:tcPr>
            <w:tcW w:w="5300" w:type="dxa"/>
            <w:vAlign w:val="bottom"/>
            <w:gridSpan w:val="2"/>
          </w:tcPr>
          <w:p>
            <w:pPr>
              <w:ind w:left="220"/>
              <w:spacing w:after="0"/>
              <w:rPr>
                <w:sz w:val="20"/>
                <w:szCs w:val="20"/>
                <w:color w:val="auto"/>
              </w:rPr>
            </w:pPr>
            <w:r>
              <w:rPr>
                <w:rFonts w:ascii="Arial" w:cs="Arial" w:eastAsia="Arial" w:hAnsi="Arial"/>
                <w:sz w:val="18"/>
                <w:szCs w:val="18"/>
                <w:color w:val="auto"/>
              </w:rPr>
              <w:t>Unrealized gain on hedge instruments</w:t>
            </w: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483</w:t>
            </w:r>
          </w:p>
        </w:tc>
      </w:tr>
      <w:tr>
        <w:trPr>
          <w:trHeight w:val="229"/>
        </w:trPr>
        <w:tc>
          <w:tcPr>
            <w:tcW w:w="5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Tax provision of unrealized gain on hedge instruments</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23"/>
        </w:trPr>
        <w:tc>
          <w:tcPr>
            <w:tcW w:w="5300" w:type="dxa"/>
            <w:vAlign w:val="bottom"/>
            <w:gridSpan w:val="2"/>
          </w:tcPr>
          <w:p>
            <w:pPr>
              <w:ind w:left="20"/>
              <w:spacing w:after="0"/>
              <w:rPr>
                <w:sz w:val="20"/>
                <w:szCs w:val="20"/>
                <w:color w:val="auto"/>
              </w:rPr>
            </w:pPr>
            <w:r>
              <w:rPr>
                <w:rFonts w:ascii="Arial" w:cs="Arial" w:eastAsia="Arial" w:hAnsi="Arial"/>
                <w:sz w:val="18"/>
                <w:szCs w:val="18"/>
                <w:color w:val="auto"/>
              </w:rPr>
              <w:t>Comprehensive income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8,725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22,911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8,915</w:t>
            </w:r>
          </w:p>
        </w:tc>
      </w:tr>
      <w:tr>
        <w:trPr>
          <w:trHeight w:val="21"/>
        </w:trPr>
        <w:tc>
          <w:tcPr>
            <w:tcW w:w="14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308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0"/>
        </w:trPr>
        <w:tc>
          <w:tcPr>
            <w:tcW w:w="40" w:type="dxa"/>
            <w:vAlign w:val="bottom"/>
            <w:tcBorders>
              <w:top w:val="single" w:sz="8" w:color="0000FF"/>
            </w:tcBorders>
          </w:tcPr>
          <w:p>
            <w:pPr>
              <w:spacing w:after="0"/>
              <w:rPr>
                <w:sz w:val="24"/>
                <w:szCs w:val="24"/>
                <w:color w:val="auto"/>
              </w:rPr>
            </w:pPr>
          </w:p>
        </w:tc>
        <w:tc>
          <w:tcPr>
            <w:tcW w:w="1360" w:type="dxa"/>
            <w:vAlign w:val="bottom"/>
            <w:tcBorders>
              <w:top w:val="single" w:sz="8" w:color="0000FF"/>
            </w:tcBorders>
          </w:tcPr>
          <w:p>
            <w:pPr>
              <w:spacing w:after="0"/>
              <w:rPr>
                <w:sz w:val="24"/>
                <w:szCs w:val="24"/>
                <w:color w:val="auto"/>
              </w:rPr>
            </w:pPr>
          </w:p>
        </w:tc>
        <w:tc>
          <w:tcPr>
            <w:tcW w:w="1680" w:type="dxa"/>
            <w:vAlign w:val="bottom"/>
          </w:tcPr>
          <w:p>
            <w:pPr>
              <w:spacing w:after="0"/>
              <w:rPr>
                <w:sz w:val="24"/>
                <w:szCs w:val="24"/>
                <w:color w:val="auto"/>
              </w:rPr>
            </w:pPr>
          </w:p>
        </w:tc>
        <w:tc>
          <w:tcPr>
            <w:tcW w:w="4580" w:type="dxa"/>
            <w:vAlign w:val="bottom"/>
            <w:gridSpan w:val="7"/>
          </w:tcPr>
          <w:p>
            <w:pPr>
              <w:jc w:val="center"/>
              <w:ind w:left="430"/>
              <w:spacing w:after="0"/>
              <w:rPr>
                <w:sz w:val="20"/>
                <w:szCs w:val="20"/>
                <w:color w:val="auto"/>
              </w:rPr>
            </w:pPr>
            <w:r>
              <w:rPr>
                <w:rFonts w:ascii="Arial" w:cs="Arial" w:eastAsia="Arial" w:hAnsi="Arial"/>
                <w:sz w:val="18"/>
                <w:szCs w:val="18"/>
                <w:b w:val="1"/>
                <w:bCs w:val="1"/>
                <w:color w:val="auto"/>
                <w:w w:val="99"/>
              </w:rPr>
              <w:t>National Vision Holdings, Inc. and Subsidiaries</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400" w:type="dxa"/>
            <w:vAlign w:val="bottom"/>
            <w:gridSpan w:val="10"/>
          </w:tcPr>
          <w:p>
            <w:pPr>
              <w:jc w:val="center"/>
              <w:ind w:left="970"/>
              <w:spacing w:after="0"/>
              <w:rPr>
                <w:sz w:val="20"/>
                <w:szCs w:val="20"/>
                <w:color w:val="auto"/>
              </w:rPr>
            </w:pPr>
            <w:r>
              <w:rPr>
                <w:rFonts w:ascii="Arial" w:cs="Arial" w:eastAsia="Arial" w:hAnsi="Arial"/>
                <w:sz w:val="18"/>
                <w:szCs w:val="18"/>
                <w:b w:val="1"/>
                <w:bCs w:val="1"/>
                <w:color w:val="auto"/>
                <w:w w:val="99"/>
              </w:rPr>
              <w:t>Condensed Consolidated Statements of Stockholders’ Equity (Unaudited)</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gridSpan w:val="6"/>
          </w:tcPr>
          <w:p>
            <w:pPr>
              <w:jc w:val="right"/>
              <w:ind w:right="810"/>
              <w:spacing w:after="0"/>
              <w:rPr>
                <w:sz w:val="20"/>
                <w:szCs w:val="20"/>
                <w:color w:val="auto"/>
              </w:rPr>
            </w:pPr>
            <w:r>
              <w:rPr>
                <w:rFonts w:ascii="Arial" w:cs="Arial" w:eastAsia="Arial" w:hAnsi="Arial"/>
                <w:sz w:val="18"/>
                <w:szCs w:val="18"/>
                <w:color w:val="auto"/>
              </w:rPr>
              <w:t>Three and Six Months Ended June 28, 2025</w:t>
            </w: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700" w:type="dxa"/>
            <w:vAlign w:val="bottom"/>
            <w:gridSpan w:val="3"/>
          </w:tcPr>
          <w:p>
            <w:pPr>
              <w:jc w:val="right"/>
              <w:ind w:right="150"/>
              <w:spacing w:after="0" w:line="196" w:lineRule="exact"/>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center"/>
              <w:ind w:right="190"/>
              <w:spacing w:after="0" w:line="196" w:lineRule="exact"/>
              <w:rPr>
                <w:sz w:val="20"/>
                <w:szCs w:val="20"/>
                <w:color w:val="auto"/>
              </w:rPr>
            </w:pPr>
            <w:r>
              <w:rPr>
                <w:rFonts w:ascii="Arial" w:cs="Arial" w:eastAsia="Arial" w:hAnsi="Arial"/>
                <w:sz w:val="18"/>
                <w:szCs w:val="18"/>
                <w:color w:val="auto"/>
                <w:w w:val="99"/>
              </w:rPr>
              <w:t>Accumulated</w:t>
            </w: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68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vMerge w:val="restart"/>
          </w:tcPr>
          <w:p>
            <w:pPr>
              <w:jc w:val="center"/>
              <w:ind w:right="50"/>
              <w:spacing w:after="0" w:line="149" w:lineRule="exact"/>
              <w:rPr>
                <w:sz w:val="20"/>
                <w:szCs w:val="20"/>
                <w:color w:val="auto"/>
              </w:rPr>
            </w:pPr>
            <w:r>
              <w:rPr>
                <w:rFonts w:ascii="Arial" w:cs="Arial" w:eastAsia="Arial" w:hAnsi="Arial"/>
                <w:sz w:val="17"/>
                <w:szCs w:val="17"/>
                <w:color w:val="auto"/>
              </w:rPr>
              <w:t>Additional</w:t>
            </w:r>
          </w:p>
        </w:tc>
        <w:tc>
          <w:tcPr>
            <w:tcW w:w="160" w:type="dxa"/>
            <w:vAlign w:val="bottom"/>
          </w:tcPr>
          <w:p>
            <w:pPr>
              <w:spacing w:after="0"/>
              <w:rPr>
                <w:sz w:val="4"/>
                <w:szCs w:val="4"/>
                <w:color w:val="auto"/>
              </w:rPr>
            </w:pPr>
          </w:p>
        </w:tc>
        <w:tc>
          <w:tcPr>
            <w:tcW w:w="1640" w:type="dxa"/>
            <w:vAlign w:val="bottom"/>
            <w:vMerge w:val="restart"/>
          </w:tcPr>
          <w:p>
            <w:pPr>
              <w:jc w:val="center"/>
              <w:ind w:right="190"/>
              <w:spacing w:after="0" w:line="149" w:lineRule="exact"/>
              <w:rPr>
                <w:sz w:val="20"/>
                <w:szCs w:val="20"/>
                <w:color w:val="auto"/>
              </w:rPr>
            </w:pPr>
            <w:r>
              <w:rPr>
                <w:rFonts w:ascii="Arial" w:cs="Arial" w:eastAsia="Arial" w:hAnsi="Arial"/>
                <w:sz w:val="17"/>
                <w:szCs w:val="17"/>
                <w:color w:val="auto"/>
              </w:rPr>
              <w:t>Other</w:t>
            </w:r>
          </w:p>
        </w:tc>
        <w:tc>
          <w:tcPr>
            <w:tcW w:w="88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Retained</w:t>
            </w:r>
          </w:p>
        </w:tc>
        <w:tc>
          <w:tcPr>
            <w:tcW w:w="260" w:type="dxa"/>
            <w:vAlign w:val="bottom"/>
          </w:tcPr>
          <w:p>
            <w:pPr>
              <w:spacing w:after="0"/>
              <w:rPr>
                <w:sz w:val="4"/>
                <w:szCs w:val="4"/>
                <w:color w:val="auto"/>
              </w:rPr>
            </w:pPr>
          </w:p>
        </w:tc>
        <w:tc>
          <w:tcPr>
            <w:tcW w:w="1020" w:type="dxa"/>
            <w:vAlign w:val="bottom"/>
            <w:vMerge w:val="restart"/>
          </w:tcPr>
          <w:p>
            <w:pPr>
              <w:jc w:val="right"/>
              <w:ind w:right="190"/>
              <w:spacing w:after="0"/>
              <w:rPr>
                <w:sz w:val="20"/>
                <w:szCs w:val="20"/>
                <w:color w:val="auto"/>
              </w:rPr>
            </w:pPr>
            <w:r>
              <w:rPr>
                <w:rFonts w:ascii="Arial" w:cs="Arial" w:eastAsia="Arial" w:hAnsi="Arial"/>
                <w:sz w:val="18"/>
                <w:szCs w:val="18"/>
                <w:color w:val="auto"/>
              </w:rPr>
              <w:t>Treasury</w:t>
            </w:r>
          </w:p>
        </w:tc>
        <w:tc>
          <w:tcPr>
            <w:tcW w:w="120" w:type="dxa"/>
            <w:vAlign w:val="bottom"/>
          </w:tcPr>
          <w:p>
            <w:pPr>
              <w:spacing w:after="0"/>
              <w:rPr>
                <w:sz w:val="4"/>
                <w:szCs w:val="4"/>
                <w:color w:val="auto"/>
              </w:rPr>
            </w:pPr>
          </w:p>
        </w:tc>
        <w:tc>
          <w:tcPr>
            <w:tcW w:w="1280" w:type="dxa"/>
            <w:vAlign w:val="bottom"/>
            <w:vMerge w:val="restart"/>
          </w:tcPr>
          <w:p>
            <w:pPr>
              <w:jc w:val="center"/>
              <w:ind w:right="90"/>
              <w:spacing w:after="0" w:line="149" w:lineRule="exact"/>
              <w:rPr>
                <w:sz w:val="20"/>
                <w:szCs w:val="20"/>
                <w:color w:val="auto"/>
              </w:rPr>
            </w:pPr>
            <w:r>
              <w:rPr>
                <w:rFonts w:ascii="Arial" w:cs="Arial" w:eastAsia="Arial" w:hAnsi="Arial"/>
                <w:sz w:val="17"/>
                <w:szCs w:val="17"/>
                <w:color w:val="auto"/>
              </w:rPr>
              <w:t>Total</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04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840" w:type="dxa"/>
            <w:vAlign w:val="bottom"/>
            <w:vMerge w:val="restart"/>
          </w:tcPr>
          <w:p>
            <w:pPr>
              <w:jc w:val="right"/>
              <w:ind w:right="50"/>
              <w:spacing w:after="0"/>
              <w:rPr>
                <w:sz w:val="20"/>
                <w:szCs w:val="20"/>
                <w:color w:val="auto"/>
              </w:rPr>
            </w:pPr>
            <w:r>
              <w:rPr>
                <w:rFonts w:ascii="Arial" w:cs="Arial" w:eastAsia="Arial" w:hAnsi="Arial"/>
                <w:sz w:val="18"/>
                <w:szCs w:val="18"/>
                <w:color w:val="auto"/>
              </w:rPr>
              <w:t>Shares</w:t>
            </w:r>
          </w:p>
        </w:tc>
        <w:tc>
          <w:tcPr>
            <w:tcW w:w="86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Amount</w:t>
            </w:r>
          </w:p>
        </w:tc>
        <w:tc>
          <w:tcPr>
            <w:tcW w:w="120" w:type="dxa"/>
            <w:vAlign w:val="bottom"/>
          </w:tcPr>
          <w:p>
            <w:pPr>
              <w:spacing w:after="0"/>
              <w:rPr>
                <w:sz w:val="15"/>
                <w:szCs w:val="15"/>
                <w:color w:val="auto"/>
              </w:rPr>
            </w:pPr>
          </w:p>
        </w:tc>
        <w:tc>
          <w:tcPr>
            <w:tcW w:w="960" w:type="dxa"/>
            <w:vAlign w:val="bottom"/>
          </w:tcPr>
          <w:p>
            <w:pPr>
              <w:jc w:val="center"/>
              <w:ind w:right="50"/>
              <w:spacing w:after="0" w:line="176" w:lineRule="exact"/>
              <w:rPr>
                <w:sz w:val="20"/>
                <w:szCs w:val="20"/>
                <w:color w:val="auto"/>
              </w:rPr>
            </w:pPr>
            <w:r>
              <w:rPr>
                <w:rFonts w:ascii="Arial" w:cs="Arial" w:eastAsia="Arial" w:hAnsi="Arial"/>
                <w:sz w:val="18"/>
                <w:szCs w:val="18"/>
                <w:color w:val="auto"/>
              </w:rPr>
              <w:t>Paid-In</w:t>
            </w:r>
          </w:p>
        </w:tc>
        <w:tc>
          <w:tcPr>
            <w:tcW w:w="160" w:type="dxa"/>
            <w:vAlign w:val="bottom"/>
          </w:tcPr>
          <w:p>
            <w:pPr>
              <w:spacing w:after="0"/>
              <w:rPr>
                <w:sz w:val="15"/>
                <w:szCs w:val="15"/>
                <w:color w:val="auto"/>
              </w:rPr>
            </w:pPr>
          </w:p>
        </w:tc>
        <w:tc>
          <w:tcPr>
            <w:tcW w:w="1640" w:type="dxa"/>
            <w:vAlign w:val="bottom"/>
          </w:tcPr>
          <w:p>
            <w:pPr>
              <w:jc w:val="center"/>
              <w:ind w:right="250"/>
              <w:spacing w:after="0" w:line="176" w:lineRule="exact"/>
              <w:rPr>
                <w:sz w:val="20"/>
                <w:szCs w:val="20"/>
                <w:color w:val="auto"/>
              </w:rPr>
            </w:pPr>
            <w:r>
              <w:rPr>
                <w:rFonts w:ascii="Arial" w:cs="Arial" w:eastAsia="Arial" w:hAnsi="Arial"/>
                <w:sz w:val="18"/>
                <w:szCs w:val="18"/>
                <w:color w:val="auto"/>
                <w:w w:val="99"/>
              </w:rPr>
              <w:t>Comprehensive</w:t>
            </w:r>
          </w:p>
        </w:tc>
        <w:tc>
          <w:tcPr>
            <w:tcW w:w="8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9"/>
              </w:rPr>
              <w:t>Stockholders’</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040" w:type="dxa"/>
            <w:vAlign w:val="bottom"/>
            <w:tcBorders>
              <w:bottom w:val="single" w:sz="8" w:color="CCEEFF"/>
            </w:tcBorders>
            <w:gridSpan w:val="2"/>
            <w:vMerge w:val="continue"/>
          </w:tcPr>
          <w:p>
            <w:pPr>
              <w:spacing w:after="0"/>
              <w:rPr>
                <w:sz w:val="21"/>
                <w:szCs w:val="21"/>
                <w:color w:val="auto"/>
              </w:rPr>
            </w:pPr>
          </w:p>
        </w:tc>
        <w:tc>
          <w:tcPr>
            <w:tcW w:w="840" w:type="dxa"/>
            <w:vAlign w:val="bottom"/>
            <w:tcBorders>
              <w:bottom w:val="single" w:sz="8" w:color="auto"/>
            </w:tcBorders>
            <w:vMerge w:val="continue"/>
          </w:tcPr>
          <w:p>
            <w:pPr>
              <w:spacing w:after="0"/>
              <w:rPr>
                <w:sz w:val="21"/>
                <w:szCs w:val="21"/>
                <w:color w:val="auto"/>
              </w:rPr>
            </w:pPr>
          </w:p>
        </w:tc>
        <w:tc>
          <w:tcPr>
            <w:tcW w:w="860" w:type="dxa"/>
            <w:vAlign w:val="bottom"/>
            <w:tcBorders>
              <w:bottom w:val="single" w:sz="8" w:color="auto"/>
            </w:tcBorders>
            <w:gridSpan w:val="2"/>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Capital</w:t>
            </w:r>
          </w:p>
        </w:tc>
        <w:tc>
          <w:tcPr>
            <w:tcW w:w="1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9"/>
              </w:rPr>
              <w:t>Loss</w:t>
            </w: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8"/>
              </w:rPr>
              <w:t>Earnings</w:t>
            </w: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Stock</w:t>
            </w: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9"/>
              </w:rPr>
              <w:t>Equity</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Balances at December 28, 2024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78,775</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807,048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 $</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226,117</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(217,686)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816,333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04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Issuance of common stock </w:t>
            </w:r>
            <w:r>
              <w:rPr>
                <w:rFonts w:ascii="Arial" w:cs="Arial" w:eastAsia="Arial" w:hAnsi="Arial"/>
                <w:sz w:val="23"/>
                <w:szCs w:val="23"/>
                <w:color w:val="auto"/>
                <w:vertAlign w:val="superscript"/>
              </w:rPr>
              <w:t>(1)</w:t>
            </w:r>
          </w:p>
        </w:tc>
        <w:tc>
          <w:tcPr>
            <w:tcW w:w="840" w:type="dxa"/>
            <w:vAlign w:val="bottom"/>
          </w:tcPr>
          <w:p>
            <w:pPr>
              <w:jc w:val="right"/>
              <w:spacing w:after="0"/>
              <w:rPr>
                <w:sz w:val="20"/>
                <w:szCs w:val="20"/>
                <w:color w:val="auto"/>
              </w:rPr>
            </w:pPr>
            <w:r>
              <w:rPr>
                <w:rFonts w:ascii="Arial" w:cs="Arial" w:eastAsia="Arial" w:hAnsi="Arial"/>
                <w:sz w:val="18"/>
                <w:szCs w:val="18"/>
                <w:color w:val="auto"/>
              </w:rPr>
              <w:t>403</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261</w:t>
            </w:r>
          </w:p>
        </w:tc>
        <w:tc>
          <w:tcPr>
            <w:tcW w:w="160" w:type="dxa"/>
            <w:vAlign w:val="bottom"/>
          </w:tcPr>
          <w:p>
            <w:pPr>
              <w:spacing w:after="0"/>
              <w:rPr>
                <w:sz w:val="19"/>
                <w:szCs w:val="19"/>
                <w:color w:val="auto"/>
              </w:rPr>
            </w:pPr>
          </w:p>
        </w:tc>
        <w:tc>
          <w:tcPr>
            <w:tcW w:w="1640" w:type="dxa"/>
            <w:vAlign w:val="bottom"/>
          </w:tcPr>
          <w:p>
            <w:pPr>
              <w:ind w:left="12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040" w:type="dxa"/>
            <w:vAlign w:val="bottom"/>
            <w:gridSpan w:val="2"/>
          </w:tcPr>
          <w:p>
            <w:pPr>
              <w:ind w:left="140"/>
              <w:spacing w:after="0"/>
              <w:rPr>
                <w:sz w:val="20"/>
                <w:szCs w:val="20"/>
                <w:color w:val="auto"/>
              </w:rPr>
            </w:pPr>
            <w:r>
              <w:rPr>
                <w:rFonts w:ascii="Arial" w:cs="Arial" w:eastAsia="Arial" w:hAnsi="Arial"/>
                <w:sz w:val="18"/>
                <w:szCs w:val="18"/>
                <w:color w:val="auto"/>
              </w:rPr>
              <w:t>Purchase of treasury stock</w:t>
            </w:r>
          </w:p>
        </w:tc>
        <w:tc>
          <w:tcPr>
            <w:tcW w:w="840" w:type="dxa"/>
            <w:vAlign w:val="bottom"/>
          </w:tcPr>
          <w:p>
            <w:pPr>
              <w:jc w:val="right"/>
              <w:spacing w:after="0"/>
              <w:rPr>
                <w:sz w:val="20"/>
                <w:szCs w:val="20"/>
                <w:color w:val="auto"/>
              </w:rPr>
            </w:pPr>
            <w:r>
              <w:rPr>
                <w:rFonts w:ascii="Arial" w:cs="Arial" w:eastAsia="Arial" w:hAnsi="Arial"/>
                <w:sz w:val="18"/>
                <w:szCs w:val="18"/>
                <w:color w:val="auto"/>
              </w:rPr>
              <w:t>(128)</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40" w:type="dxa"/>
            <w:vAlign w:val="bottom"/>
          </w:tcPr>
          <w:p>
            <w:pPr>
              <w:ind w:left="12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(1,624)</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04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Unrealized gain on hedge</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640" w:type="dxa"/>
            <w:vAlign w:val="bottom"/>
            <w:vMerge w:val="restart"/>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instruments, net of tax</w:t>
            </w:r>
          </w:p>
        </w:tc>
        <w:tc>
          <w:tcPr>
            <w:tcW w:w="840" w:type="dxa"/>
            <w:vAlign w:val="bottom"/>
            <w:vMerge w:val="continue"/>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40" w:type="dxa"/>
            <w:vAlign w:val="bottom"/>
            <w:vMerge w:val="continue"/>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0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Net income</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14,186</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14,186</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Balances at March 29, 2025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79,050</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814,309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 $</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240,303</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(219,310)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836,160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04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Issuance of common stock </w:t>
            </w:r>
            <w:r>
              <w:rPr>
                <w:rFonts w:ascii="Arial" w:cs="Arial" w:eastAsia="Arial" w:hAnsi="Arial"/>
                <w:sz w:val="23"/>
                <w:szCs w:val="23"/>
                <w:color w:val="auto"/>
                <w:vertAlign w:val="superscript"/>
              </w:rPr>
              <w:t>(1)</w:t>
            </w:r>
          </w:p>
        </w:tc>
        <w:tc>
          <w:tcPr>
            <w:tcW w:w="840" w:type="dxa"/>
            <w:vAlign w:val="bottom"/>
          </w:tcPr>
          <w:p>
            <w:pPr>
              <w:jc w:val="right"/>
              <w:spacing w:after="0"/>
              <w:rPr>
                <w:sz w:val="20"/>
                <w:szCs w:val="20"/>
                <w:color w:val="auto"/>
              </w:rPr>
            </w:pPr>
            <w:r>
              <w:rPr>
                <w:rFonts w:ascii="Arial" w:cs="Arial" w:eastAsia="Arial" w:hAnsi="Arial"/>
                <w:sz w:val="18"/>
                <w:szCs w:val="18"/>
                <w:color w:val="auto"/>
              </w:rPr>
              <w:t>130</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470</w:t>
            </w:r>
          </w:p>
        </w:tc>
        <w:tc>
          <w:tcPr>
            <w:tcW w:w="160" w:type="dxa"/>
            <w:vAlign w:val="bottom"/>
          </w:tcPr>
          <w:p>
            <w:pPr>
              <w:spacing w:after="0"/>
              <w:rPr>
                <w:sz w:val="19"/>
                <w:szCs w:val="19"/>
                <w:color w:val="auto"/>
              </w:rPr>
            </w:pPr>
          </w:p>
        </w:tc>
        <w:tc>
          <w:tcPr>
            <w:tcW w:w="1640" w:type="dxa"/>
            <w:vAlign w:val="bottom"/>
          </w:tcPr>
          <w:p>
            <w:pPr>
              <w:ind w:left="12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5,280</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040" w:type="dxa"/>
            <w:vAlign w:val="bottom"/>
            <w:gridSpan w:val="2"/>
          </w:tcPr>
          <w:p>
            <w:pPr>
              <w:ind w:left="140"/>
              <w:spacing w:after="0"/>
              <w:rPr>
                <w:sz w:val="20"/>
                <w:szCs w:val="20"/>
                <w:color w:val="auto"/>
              </w:rPr>
            </w:pPr>
            <w:r>
              <w:rPr>
                <w:rFonts w:ascii="Arial" w:cs="Arial" w:eastAsia="Arial" w:hAnsi="Arial"/>
                <w:sz w:val="18"/>
                <w:szCs w:val="18"/>
                <w:color w:val="auto"/>
              </w:rPr>
              <w:t>Purchase of treasury stock</w:t>
            </w: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40" w:type="dxa"/>
            <w:vAlign w:val="bottom"/>
          </w:tcPr>
          <w:p>
            <w:pPr>
              <w:ind w:left="12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04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Unrealized gain on hedge</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640" w:type="dxa"/>
            <w:vAlign w:val="bottom"/>
            <w:vMerge w:val="restart"/>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instruments, net of tax</w:t>
            </w:r>
          </w:p>
        </w:tc>
        <w:tc>
          <w:tcPr>
            <w:tcW w:w="840" w:type="dxa"/>
            <w:vAlign w:val="bottom"/>
            <w:vMerge w:val="continue"/>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40" w:type="dxa"/>
            <w:vAlign w:val="bottom"/>
            <w:vMerge w:val="continue"/>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0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Net income (loss)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8,725</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8,725</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Balances at June 28, 2025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79,175</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820,059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 $</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249,028</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(219,365)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850,581</w:t>
            </w:r>
          </w:p>
        </w:tc>
        <w:tc>
          <w:tcPr>
            <w:tcW w:w="0" w:type="dxa"/>
            <w:vAlign w:val="bottom"/>
          </w:tcPr>
          <w:p>
            <w:pPr>
              <w:spacing w:after="0"/>
              <w:rPr>
                <w:sz w:val="1"/>
                <w:szCs w:val="1"/>
                <w:color w:val="auto"/>
              </w:rPr>
            </w:pPr>
          </w:p>
        </w:tc>
      </w:tr>
    </w:tbl>
    <w:p>
      <w:pPr>
        <w:ind w:left="240" w:hanging="187"/>
        <w:spacing w:after="0" w:line="221" w:lineRule="auto"/>
        <w:tabs>
          <w:tab w:leader="none" w:pos="240" w:val="left"/>
        </w:tabs>
        <w:numPr>
          <w:ilvl w:val="0"/>
          <w:numId w:val="3"/>
        </w:numPr>
        <w:rPr>
          <w:rFonts w:ascii="Arial" w:cs="Arial" w:eastAsia="Arial" w:hAnsi="Arial"/>
          <w:sz w:val="22"/>
          <w:szCs w:val="22"/>
          <w:color w:val="auto"/>
          <w:vertAlign w:val="superscript"/>
        </w:rPr>
      </w:pPr>
      <w:r>
        <w:rPr>
          <w:rFonts w:ascii="Arial" w:cs="Arial" w:eastAsia="Arial" w:hAnsi="Arial"/>
          <w:sz w:val="17"/>
          <w:szCs w:val="17"/>
          <w:color w:val="auto"/>
        </w:rPr>
        <w:t>Consists primarily of the vesting of shares issued under the Company’s stock incentive plans and Associate Share Purchase Plan.</w:t>
      </w:r>
    </w:p>
    <w:p>
      <w:pPr>
        <w:spacing w:after="0" w:line="200" w:lineRule="exact"/>
        <w:rPr>
          <w:sz w:val="20"/>
          <w:szCs w:val="20"/>
          <w:color w:val="auto"/>
        </w:rPr>
      </w:pPr>
    </w:p>
    <w:p>
      <w:pPr>
        <w:spacing w:after="0" w:line="358"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306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900" w:type="dxa"/>
            <w:vAlign w:val="bottom"/>
            <w:tcBorders>
              <w:bottom w:val="single" w:sz="8" w:color="auto"/>
            </w:tcBorders>
            <w:gridSpan w:val="7"/>
          </w:tcPr>
          <w:p>
            <w:pPr>
              <w:jc w:val="right"/>
              <w:ind w:right="810"/>
              <w:spacing w:after="0"/>
              <w:rPr>
                <w:sz w:val="20"/>
                <w:szCs w:val="20"/>
                <w:color w:val="auto"/>
              </w:rPr>
            </w:pPr>
            <w:r>
              <w:rPr>
                <w:rFonts w:ascii="Arial" w:cs="Arial" w:eastAsia="Arial" w:hAnsi="Arial"/>
                <w:sz w:val="18"/>
                <w:szCs w:val="18"/>
                <w:color w:val="auto"/>
              </w:rPr>
              <w:t>Three and Six Months Ended June 29, 2024</w:t>
            </w: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060" w:type="dxa"/>
            <w:vAlign w:val="bottom"/>
          </w:tcPr>
          <w:p>
            <w:pPr>
              <w:spacing w:after="0"/>
              <w:rPr>
                <w:sz w:val="17"/>
                <w:szCs w:val="17"/>
                <w:color w:val="auto"/>
              </w:rPr>
            </w:pPr>
          </w:p>
        </w:tc>
        <w:tc>
          <w:tcPr>
            <w:tcW w:w="1680" w:type="dxa"/>
            <w:vAlign w:val="bottom"/>
            <w:gridSpan w:val="3"/>
          </w:tcPr>
          <w:p>
            <w:pPr>
              <w:jc w:val="right"/>
              <w:ind w:right="130"/>
              <w:spacing w:after="0" w:line="196" w:lineRule="exact"/>
              <w:rPr>
                <w:sz w:val="20"/>
                <w:szCs w:val="20"/>
                <w:color w:val="auto"/>
              </w:rPr>
            </w:pPr>
            <w:r>
              <w:rPr>
                <w:rFonts w:ascii="Arial" w:cs="Arial" w:eastAsia="Arial" w:hAnsi="Arial"/>
                <w:sz w:val="18"/>
                <w:szCs w:val="18"/>
                <w:color w:val="auto"/>
              </w:rPr>
              <w:t>Common Stock</w:t>
            </w:r>
          </w:p>
        </w:tc>
        <w:tc>
          <w:tcPr>
            <w:tcW w:w="140" w:type="dxa"/>
            <w:vAlign w:val="bottom"/>
          </w:tcPr>
          <w:p>
            <w:pPr>
              <w:spacing w:after="0"/>
              <w:rPr>
                <w:sz w:val="17"/>
                <w:szCs w:val="17"/>
                <w:color w:val="auto"/>
              </w:rPr>
            </w:pPr>
          </w:p>
        </w:tc>
        <w:tc>
          <w:tcPr>
            <w:tcW w:w="980" w:type="dxa"/>
            <w:vAlign w:val="bottom"/>
            <w:vMerge w:val="restart"/>
          </w:tcPr>
          <w:p>
            <w:pPr>
              <w:jc w:val="center"/>
              <w:ind w:right="70"/>
              <w:spacing w:after="0"/>
              <w:rPr>
                <w:sz w:val="20"/>
                <w:szCs w:val="20"/>
                <w:color w:val="auto"/>
              </w:rPr>
            </w:pPr>
            <w:r>
              <w:rPr>
                <w:rFonts w:ascii="Arial" w:cs="Arial" w:eastAsia="Arial" w:hAnsi="Arial"/>
                <w:sz w:val="18"/>
                <w:szCs w:val="18"/>
                <w:color w:val="auto"/>
                <w:w w:val="98"/>
              </w:rPr>
              <w:t>Additional</w:t>
            </w:r>
          </w:p>
        </w:tc>
        <w:tc>
          <w:tcPr>
            <w:tcW w:w="160" w:type="dxa"/>
            <w:vAlign w:val="bottom"/>
          </w:tcPr>
          <w:p>
            <w:pPr>
              <w:spacing w:after="0"/>
              <w:rPr>
                <w:sz w:val="17"/>
                <w:szCs w:val="17"/>
                <w:color w:val="auto"/>
              </w:rPr>
            </w:pPr>
          </w:p>
        </w:tc>
        <w:tc>
          <w:tcPr>
            <w:tcW w:w="14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99"/>
              </w:rPr>
              <w:t>Accumulated</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vMerge w:val="restart"/>
          </w:tcPr>
          <w:p>
            <w:pPr>
              <w:jc w:val="center"/>
              <w:ind w:right="90"/>
              <w:spacing w:after="0"/>
              <w:rPr>
                <w:sz w:val="20"/>
                <w:szCs w:val="20"/>
                <w:color w:val="auto"/>
              </w:rPr>
            </w:pPr>
            <w:r>
              <w:rPr>
                <w:rFonts w:ascii="Arial" w:cs="Arial" w:eastAsia="Arial" w:hAnsi="Arial"/>
                <w:sz w:val="18"/>
                <w:szCs w:val="18"/>
                <w:color w:val="auto"/>
                <w:w w:val="94"/>
              </w:rPr>
              <w:t>Total</w:t>
            </w:r>
          </w:p>
        </w:tc>
        <w:tc>
          <w:tcPr>
            <w:tcW w:w="0" w:type="dxa"/>
            <w:vAlign w:val="bottom"/>
          </w:tcPr>
          <w:p>
            <w:pPr>
              <w:spacing w:after="0"/>
              <w:rPr>
                <w:sz w:val="1"/>
                <w:szCs w:val="1"/>
                <w:color w:val="auto"/>
              </w:rPr>
            </w:pPr>
          </w:p>
        </w:tc>
      </w:tr>
      <w:tr>
        <w:trPr>
          <w:trHeight w:val="54"/>
        </w:trPr>
        <w:tc>
          <w:tcPr>
            <w:tcW w:w="306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vMerge w:val="restart"/>
          </w:tcPr>
          <w:p>
            <w:pPr>
              <w:jc w:val="center"/>
              <w:ind w:right="30"/>
              <w:spacing w:after="0" w:line="161" w:lineRule="exact"/>
              <w:rPr>
                <w:sz w:val="20"/>
                <w:szCs w:val="20"/>
                <w:color w:val="auto"/>
              </w:rPr>
            </w:pPr>
            <w:r>
              <w:rPr>
                <w:rFonts w:ascii="Arial" w:cs="Arial" w:eastAsia="Arial" w:hAnsi="Arial"/>
                <w:sz w:val="18"/>
                <w:szCs w:val="18"/>
                <w:color w:val="auto"/>
              </w:rPr>
              <w:t>Other</w:t>
            </w:r>
          </w:p>
        </w:tc>
        <w:tc>
          <w:tcPr>
            <w:tcW w:w="160" w:type="dxa"/>
            <w:vAlign w:val="bottom"/>
          </w:tcPr>
          <w:p>
            <w:pPr>
              <w:spacing w:after="0"/>
              <w:rPr>
                <w:sz w:val="4"/>
                <w:szCs w:val="4"/>
                <w:color w:val="auto"/>
              </w:rPr>
            </w:pPr>
          </w:p>
        </w:tc>
        <w:tc>
          <w:tcPr>
            <w:tcW w:w="92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Retained</w:t>
            </w:r>
          </w:p>
        </w:tc>
        <w:tc>
          <w:tcPr>
            <w:tcW w:w="180" w:type="dxa"/>
            <w:vAlign w:val="bottom"/>
          </w:tcPr>
          <w:p>
            <w:pPr>
              <w:spacing w:after="0"/>
              <w:rPr>
                <w:sz w:val="4"/>
                <w:szCs w:val="4"/>
                <w:color w:val="auto"/>
              </w:rPr>
            </w:pPr>
          </w:p>
        </w:tc>
        <w:tc>
          <w:tcPr>
            <w:tcW w:w="1040" w:type="dxa"/>
            <w:vAlign w:val="bottom"/>
            <w:vMerge w:val="restart"/>
          </w:tcPr>
          <w:p>
            <w:pPr>
              <w:jc w:val="right"/>
              <w:ind w:right="170"/>
              <w:spacing w:after="0"/>
              <w:rPr>
                <w:sz w:val="20"/>
                <w:szCs w:val="20"/>
                <w:color w:val="auto"/>
              </w:rPr>
            </w:pPr>
            <w:r>
              <w:rPr>
                <w:rFonts w:ascii="Arial" w:cs="Arial" w:eastAsia="Arial" w:hAnsi="Arial"/>
                <w:sz w:val="18"/>
                <w:szCs w:val="18"/>
                <w:color w:val="auto"/>
              </w:rPr>
              <w:t>Treasury</w:t>
            </w:r>
          </w:p>
        </w:tc>
        <w:tc>
          <w:tcPr>
            <w:tcW w:w="120" w:type="dxa"/>
            <w:vAlign w:val="bottom"/>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3060" w:type="dxa"/>
            <w:vAlign w:val="bottom"/>
          </w:tcPr>
          <w:p>
            <w:pPr>
              <w:spacing w:after="0"/>
              <w:rPr>
                <w:sz w:val="7"/>
                <w:szCs w:val="7"/>
                <w:color w:val="auto"/>
              </w:rPr>
            </w:pPr>
          </w:p>
        </w:tc>
        <w:tc>
          <w:tcPr>
            <w:tcW w:w="8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4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306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820" w:type="dxa"/>
            <w:vAlign w:val="bottom"/>
            <w:vMerge w:val="restart"/>
          </w:tcPr>
          <w:p>
            <w:pPr>
              <w:jc w:val="right"/>
              <w:ind w:right="30"/>
              <w:spacing w:after="0"/>
              <w:rPr>
                <w:sz w:val="20"/>
                <w:szCs w:val="20"/>
                <w:color w:val="auto"/>
              </w:rPr>
            </w:pPr>
            <w:r>
              <w:rPr>
                <w:rFonts w:ascii="Arial" w:cs="Arial" w:eastAsia="Arial" w:hAnsi="Arial"/>
                <w:sz w:val="18"/>
                <w:szCs w:val="18"/>
                <w:color w:val="auto"/>
              </w:rPr>
              <w:t>Shares</w:t>
            </w:r>
          </w:p>
        </w:tc>
        <w:tc>
          <w:tcPr>
            <w:tcW w:w="86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Amount</w:t>
            </w:r>
          </w:p>
        </w:tc>
        <w:tc>
          <w:tcPr>
            <w:tcW w:w="140" w:type="dxa"/>
            <w:vAlign w:val="bottom"/>
          </w:tcPr>
          <w:p>
            <w:pPr>
              <w:spacing w:after="0"/>
              <w:rPr>
                <w:sz w:val="15"/>
                <w:szCs w:val="15"/>
                <w:color w:val="auto"/>
              </w:rPr>
            </w:pPr>
          </w:p>
        </w:tc>
        <w:tc>
          <w:tcPr>
            <w:tcW w:w="980" w:type="dxa"/>
            <w:vAlign w:val="bottom"/>
          </w:tcPr>
          <w:p>
            <w:pPr>
              <w:jc w:val="center"/>
              <w:ind w:right="70"/>
              <w:spacing w:after="0" w:line="176" w:lineRule="exact"/>
              <w:rPr>
                <w:sz w:val="20"/>
                <w:szCs w:val="20"/>
                <w:color w:val="auto"/>
              </w:rPr>
            </w:pPr>
            <w:r>
              <w:rPr>
                <w:rFonts w:ascii="Arial" w:cs="Arial" w:eastAsia="Arial" w:hAnsi="Arial"/>
                <w:sz w:val="18"/>
                <w:szCs w:val="18"/>
                <w:color w:val="auto"/>
              </w:rPr>
              <w:t>Paid-In</w:t>
            </w:r>
          </w:p>
        </w:tc>
        <w:tc>
          <w:tcPr>
            <w:tcW w:w="160" w:type="dxa"/>
            <w:vAlign w:val="bottom"/>
          </w:tcPr>
          <w:p>
            <w:pPr>
              <w:spacing w:after="0"/>
              <w:rPr>
                <w:sz w:val="15"/>
                <w:szCs w:val="15"/>
                <w:color w:val="auto"/>
              </w:rPr>
            </w:pPr>
          </w:p>
        </w:tc>
        <w:tc>
          <w:tcPr>
            <w:tcW w:w="146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9"/>
              </w:rPr>
              <w:t>Comprehensive</w:t>
            </w:r>
          </w:p>
        </w:tc>
        <w:tc>
          <w:tcPr>
            <w:tcW w:w="1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9"/>
              </w:rPr>
              <w:t>Stockholders’</w:t>
            </w:r>
          </w:p>
        </w:tc>
        <w:tc>
          <w:tcPr>
            <w:tcW w:w="0" w:type="dxa"/>
            <w:vAlign w:val="bottom"/>
          </w:tcPr>
          <w:p>
            <w:pPr>
              <w:spacing w:after="0"/>
              <w:rPr>
                <w:sz w:val="1"/>
                <w:szCs w:val="1"/>
                <w:color w:val="auto"/>
              </w:rPr>
            </w:pPr>
          </w:p>
        </w:tc>
      </w:tr>
      <w:tr>
        <w:trPr>
          <w:trHeight w:val="230"/>
        </w:trPr>
        <w:tc>
          <w:tcPr>
            <w:tcW w:w="3060" w:type="dxa"/>
            <w:vAlign w:val="bottom"/>
            <w:tcBorders>
              <w:bottom w:val="single" w:sz="8" w:color="CCEEFF"/>
            </w:tcBorders>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860" w:type="dxa"/>
            <w:vAlign w:val="bottom"/>
            <w:tcBorders>
              <w:bottom w:val="single" w:sz="8" w:color="auto"/>
            </w:tcBorders>
            <w:gridSpan w:val="2"/>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Capital</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9"/>
              </w:rPr>
              <w:t>Loss</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Earnings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Stock</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9"/>
              </w:rPr>
              <w:t>Equity</w:t>
            </w:r>
          </w:p>
        </w:tc>
        <w:tc>
          <w:tcPr>
            <w:tcW w:w="0" w:type="dxa"/>
            <w:vAlign w:val="bottom"/>
          </w:tcPr>
          <w:p>
            <w:pPr>
              <w:spacing w:after="0"/>
              <w:rPr>
                <w:sz w:val="1"/>
                <w:szCs w:val="1"/>
                <w:color w:val="auto"/>
              </w:rPr>
            </w:pPr>
          </w:p>
        </w:tc>
      </w:tr>
      <w:tr>
        <w:trPr>
          <w:trHeight w:val="223"/>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Balances at December 30, 2023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78,311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788,967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254,616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(214,594)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829,418</w:t>
            </w:r>
          </w:p>
        </w:tc>
        <w:tc>
          <w:tcPr>
            <w:tcW w:w="0" w:type="dxa"/>
            <w:vAlign w:val="bottom"/>
          </w:tcPr>
          <w:p>
            <w:pPr>
              <w:spacing w:after="0"/>
              <w:rPr>
                <w:sz w:val="1"/>
                <w:szCs w:val="1"/>
                <w:color w:val="auto"/>
              </w:rPr>
            </w:pPr>
          </w:p>
        </w:tc>
      </w:tr>
      <w:tr>
        <w:trPr>
          <w:trHeight w:val="230"/>
        </w:trPr>
        <w:tc>
          <w:tcPr>
            <w:tcW w:w="3060" w:type="dxa"/>
            <w:vAlign w:val="bottom"/>
          </w:tcPr>
          <w:p>
            <w:pPr>
              <w:ind w:left="120"/>
              <w:spacing w:after="0" w:line="230" w:lineRule="exact"/>
              <w:rPr>
                <w:sz w:val="20"/>
                <w:szCs w:val="20"/>
                <w:color w:val="auto"/>
              </w:rPr>
            </w:pPr>
            <w:r>
              <w:rPr>
                <w:rFonts w:ascii="Arial" w:cs="Arial" w:eastAsia="Arial" w:hAnsi="Arial"/>
                <w:sz w:val="18"/>
                <w:szCs w:val="18"/>
                <w:color w:val="auto"/>
              </w:rPr>
              <w:t xml:space="preserve">Issuance of common stock </w:t>
            </w:r>
            <w:r>
              <w:rPr>
                <w:rFonts w:ascii="Arial" w:cs="Arial" w:eastAsia="Arial" w:hAnsi="Arial"/>
                <w:sz w:val="23"/>
                <w:szCs w:val="23"/>
                <w:color w:val="auto"/>
                <w:vertAlign w:val="superscript"/>
              </w:rPr>
              <w:t>(1)</w:t>
            </w:r>
          </w:p>
        </w:tc>
        <w:tc>
          <w:tcPr>
            <w:tcW w:w="820" w:type="dxa"/>
            <w:vAlign w:val="bottom"/>
          </w:tcPr>
          <w:p>
            <w:pPr>
              <w:jc w:val="right"/>
              <w:spacing w:after="0"/>
              <w:rPr>
                <w:sz w:val="20"/>
                <w:szCs w:val="20"/>
                <w:color w:val="auto"/>
              </w:rPr>
            </w:pPr>
            <w:r>
              <w:rPr>
                <w:rFonts w:ascii="Arial" w:cs="Arial" w:eastAsia="Arial" w:hAnsi="Arial"/>
                <w:sz w:val="18"/>
                <w:szCs w:val="18"/>
                <w:color w:val="auto"/>
              </w:rPr>
              <w:t>363</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w:t>
            </w:r>
          </w:p>
        </w:tc>
        <w:tc>
          <w:tcPr>
            <w:tcW w:w="0" w:type="dxa"/>
            <w:vAlign w:val="bottom"/>
          </w:tcPr>
          <w:p>
            <w:pPr>
              <w:spacing w:after="0"/>
              <w:rPr>
                <w:sz w:val="1"/>
                <w:szCs w:val="1"/>
                <w:color w:val="auto"/>
              </w:rPr>
            </w:pPr>
          </w:p>
        </w:tc>
      </w:tr>
      <w:tr>
        <w:trPr>
          <w:trHeight w:val="230"/>
        </w:trPr>
        <w:tc>
          <w:tcPr>
            <w:tcW w:w="3060" w:type="dxa"/>
            <w:vAlign w:val="bottom"/>
          </w:tcPr>
          <w:p>
            <w:pPr>
              <w:ind w:left="120"/>
              <w:spacing w:after="0"/>
              <w:rPr>
                <w:sz w:val="20"/>
                <w:szCs w:val="20"/>
                <w:color w:val="auto"/>
              </w:rPr>
            </w:pPr>
            <w:r>
              <w:rPr>
                <w:rFonts w:ascii="Arial" w:cs="Arial" w:eastAsia="Arial" w:hAnsi="Arial"/>
                <w:sz w:val="18"/>
                <w:szCs w:val="18"/>
                <w:color w:val="auto"/>
              </w:rPr>
              <w:t>Purchase of treasury stock</w:t>
            </w:r>
          </w:p>
        </w:tc>
        <w:tc>
          <w:tcPr>
            <w:tcW w:w="820" w:type="dxa"/>
            <w:vAlign w:val="bottom"/>
          </w:tcPr>
          <w:p>
            <w:pPr>
              <w:jc w:val="right"/>
              <w:spacing w:after="0"/>
              <w:rPr>
                <w:sz w:val="20"/>
                <w:szCs w:val="20"/>
                <w:color w:val="auto"/>
              </w:rPr>
            </w:pPr>
            <w:r>
              <w:rPr>
                <w:rFonts w:ascii="Arial" w:cs="Arial" w:eastAsia="Arial" w:hAnsi="Arial"/>
                <w:sz w:val="18"/>
                <w:szCs w:val="18"/>
                <w:color w:val="auto"/>
              </w:rPr>
              <w:t>(116)</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(2,721)</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(2,721)</w:t>
            </w:r>
          </w:p>
        </w:tc>
        <w:tc>
          <w:tcPr>
            <w:tcW w:w="0" w:type="dxa"/>
            <w:vAlign w:val="bottom"/>
          </w:tcPr>
          <w:p>
            <w:pPr>
              <w:spacing w:after="0"/>
              <w:rPr>
                <w:sz w:val="1"/>
                <w:szCs w:val="1"/>
                <w:color w:val="auto"/>
              </w:rPr>
            </w:pPr>
          </w:p>
        </w:tc>
      </w:tr>
      <w:tr>
        <w:trPr>
          <w:trHeight w:val="184"/>
        </w:trPr>
        <w:tc>
          <w:tcPr>
            <w:tcW w:w="3060" w:type="dxa"/>
            <w:vAlign w:val="bottom"/>
            <w:shd w:val="clear" w:color="auto" w:fill="CCEEFF"/>
          </w:tcPr>
          <w:p>
            <w:pPr>
              <w:ind w:left="120"/>
              <w:spacing w:after="0" w:line="183" w:lineRule="exact"/>
              <w:rPr>
                <w:sz w:val="20"/>
                <w:szCs w:val="20"/>
                <w:color w:val="auto"/>
              </w:rPr>
            </w:pPr>
            <w:r>
              <w:rPr>
                <w:rFonts w:ascii="Arial" w:cs="Arial" w:eastAsia="Arial" w:hAnsi="Arial"/>
                <w:sz w:val="18"/>
                <w:szCs w:val="18"/>
                <w:color w:val="auto"/>
              </w:rPr>
              <w:t>Unrealized gain on hedge</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35"/>
        </w:trPr>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instruments, net of tax</w:t>
            </w:r>
          </w:p>
        </w:tc>
        <w:tc>
          <w:tcPr>
            <w:tcW w:w="820" w:type="dxa"/>
            <w:vAlign w:val="bottom"/>
            <w:vMerge w:val="continue"/>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6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income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11,685</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11,685</w:t>
            </w:r>
          </w:p>
        </w:tc>
        <w:tc>
          <w:tcPr>
            <w:tcW w:w="0" w:type="dxa"/>
            <w:vAlign w:val="bottom"/>
          </w:tcPr>
          <w:p>
            <w:pPr>
              <w:spacing w:after="0"/>
              <w:rPr>
                <w:sz w:val="1"/>
                <w:szCs w:val="1"/>
                <w:color w:val="auto"/>
              </w:rPr>
            </w:pPr>
          </w:p>
        </w:tc>
      </w:tr>
      <w:tr>
        <w:trPr>
          <w:trHeight w:val="223"/>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Balances at March 30, 2024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78,558</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791,710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266,301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841,319</w:t>
            </w:r>
          </w:p>
        </w:tc>
        <w:tc>
          <w:tcPr>
            <w:tcW w:w="0" w:type="dxa"/>
            <w:vAlign w:val="bottom"/>
          </w:tcPr>
          <w:p>
            <w:pPr>
              <w:spacing w:after="0"/>
              <w:rPr>
                <w:sz w:val="1"/>
                <w:szCs w:val="1"/>
                <w:color w:val="auto"/>
              </w:rPr>
            </w:pPr>
          </w:p>
        </w:tc>
      </w:tr>
      <w:tr>
        <w:trPr>
          <w:trHeight w:val="230"/>
        </w:trPr>
        <w:tc>
          <w:tcPr>
            <w:tcW w:w="3060" w:type="dxa"/>
            <w:vAlign w:val="bottom"/>
          </w:tcPr>
          <w:p>
            <w:pPr>
              <w:ind w:left="120"/>
              <w:spacing w:after="0" w:line="230" w:lineRule="exact"/>
              <w:rPr>
                <w:sz w:val="20"/>
                <w:szCs w:val="20"/>
                <w:color w:val="auto"/>
              </w:rPr>
            </w:pPr>
            <w:r>
              <w:rPr>
                <w:rFonts w:ascii="Arial" w:cs="Arial" w:eastAsia="Arial" w:hAnsi="Arial"/>
                <w:sz w:val="18"/>
                <w:szCs w:val="18"/>
                <w:color w:val="auto"/>
              </w:rPr>
              <w:t xml:space="preserve">Issuance of common stock </w:t>
            </w:r>
            <w:r>
              <w:rPr>
                <w:rFonts w:ascii="Arial" w:cs="Arial" w:eastAsia="Arial" w:hAnsi="Arial"/>
                <w:sz w:val="23"/>
                <w:szCs w:val="23"/>
                <w:color w:val="auto"/>
                <w:vertAlign w:val="superscript"/>
              </w:rPr>
              <w:t>(1)</w:t>
            </w:r>
          </w:p>
        </w:tc>
        <w:tc>
          <w:tcPr>
            <w:tcW w:w="820" w:type="dxa"/>
            <w:vAlign w:val="bottom"/>
          </w:tcPr>
          <w:p>
            <w:pPr>
              <w:jc w:val="right"/>
              <w:spacing w:after="0"/>
              <w:rPr>
                <w:sz w:val="20"/>
                <w:szCs w:val="20"/>
                <w:color w:val="auto"/>
              </w:rPr>
            </w:pPr>
            <w:r>
              <w:rPr>
                <w:rFonts w:ascii="Arial" w:cs="Arial" w:eastAsia="Arial" w:hAnsi="Arial"/>
                <w:sz w:val="18"/>
                <w:szCs w:val="18"/>
                <w:color w:val="auto"/>
              </w:rPr>
              <w:t>73</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353</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w:t>
            </w:r>
          </w:p>
        </w:tc>
        <w:tc>
          <w:tcPr>
            <w:tcW w:w="0" w:type="dxa"/>
            <w:vAlign w:val="bottom"/>
          </w:tcPr>
          <w:p>
            <w:pPr>
              <w:spacing w:after="0"/>
              <w:rPr>
                <w:sz w:val="1"/>
                <w:szCs w:val="1"/>
                <w:color w:val="auto"/>
              </w:rPr>
            </w:pPr>
          </w:p>
        </w:tc>
      </w:tr>
      <w:tr>
        <w:trPr>
          <w:trHeight w:val="230"/>
        </w:trPr>
        <w:tc>
          <w:tcPr>
            <w:tcW w:w="3060" w:type="dxa"/>
            <w:vAlign w:val="bottom"/>
          </w:tcPr>
          <w:p>
            <w:pPr>
              <w:ind w:left="120"/>
              <w:spacing w:after="0"/>
              <w:rPr>
                <w:sz w:val="20"/>
                <w:szCs w:val="20"/>
                <w:color w:val="auto"/>
              </w:rPr>
            </w:pPr>
            <w:r>
              <w:rPr>
                <w:rFonts w:ascii="Arial" w:cs="Arial" w:eastAsia="Arial" w:hAnsi="Arial"/>
                <w:sz w:val="18"/>
                <w:szCs w:val="18"/>
                <w:color w:val="auto"/>
              </w:rPr>
              <w:t>Purchase of treasury stock</w:t>
            </w: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84"/>
        </w:trPr>
        <w:tc>
          <w:tcPr>
            <w:tcW w:w="3060" w:type="dxa"/>
            <w:vAlign w:val="bottom"/>
            <w:shd w:val="clear" w:color="auto" w:fill="CCEEFF"/>
          </w:tcPr>
          <w:p>
            <w:pPr>
              <w:ind w:left="120"/>
              <w:spacing w:after="0" w:line="183" w:lineRule="exact"/>
              <w:rPr>
                <w:sz w:val="20"/>
                <w:szCs w:val="20"/>
                <w:color w:val="auto"/>
              </w:rPr>
            </w:pPr>
            <w:r>
              <w:rPr>
                <w:rFonts w:ascii="Arial" w:cs="Arial" w:eastAsia="Arial" w:hAnsi="Arial"/>
                <w:sz w:val="18"/>
                <w:szCs w:val="18"/>
                <w:color w:val="auto"/>
              </w:rPr>
              <w:t>Unrealized gain on hedge</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35"/>
        </w:trPr>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instruments, net of tax</w:t>
            </w:r>
          </w:p>
        </w:tc>
        <w:tc>
          <w:tcPr>
            <w:tcW w:w="820" w:type="dxa"/>
            <w:vAlign w:val="bottom"/>
            <w:vMerge w:val="continue"/>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6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income (loss)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(3,125)</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(3,125)</w:t>
            </w:r>
          </w:p>
        </w:tc>
        <w:tc>
          <w:tcPr>
            <w:tcW w:w="0" w:type="dxa"/>
            <w:vAlign w:val="bottom"/>
          </w:tcPr>
          <w:p>
            <w:pPr>
              <w:spacing w:after="0"/>
              <w:rPr>
                <w:sz w:val="1"/>
                <w:szCs w:val="1"/>
                <w:color w:val="auto"/>
              </w:rPr>
            </w:pPr>
          </w:p>
        </w:tc>
      </w:tr>
      <w:tr>
        <w:trPr>
          <w:trHeight w:val="223"/>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Balances at June 29, 2024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78,628</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796,812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263,176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(217,369)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843,408</w:t>
            </w:r>
          </w:p>
        </w:tc>
        <w:tc>
          <w:tcPr>
            <w:tcW w:w="0" w:type="dxa"/>
            <w:vAlign w:val="bottom"/>
          </w:tcPr>
          <w:p>
            <w:pPr>
              <w:spacing w:after="0"/>
              <w:rPr>
                <w:sz w:val="1"/>
                <w:szCs w:val="1"/>
                <w:color w:val="auto"/>
              </w:rPr>
            </w:pPr>
          </w:p>
        </w:tc>
      </w:tr>
    </w:tbl>
    <w:p>
      <w:pPr>
        <w:ind w:left="1660" w:right="640" w:hanging="1614"/>
        <w:spacing w:after="0" w:line="402" w:lineRule="auto"/>
        <w:tabs>
          <w:tab w:leader="none" w:pos="246"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 xml:space="preserve">Consists primarily of the vesting of shares issued under the Company’s stock incentive plans and Associate Share Purchase Plan. </w:t>
      </w:r>
      <w:r>
        <w:rPr>
          <w:rFonts w:ascii="Arial" w:cs="Arial" w:eastAsia="Arial" w:hAnsi="Arial"/>
          <w:sz w:val="18"/>
          <w:szCs w:val="18"/>
          <w:i w:val="1"/>
          <w:iCs w:val="1"/>
          <w:color w:val="auto"/>
        </w:rPr>
        <w:t>The accompanying notes are an integral part of these condensed consolidated financial statements.</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color w:val="auto"/>
              </w:rPr>
              <w:t>Six Months Ended</w:t>
            </w:r>
          </w:p>
        </w:tc>
      </w:tr>
      <w:tr>
        <w:trPr>
          <w:trHeight w:val="223"/>
        </w:trPr>
        <w:tc>
          <w:tcPr>
            <w:tcW w:w="800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19"/>
                <w:szCs w:val="19"/>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color w:val="auto"/>
              </w:rPr>
              <w:t>June 28, 2025</w:t>
            </w:r>
          </w:p>
        </w:tc>
        <w:tc>
          <w:tcPr>
            <w:tcW w:w="140" w:type="dxa"/>
            <w:vAlign w:val="bottom"/>
          </w:tcPr>
          <w:p>
            <w:pPr>
              <w:spacing w:after="0"/>
              <w:rPr>
                <w:sz w:val="19"/>
                <w:szCs w:val="19"/>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June 29, 2024</w:t>
            </w:r>
          </w:p>
        </w:tc>
      </w:tr>
      <w:tr>
        <w:trPr>
          <w:trHeight w:val="209"/>
        </w:trPr>
        <w:tc>
          <w:tcPr>
            <w:tcW w:w="8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22,911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8,560</w:t>
            </w:r>
          </w:p>
        </w:tc>
      </w:tr>
      <w:tr>
        <w:trPr>
          <w:trHeight w:val="22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800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45,499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47,244</w:t>
            </w:r>
          </w:p>
        </w:tc>
      </w:tr>
      <w:tr>
        <w:trPr>
          <w:trHeight w:val="229"/>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debt discount and deferred financing costs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w:t>
            </w:r>
          </w:p>
        </w:tc>
      </w:tr>
      <w:tr>
        <w:trPr>
          <w:trHeight w:val="229"/>
        </w:trPr>
        <w:tc>
          <w:tcPr>
            <w:tcW w:w="8000" w:type="dxa"/>
            <w:vAlign w:val="bottom"/>
          </w:tcPr>
          <w:p>
            <w:pPr>
              <w:ind w:left="220"/>
              <w:spacing w:after="0"/>
              <w:rPr>
                <w:sz w:val="20"/>
                <w:szCs w:val="20"/>
                <w:color w:val="auto"/>
              </w:rPr>
            </w:pPr>
            <w:r>
              <w:rPr>
                <w:rFonts w:ascii="Arial" w:cs="Arial" w:eastAsia="Arial" w:hAnsi="Arial"/>
                <w:sz w:val="18"/>
                <w:szCs w:val="18"/>
                <w:color w:val="auto"/>
              </w:rPr>
              <w:t>Amortization of cloud computing implementation costs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2,330</w:t>
            </w:r>
          </w:p>
        </w:tc>
      </w:tr>
      <w:tr>
        <w:trPr>
          <w:trHeight w:val="230"/>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 impairment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w:t>
            </w:r>
          </w:p>
        </w:tc>
      </w:tr>
      <w:tr>
        <w:trPr>
          <w:trHeight w:val="229"/>
        </w:trPr>
        <w:tc>
          <w:tcPr>
            <w:tcW w:w="8000" w:type="dxa"/>
            <w:vAlign w:val="bottom"/>
          </w:tcPr>
          <w:p>
            <w:pPr>
              <w:ind w:left="220"/>
              <w:spacing w:after="0"/>
              <w:rPr>
                <w:sz w:val="20"/>
                <w:szCs w:val="20"/>
                <w:color w:val="auto"/>
              </w:rPr>
            </w:pPr>
            <w:r>
              <w:rPr>
                <w:rFonts w:ascii="Arial" w:cs="Arial" w:eastAsia="Arial" w:hAnsi="Arial"/>
                <w:sz w:val="18"/>
                <w:szCs w:val="18"/>
                <w:color w:val="auto"/>
              </w:rPr>
              <w:t>Deferred income tax expense (benefit)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(9,800)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(5,425)</w:t>
            </w:r>
          </w:p>
        </w:tc>
      </w:tr>
      <w:tr>
        <w:trPr>
          <w:trHeight w:val="230"/>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7,246</w:t>
            </w:r>
          </w:p>
        </w:tc>
      </w:tr>
      <w:tr>
        <w:trPr>
          <w:trHeight w:val="229"/>
        </w:trPr>
        <w:tc>
          <w:tcPr>
            <w:tcW w:w="8000" w:type="dxa"/>
            <w:vAlign w:val="bottom"/>
          </w:tcPr>
          <w:p>
            <w:pPr>
              <w:ind w:left="220"/>
              <w:spacing w:after="0"/>
              <w:rPr>
                <w:sz w:val="20"/>
                <w:szCs w:val="20"/>
                <w:color w:val="auto"/>
              </w:rPr>
            </w:pPr>
            <w:r>
              <w:rPr>
                <w:rFonts w:ascii="Arial" w:cs="Arial" w:eastAsia="Arial" w:hAnsi="Arial"/>
                <w:sz w:val="18"/>
                <w:szCs w:val="18"/>
                <w:color w:val="auto"/>
              </w:rPr>
              <w:t>(Gains) on change in fair value of derivatives</w:t>
            </w:r>
          </w:p>
        </w:tc>
        <w:tc>
          <w:tcPr>
            <w:tcW w:w="1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29"/>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Inventory adjustments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w:t>
            </w:r>
          </w:p>
        </w:tc>
      </w:tr>
      <w:tr>
        <w:trPr>
          <w:trHeight w:val="230"/>
        </w:trPr>
        <w:tc>
          <w:tcPr>
            <w:tcW w:w="8000" w:type="dxa"/>
            <w:vAlign w:val="bottom"/>
          </w:tcPr>
          <w:p>
            <w:pPr>
              <w:ind w:left="22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1,218</w:t>
            </w:r>
          </w:p>
        </w:tc>
      </w:tr>
      <w:tr>
        <w:trPr>
          <w:trHeight w:val="22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8000" w:type="dxa"/>
            <w:vAlign w:val="bottom"/>
          </w:tcPr>
          <w:p>
            <w:pPr>
              <w:ind w:left="22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24,351</w:t>
            </w:r>
          </w:p>
        </w:tc>
      </w:tr>
      <w:tr>
        <w:trPr>
          <w:trHeight w:val="230"/>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26,000</w:t>
            </w:r>
          </w:p>
        </w:tc>
      </w:tr>
      <w:tr>
        <w:trPr>
          <w:trHeight w:val="229"/>
        </w:trPr>
        <w:tc>
          <w:tcPr>
            <w:tcW w:w="8000" w:type="dxa"/>
            <w:vAlign w:val="bottom"/>
          </w:tcPr>
          <w:p>
            <w:pPr>
              <w:ind w:left="220"/>
              <w:spacing w:after="0"/>
              <w:rPr>
                <w:sz w:val="20"/>
                <w:szCs w:val="20"/>
                <w:color w:val="auto"/>
              </w:rPr>
            </w:pPr>
            <w:r>
              <w:rPr>
                <w:rFonts w:ascii="Arial" w:cs="Arial" w:eastAsia="Arial" w:hAnsi="Arial"/>
                <w:sz w:val="18"/>
                <w:szCs w:val="18"/>
                <w:color w:val="auto"/>
              </w:rPr>
              <w:t>Operating lease right of use assets and lease liabilities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(1,722)</w:t>
            </w:r>
          </w:p>
        </w:tc>
      </w:tr>
      <w:tr>
        <w:trPr>
          <w:trHeight w:val="230"/>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r>
      <w:tr>
        <w:trPr>
          <w:trHeight w:val="229"/>
        </w:trPr>
        <w:tc>
          <w:tcPr>
            <w:tcW w:w="800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11,456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(17,587)</w:t>
            </w:r>
          </w:p>
        </w:tc>
      </w:tr>
      <w:tr>
        <w:trPr>
          <w:trHeight w:val="230"/>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and unearned revenue</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(6,721)</w:t>
            </w:r>
          </w:p>
        </w:tc>
      </w:tr>
      <w:tr>
        <w:trPr>
          <w:trHeight w:val="229"/>
        </w:trPr>
        <w:tc>
          <w:tcPr>
            <w:tcW w:w="8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(19,415)</w:t>
            </w:r>
          </w:p>
        </w:tc>
      </w:tr>
      <w:tr>
        <w:trPr>
          <w:trHeight w:val="223"/>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75,448</w:t>
            </w:r>
          </w:p>
        </w:tc>
      </w:tr>
      <w:tr>
        <w:trPr>
          <w:trHeight w:val="209"/>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of property and equipment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(39,620)</w:t>
            </w:r>
          </w:p>
        </w:tc>
      </w:tr>
      <w:tr>
        <w:trPr>
          <w:trHeight w:val="230"/>
        </w:trPr>
        <w:tc>
          <w:tcPr>
            <w:tcW w:w="8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1,577</w:t>
            </w:r>
          </w:p>
        </w:tc>
      </w:tr>
      <w:tr>
        <w:trPr>
          <w:trHeight w:val="223"/>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for investing activities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(32,924)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(38,043)</w:t>
            </w:r>
          </w:p>
        </w:tc>
      </w:tr>
      <w:tr>
        <w:trPr>
          <w:trHeight w:val="210"/>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9"/>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Repayments on long-term debt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r>
      <w:tr>
        <w:trPr>
          <w:trHeight w:val="230"/>
        </w:trPr>
        <w:tc>
          <w:tcPr>
            <w:tcW w:w="8000" w:type="dxa"/>
            <w:vAlign w:val="bottom"/>
          </w:tcPr>
          <w:p>
            <w:pPr>
              <w:ind w:left="220"/>
              <w:spacing w:after="0"/>
              <w:rPr>
                <w:sz w:val="20"/>
                <w:szCs w:val="20"/>
                <w:color w:val="auto"/>
              </w:rPr>
            </w:pPr>
            <w:r>
              <w:rPr>
                <w:rFonts w:ascii="Arial" w:cs="Arial" w:eastAsia="Arial" w:hAnsi="Arial"/>
                <w:sz w:val="18"/>
                <w:szCs w:val="18"/>
                <w:color w:val="auto"/>
              </w:rPr>
              <w:t>Borrowings on long-term debt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issuance of common stock</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r>
      <w:tr>
        <w:trPr>
          <w:trHeight w:val="230"/>
        </w:trPr>
        <w:tc>
          <w:tcPr>
            <w:tcW w:w="8000" w:type="dxa"/>
            <w:vAlign w:val="bottom"/>
          </w:tcPr>
          <w:p>
            <w:pPr>
              <w:ind w:left="220"/>
              <w:spacing w:after="0"/>
              <w:rPr>
                <w:sz w:val="20"/>
                <w:szCs w:val="20"/>
                <w:color w:val="auto"/>
              </w:rPr>
            </w:pPr>
            <w:r>
              <w:rPr>
                <w:rFonts w:ascii="Arial" w:cs="Arial" w:eastAsia="Arial" w:hAnsi="Arial"/>
                <w:sz w:val="18"/>
                <w:szCs w:val="18"/>
                <w:color w:val="auto"/>
              </w:rPr>
              <w:t>Purchase of treasury stock</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(2,775)</w:t>
            </w:r>
          </w:p>
        </w:tc>
      </w:tr>
      <w:tr>
        <w:trPr>
          <w:trHeight w:val="230"/>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on finance lease obligations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w:t>
            </w:r>
          </w:p>
        </w:tc>
      </w:tr>
      <w:tr>
        <w:trPr>
          <w:trHeight w:val="223"/>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for financing activities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(78,825)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(7,440)</w:t>
            </w:r>
          </w:p>
        </w:tc>
      </w:tr>
      <w:tr>
        <w:trPr>
          <w:trHeight w:val="223"/>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29,965</w:t>
            </w:r>
          </w:p>
        </w:tc>
      </w:tr>
      <w:tr>
        <w:trPr>
          <w:trHeight w:val="230"/>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beginning of year</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75,237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151,027</w:t>
            </w:r>
          </w:p>
        </w:tc>
      </w:tr>
      <w:tr>
        <w:trPr>
          <w:trHeight w:val="248"/>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end of period (See Note 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180,992</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cash flow disclosure information:</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Cash paid for interest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10,151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4,196</w:t>
            </w:r>
          </w:p>
        </w:tc>
      </w:tr>
      <w:tr>
        <w:trPr>
          <w:trHeight w:val="22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taxes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5,084</w:t>
            </w: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Capital expenditures accrued at the end of the period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11,952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12,124</w:t>
            </w:r>
          </w:p>
        </w:tc>
      </w:tr>
      <w:tr>
        <w:trPr>
          <w:trHeight w:val="23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outflows - operating leases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55,615</w:t>
            </w:r>
          </w:p>
        </w:tc>
      </w:tr>
      <w:tr>
        <w:trPr>
          <w:trHeight w:val="239"/>
        </w:trPr>
        <w:tc>
          <w:tcPr>
            <w:tcW w:w="8000" w:type="dxa"/>
            <w:vAlign w:val="bottom"/>
          </w:tcPr>
          <w:p>
            <w:pPr>
              <w:ind w:left="20"/>
              <w:spacing w:after="0"/>
              <w:rPr>
                <w:sz w:val="20"/>
                <w:szCs w:val="20"/>
                <w:color w:val="auto"/>
              </w:rPr>
            </w:pPr>
            <w:r>
              <w:rPr>
                <w:rFonts w:ascii="Arial" w:cs="Arial" w:eastAsia="Arial" w:hAnsi="Arial"/>
                <w:sz w:val="18"/>
                <w:szCs w:val="18"/>
                <w:color w:val="auto"/>
              </w:rPr>
              <w:t>Right of use assets acquired under operating leases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27,036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53,664</w:t>
            </w:r>
          </w:p>
        </w:tc>
      </w:tr>
    </w:tbl>
    <w:p>
      <w:pPr>
        <w:spacing w:after="0" w:line="163" w:lineRule="exact"/>
        <w:rPr>
          <w:sz w:val="20"/>
          <w:szCs w:val="20"/>
          <w:color w:val="auto"/>
        </w:rPr>
      </w:pPr>
    </w:p>
    <w:p>
      <w:pPr>
        <w:ind w:left="166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Notes to Condensed Consolidated Financial Statements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auto"/>
              </w:rPr>
              <w:t>Page</w:t>
            </w:r>
          </w:p>
        </w:tc>
      </w:tr>
      <w:tr>
        <w:trPr>
          <w:trHeight w:val="455"/>
        </w:trPr>
        <w:tc>
          <w:tcPr>
            <w:tcW w:w="2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0000FF"/>
              </w:rPr>
              <w:t>1.</w:t>
            </w:r>
          </w:p>
        </w:tc>
        <w:tc>
          <w:tcPr>
            <w:tcW w:w="4700" w:type="dxa"/>
            <w:vAlign w:val="bottom"/>
            <w:gridSpan w:val="9"/>
          </w:tcPr>
          <w:p>
            <w:pPr>
              <w:ind w:left="20"/>
              <w:spacing w:after="0"/>
              <w:rPr>
                <w:sz w:val="20"/>
                <w:szCs w:val="20"/>
                <w:color w:val="auto"/>
              </w:rPr>
            </w:pPr>
            <w:r>
              <w:rPr>
                <w:rFonts w:ascii="Arial" w:cs="Arial" w:eastAsia="Arial" w:hAnsi="Arial"/>
                <w:sz w:val="18"/>
                <w:szCs w:val="18"/>
                <w:color w:val="0000FF"/>
              </w:rPr>
              <w:t>Description of Business and Basis of Presentation</w:t>
            </w:r>
          </w:p>
        </w:tc>
        <w:tc>
          <w:tcPr>
            <w:tcW w:w="6340" w:type="dxa"/>
            <w:vAlign w:val="bottom"/>
            <w:gridSpan w:val="3"/>
          </w:tcPr>
          <w:p>
            <w:pPr>
              <w:ind w:left="5280"/>
              <w:spacing w:after="0"/>
              <w:rPr>
                <w:sz w:val="20"/>
                <w:szCs w:val="20"/>
                <w:color w:val="auto"/>
              </w:rPr>
            </w:pPr>
            <w:r>
              <w:rPr>
                <w:rFonts w:ascii="Arial" w:cs="Arial" w:eastAsia="Arial" w:hAnsi="Arial"/>
                <w:sz w:val="18"/>
                <w:szCs w:val="18"/>
                <w:color w:val="0000FF"/>
              </w:rPr>
              <w:t>10</w:t>
            </w: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0000FF"/>
              </w:rPr>
              <w:t>2.</w:t>
            </w:r>
          </w:p>
        </w:tc>
        <w:tc>
          <w:tcPr>
            <w:tcW w:w="1980" w:type="dxa"/>
            <w:vAlign w:val="bottom"/>
            <w:gridSpan w:val="3"/>
          </w:tcPr>
          <w:p>
            <w:pPr>
              <w:ind w:left="20"/>
              <w:spacing w:after="0"/>
              <w:rPr>
                <w:sz w:val="20"/>
                <w:szCs w:val="20"/>
                <w:color w:val="auto"/>
              </w:rPr>
            </w:pPr>
            <w:r>
              <w:rPr>
                <w:rFonts w:ascii="Arial" w:cs="Arial" w:eastAsia="Arial" w:hAnsi="Arial"/>
                <w:sz w:val="18"/>
                <w:szCs w:val="18"/>
                <w:color w:val="0000FF"/>
                <w:w w:val="97"/>
              </w:rPr>
              <w:t>Discontinued Operations</w:t>
            </w:r>
          </w:p>
        </w:tc>
        <w:tc>
          <w:tcPr>
            <w:tcW w:w="2020" w:type="dxa"/>
            <w:vAlign w:val="bottom"/>
            <w:gridSpan w:val="5"/>
          </w:tcPr>
          <w:p>
            <w:pPr>
              <w:spacing w:after="0"/>
              <w:rPr>
                <w:sz w:val="18"/>
                <w:szCs w:val="18"/>
                <w:color w:val="auto"/>
              </w:rPr>
            </w:pPr>
          </w:p>
        </w:tc>
        <w:tc>
          <w:tcPr>
            <w:tcW w:w="700" w:type="dxa"/>
            <w:vAlign w:val="bottom"/>
          </w:tcPr>
          <w:p>
            <w:pPr>
              <w:spacing w:after="0"/>
              <w:rPr>
                <w:sz w:val="18"/>
                <w:szCs w:val="18"/>
                <w:color w:val="auto"/>
              </w:rPr>
            </w:pPr>
          </w:p>
        </w:tc>
        <w:tc>
          <w:tcPr>
            <w:tcW w:w="6340" w:type="dxa"/>
            <w:vAlign w:val="bottom"/>
            <w:gridSpan w:val="3"/>
          </w:tcPr>
          <w:p>
            <w:pPr>
              <w:ind w:left="5280"/>
              <w:spacing w:after="0"/>
              <w:rPr>
                <w:sz w:val="20"/>
                <w:szCs w:val="20"/>
                <w:color w:val="auto"/>
              </w:rPr>
            </w:pPr>
            <w:r>
              <w:rPr>
                <w:rFonts w:ascii="Arial" w:cs="Arial" w:eastAsia="Arial" w:hAnsi="Arial"/>
                <w:sz w:val="18"/>
                <w:szCs w:val="18"/>
                <w:color w:val="0000FF"/>
              </w:rPr>
              <w:t>13</w:t>
            </w: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0000FF"/>
              </w:rPr>
              <w:t>3.</w:t>
            </w:r>
          </w:p>
        </w:tc>
        <w:tc>
          <w:tcPr>
            <w:tcW w:w="1980" w:type="dxa"/>
            <w:vAlign w:val="bottom"/>
            <w:gridSpan w:val="3"/>
          </w:tcPr>
          <w:p>
            <w:pPr>
              <w:ind w:left="20"/>
              <w:spacing w:after="0"/>
              <w:rPr>
                <w:sz w:val="20"/>
                <w:szCs w:val="20"/>
                <w:color w:val="auto"/>
              </w:rPr>
            </w:pPr>
            <w:r>
              <w:rPr>
                <w:rFonts w:ascii="Arial" w:cs="Arial" w:eastAsia="Arial" w:hAnsi="Arial"/>
                <w:sz w:val="18"/>
                <w:szCs w:val="18"/>
                <w:color w:val="0000FF"/>
              </w:rPr>
              <w:t>Severance Benefits</w:t>
            </w:r>
          </w:p>
        </w:tc>
        <w:tc>
          <w:tcPr>
            <w:tcW w:w="2720" w:type="dxa"/>
            <w:vAlign w:val="bottom"/>
            <w:gridSpan w:val="6"/>
          </w:tcPr>
          <w:p>
            <w:pPr>
              <w:spacing w:after="0"/>
              <w:rPr>
                <w:sz w:val="18"/>
                <w:szCs w:val="18"/>
                <w:color w:val="auto"/>
              </w:rPr>
            </w:pPr>
          </w:p>
        </w:tc>
        <w:tc>
          <w:tcPr>
            <w:tcW w:w="6340" w:type="dxa"/>
            <w:vAlign w:val="bottom"/>
            <w:gridSpan w:val="3"/>
          </w:tcPr>
          <w:p>
            <w:pPr>
              <w:ind w:left="5280"/>
              <w:spacing w:after="0"/>
              <w:rPr>
                <w:sz w:val="20"/>
                <w:szCs w:val="20"/>
                <w:color w:val="auto"/>
              </w:rPr>
            </w:pPr>
            <w:r>
              <w:rPr>
                <w:rFonts w:ascii="Arial" w:cs="Arial" w:eastAsia="Arial" w:hAnsi="Arial"/>
                <w:sz w:val="18"/>
                <w:szCs w:val="18"/>
                <w:color w:val="0000FF"/>
              </w:rPr>
              <w:t>13</w:t>
            </w: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0000FF"/>
              </w:rPr>
              <w:t>4.</w:t>
            </w:r>
          </w:p>
        </w:tc>
        <w:tc>
          <w:tcPr>
            <w:tcW w:w="3420" w:type="dxa"/>
            <w:vAlign w:val="bottom"/>
            <w:gridSpan w:val="7"/>
          </w:tcPr>
          <w:p>
            <w:pPr>
              <w:ind w:left="20"/>
              <w:spacing w:after="0"/>
              <w:rPr>
                <w:sz w:val="20"/>
                <w:szCs w:val="20"/>
                <w:color w:val="auto"/>
              </w:rPr>
            </w:pPr>
            <w:r>
              <w:rPr>
                <w:rFonts w:ascii="Arial" w:cs="Arial" w:eastAsia="Arial" w:hAnsi="Arial"/>
                <w:sz w:val="18"/>
                <w:szCs w:val="18"/>
                <w:color w:val="0000FF"/>
                <w:w w:val="99"/>
              </w:rPr>
              <w:t>Details of Certain Balance Sheet Accounts</w:t>
            </w:r>
          </w:p>
        </w:tc>
        <w:tc>
          <w:tcPr>
            <w:tcW w:w="1280" w:type="dxa"/>
            <w:vAlign w:val="bottom"/>
            <w:gridSpan w:val="2"/>
          </w:tcPr>
          <w:p>
            <w:pPr>
              <w:spacing w:after="0"/>
              <w:rPr>
                <w:sz w:val="18"/>
                <w:szCs w:val="18"/>
                <w:color w:val="auto"/>
              </w:rPr>
            </w:pPr>
          </w:p>
        </w:tc>
        <w:tc>
          <w:tcPr>
            <w:tcW w:w="6340" w:type="dxa"/>
            <w:vAlign w:val="bottom"/>
            <w:gridSpan w:val="3"/>
          </w:tcPr>
          <w:p>
            <w:pPr>
              <w:ind w:left="5280"/>
              <w:spacing w:after="0"/>
              <w:rPr>
                <w:sz w:val="20"/>
                <w:szCs w:val="20"/>
                <w:color w:val="auto"/>
              </w:rPr>
            </w:pPr>
            <w:r>
              <w:rPr>
                <w:rFonts w:ascii="Arial" w:cs="Arial" w:eastAsia="Arial" w:hAnsi="Arial"/>
                <w:sz w:val="18"/>
                <w:szCs w:val="18"/>
                <w:color w:val="0000FF"/>
              </w:rPr>
              <w:t>14</w:t>
            </w: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0000FF"/>
              </w:rPr>
              <w:t>5.</w:t>
            </w:r>
          </w:p>
        </w:tc>
        <w:tc>
          <w:tcPr>
            <w:tcW w:w="3420" w:type="dxa"/>
            <w:vAlign w:val="bottom"/>
            <w:gridSpan w:val="7"/>
          </w:tcPr>
          <w:p>
            <w:pPr>
              <w:ind w:left="20"/>
              <w:spacing w:after="0"/>
              <w:rPr>
                <w:sz w:val="20"/>
                <w:szCs w:val="20"/>
                <w:color w:val="auto"/>
              </w:rPr>
            </w:pPr>
            <w:r>
              <w:rPr>
                <w:rFonts w:ascii="Arial" w:cs="Arial" w:eastAsia="Arial" w:hAnsi="Arial"/>
                <w:sz w:val="18"/>
                <w:szCs w:val="18"/>
                <w:color w:val="0000FF"/>
              </w:rPr>
              <w:t>Fair Value Measurement</w:t>
            </w:r>
          </w:p>
        </w:tc>
        <w:tc>
          <w:tcPr>
            <w:tcW w:w="1280" w:type="dxa"/>
            <w:vAlign w:val="bottom"/>
            <w:gridSpan w:val="2"/>
          </w:tcPr>
          <w:p>
            <w:pPr>
              <w:spacing w:after="0"/>
              <w:rPr>
                <w:sz w:val="18"/>
                <w:szCs w:val="18"/>
                <w:color w:val="auto"/>
              </w:rPr>
            </w:pPr>
          </w:p>
        </w:tc>
        <w:tc>
          <w:tcPr>
            <w:tcW w:w="6340" w:type="dxa"/>
            <w:vAlign w:val="bottom"/>
            <w:gridSpan w:val="3"/>
          </w:tcPr>
          <w:p>
            <w:pPr>
              <w:ind w:left="5280"/>
              <w:spacing w:after="0"/>
              <w:rPr>
                <w:sz w:val="20"/>
                <w:szCs w:val="20"/>
                <w:color w:val="auto"/>
              </w:rPr>
            </w:pPr>
            <w:r>
              <w:rPr>
                <w:rFonts w:ascii="Arial" w:cs="Arial" w:eastAsia="Arial" w:hAnsi="Arial"/>
                <w:sz w:val="18"/>
                <w:szCs w:val="18"/>
                <w:color w:val="0000FF"/>
              </w:rPr>
              <w:t>14</w:t>
            </w: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0000FF"/>
              </w:rPr>
              <w:t>6.</w:t>
            </w:r>
          </w:p>
        </w:tc>
        <w:tc>
          <w:tcPr>
            <w:tcW w:w="1980" w:type="dxa"/>
            <w:vAlign w:val="bottom"/>
            <w:gridSpan w:val="3"/>
          </w:tcPr>
          <w:p>
            <w:pPr>
              <w:ind w:left="20"/>
              <w:spacing w:after="0"/>
              <w:rPr>
                <w:sz w:val="20"/>
                <w:szCs w:val="20"/>
                <w:color w:val="auto"/>
              </w:rPr>
            </w:pPr>
            <w:r>
              <w:rPr>
                <w:rFonts w:ascii="Arial" w:cs="Arial" w:eastAsia="Arial" w:hAnsi="Arial"/>
                <w:sz w:val="18"/>
                <w:szCs w:val="18"/>
                <w:color w:val="0000FF"/>
              </w:rPr>
              <w:t>Debt</w:t>
            </w:r>
          </w:p>
        </w:tc>
        <w:tc>
          <w:tcPr>
            <w:tcW w:w="2720" w:type="dxa"/>
            <w:vAlign w:val="bottom"/>
            <w:gridSpan w:val="6"/>
          </w:tcPr>
          <w:p>
            <w:pPr>
              <w:spacing w:after="0"/>
              <w:rPr>
                <w:sz w:val="18"/>
                <w:szCs w:val="18"/>
                <w:color w:val="auto"/>
              </w:rPr>
            </w:pPr>
          </w:p>
        </w:tc>
        <w:tc>
          <w:tcPr>
            <w:tcW w:w="6340" w:type="dxa"/>
            <w:vAlign w:val="bottom"/>
            <w:gridSpan w:val="3"/>
          </w:tcPr>
          <w:p>
            <w:pPr>
              <w:ind w:left="5280"/>
              <w:spacing w:after="0"/>
              <w:rPr>
                <w:sz w:val="20"/>
                <w:szCs w:val="20"/>
                <w:color w:val="auto"/>
              </w:rPr>
            </w:pPr>
            <w:r>
              <w:rPr>
                <w:rFonts w:ascii="Arial" w:cs="Arial" w:eastAsia="Arial" w:hAnsi="Arial"/>
                <w:sz w:val="18"/>
                <w:szCs w:val="18"/>
                <w:color w:val="0000FF"/>
              </w:rPr>
              <w:t>15</w:t>
            </w: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0000FF"/>
              </w:rPr>
              <w:t>7.</w:t>
            </w:r>
          </w:p>
        </w:tc>
        <w:tc>
          <w:tcPr>
            <w:tcW w:w="4700" w:type="dxa"/>
            <w:vAlign w:val="bottom"/>
            <w:gridSpan w:val="9"/>
          </w:tcPr>
          <w:p>
            <w:pPr>
              <w:ind w:left="20"/>
              <w:spacing w:after="0"/>
              <w:rPr>
                <w:sz w:val="20"/>
                <w:szCs w:val="20"/>
                <w:color w:val="auto"/>
              </w:rPr>
            </w:pPr>
            <w:r>
              <w:rPr>
                <w:rFonts w:ascii="Arial" w:cs="Arial" w:eastAsia="Arial" w:hAnsi="Arial"/>
                <w:sz w:val="18"/>
                <w:szCs w:val="18"/>
                <w:color w:val="0000FF"/>
              </w:rPr>
              <w:t>Revenue from Contracts with Customers</w:t>
            </w:r>
          </w:p>
        </w:tc>
        <w:tc>
          <w:tcPr>
            <w:tcW w:w="6340" w:type="dxa"/>
            <w:vAlign w:val="bottom"/>
            <w:gridSpan w:val="3"/>
          </w:tcPr>
          <w:p>
            <w:pPr>
              <w:ind w:left="5280"/>
              <w:spacing w:after="0"/>
              <w:rPr>
                <w:sz w:val="20"/>
                <w:szCs w:val="20"/>
                <w:color w:val="auto"/>
              </w:rPr>
            </w:pPr>
            <w:r>
              <w:rPr>
                <w:rFonts w:ascii="Arial" w:cs="Arial" w:eastAsia="Arial" w:hAnsi="Arial"/>
                <w:sz w:val="18"/>
                <w:szCs w:val="18"/>
                <w:color w:val="0000FF"/>
              </w:rPr>
              <w:t>15</w:t>
            </w: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0000FF"/>
              </w:rPr>
              <w:t>8.</w:t>
            </w:r>
          </w:p>
        </w:tc>
        <w:tc>
          <w:tcPr>
            <w:tcW w:w="2680" w:type="dxa"/>
            <w:vAlign w:val="bottom"/>
            <w:gridSpan w:val="5"/>
          </w:tcPr>
          <w:p>
            <w:pPr>
              <w:ind w:left="20"/>
              <w:spacing w:after="0"/>
              <w:rPr>
                <w:sz w:val="20"/>
                <w:szCs w:val="20"/>
                <w:color w:val="auto"/>
              </w:rPr>
            </w:pPr>
            <w:r>
              <w:rPr>
                <w:rFonts w:ascii="Arial" w:cs="Arial" w:eastAsia="Arial" w:hAnsi="Arial"/>
                <w:sz w:val="18"/>
                <w:szCs w:val="18"/>
                <w:color w:val="0000FF"/>
                <w:w w:val="99"/>
              </w:rPr>
              <w:t>Commitments and Contingencies</w:t>
            </w:r>
          </w:p>
        </w:tc>
        <w:tc>
          <w:tcPr>
            <w:tcW w:w="580" w:type="dxa"/>
            <w:vAlign w:val="bottom"/>
          </w:tcPr>
          <w:p>
            <w:pPr>
              <w:spacing w:after="0"/>
              <w:rPr>
                <w:sz w:val="18"/>
                <w:szCs w:val="18"/>
                <w:color w:val="auto"/>
              </w:rPr>
            </w:pPr>
          </w:p>
        </w:tc>
        <w:tc>
          <w:tcPr>
            <w:tcW w:w="1440" w:type="dxa"/>
            <w:vAlign w:val="bottom"/>
            <w:gridSpan w:val="3"/>
          </w:tcPr>
          <w:p>
            <w:pPr>
              <w:spacing w:after="0"/>
              <w:rPr>
                <w:sz w:val="18"/>
                <w:szCs w:val="18"/>
                <w:color w:val="auto"/>
              </w:rPr>
            </w:pPr>
          </w:p>
        </w:tc>
        <w:tc>
          <w:tcPr>
            <w:tcW w:w="6340" w:type="dxa"/>
            <w:vAlign w:val="bottom"/>
            <w:gridSpan w:val="3"/>
          </w:tcPr>
          <w:p>
            <w:pPr>
              <w:ind w:left="5280"/>
              <w:spacing w:after="0"/>
              <w:rPr>
                <w:sz w:val="20"/>
                <w:szCs w:val="20"/>
                <w:color w:val="auto"/>
              </w:rPr>
            </w:pPr>
            <w:r>
              <w:rPr>
                <w:rFonts w:ascii="Arial" w:cs="Arial" w:eastAsia="Arial" w:hAnsi="Arial"/>
                <w:sz w:val="18"/>
                <w:szCs w:val="18"/>
                <w:color w:val="0000FF"/>
              </w:rPr>
              <w:t>16</w:t>
            </w: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0000FF"/>
              </w:rPr>
              <w:t>9.</w:t>
            </w:r>
          </w:p>
        </w:tc>
        <w:tc>
          <w:tcPr>
            <w:tcW w:w="1580" w:type="dxa"/>
            <w:vAlign w:val="bottom"/>
            <w:gridSpan w:val="2"/>
          </w:tcPr>
          <w:p>
            <w:pPr>
              <w:ind w:left="20"/>
              <w:spacing w:after="0"/>
              <w:rPr>
                <w:sz w:val="20"/>
                <w:szCs w:val="20"/>
                <w:color w:val="auto"/>
              </w:rPr>
            </w:pPr>
            <w:r>
              <w:rPr>
                <w:rFonts w:ascii="Arial" w:cs="Arial" w:eastAsia="Arial" w:hAnsi="Arial"/>
                <w:sz w:val="18"/>
                <w:szCs w:val="18"/>
                <w:color w:val="0000FF"/>
                <w:w w:val="99"/>
              </w:rPr>
              <w:t>Segment Reporting</w:t>
            </w:r>
          </w:p>
        </w:tc>
        <w:tc>
          <w:tcPr>
            <w:tcW w:w="1100" w:type="dxa"/>
            <w:vAlign w:val="bottom"/>
            <w:gridSpan w:val="3"/>
          </w:tcPr>
          <w:p>
            <w:pPr>
              <w:spacing w:after="0"/>
              <w:rPr>
                <w:sz w:val="18"/>
                <w:szCs w:val="18"/>
                <w:color w:val="auto"/>
              </w:rPr>
            </w:pPr>
          </w:p>
        </w:tc>
        <w:tc>
          <w:tcPr>
            <w:tcW w:w="2020" w:type="dxa"/>
            <w:vAlign w:val="bottom"/>
            <w:gridSpan w:val="4"/>
          </w:tcPr>
          <w:p>
            <w:pPr>
              <w:spacing w:after="0"/>
              <w:rPr>
                <w:sz w:val="18"/>
                <w:szCs w:val="18"/>
                <w:color w:val="auto"/>
              </w:rPr>
            </w:pPr>
          </w:p>
        </w:tc>
        <w:tc>
          <w:tcPr>
            <w:tcW w:w="6340" w:type="dxa"/>
            <w:vAlign w:val="bottom"/>
            <w:gridSpan w:val="3"/>
          </w:tcPr>
          <w:p>
            <w:pPr>
              <w:ind w:left="5280"/>
              <w:spacing w:after="0"/>
              <w:rPr>
                <w:sz w:val="20"/>
                <w:szCs w:val="20"/>
                <w:color w:val="auto"/>
              </w:rPr>
            </w:pPr>
            <w:r>
              <w:rPr>
                <w:rFonts w:ascii="Arial" w:cs="Arial" w:eastAsia="Arial" w:hAnsi="Arial"/>
                <w:sz w:val="18"/>
                <w:szCs w:val="18"/>
                <w:color w:val="0000FF"/>
              </w:rPr>
              <w:t>17</w:t>
            </w: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gridSpan w:val="10"/>
          </w:tcPr>
          <w:p>
            <w:pPr>
              <w:spacing w:after="0"/>
              <w:rPr>
                <w:sz w:val="20"/>
                <w:szCs w:val="20"/>
                <w:color w:val="auto"/>
              </w:rPr>
            </w:pPr>
            <w:r>
              <w:rPr>
                <w:rFonts w:ascii="Arial" w:cs="Arial" w:eastAsia="Arial" w:hAnsi="Arial"/>
                <w:sz w:val="18"/>
                <w:szCs w:val="18"/>
                <w:color w:val="0000FF"/>
              </w:rPr>
              <w:t>10. Earnings (Loss) Per Share</w:t>
            </w:r>
          </w:p>
        </w:tc>
        <w:tc>
          <w:tcPr>
            <w:tcW w:w="6340" w:type="dxa"/>
            <w:vAlign w:val="bottom"/>
            <w:gridSpan w:val="3"/>
          </w:tcPr>
          <w:p>
            <w:pPr>
              <w:ind w:left="5280"/>
              <w:spacing w:after="0"/>
              <w:rPr>
                <w:sz w:val="20"/>
                <w:szCs w:val="20"/>
                <w:color w:val="auto"/>
              </w:rPr>
            </w:pPr>
            <w:r>
              <w:rPr>
                <w:rFonts w:ascii="Arial" w:cs="Arial" w:eastAsia="Arial" w:hAnsi="Arial"/>
                <w:sz w:val="18"/>
                <w:szCs w:val="18"/>
                <w:color w:val="0000FF"/>
              </w:rPr>
              <w:t>20</w:t>
            </w:r>
          </w:p>
        </w:tc>
      </w:tr>
      <w:tr>
        <w:trPr>
          <w:trHeight w:val="767"/>
        </w:trPr>
        <w:tc>
          <w:tcPr>
            <w:tcW w:w="2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80" w:type="dxa"/>
            <w:vAlign w:val="bottom"/>
          </w:tcPr>
          <w:p>
            <w:pPr>
              <w:ind w:left="680"/>
              <w:spacing w:after="0"/>
              <w:rPr>
                <w:sz w:val="20"/>
                <w:szCs w:val="20"/>
                <w:color w:val="auto"/>
              </w:rPr>
            </w:pPr>
            <w:r>
              <w:rPr>
                <w:rFonts w:ascii="Arial" w:cs="Arial" w:eastAsia="Arial" w:hAnsi="Arial"/>
                <w:sz w:val="18"/>
                <w:szCs w:val="18"/>
                <w:color w:val="auto"/>
              </w:rPr>
              <w:t>9</w:t>
            </w:r>
          </w:p>
        </w:tc>
        <w:tc>
          <w:tcPr>
            <w:tcW w:w="200" w:type="dxa"/>
            <w:vAlign w:val="bottom"/>
            <w:tcBorders>
              <w:top w:val="single" w:sz="8" w:color="0000FF"/>
            </w:tcBorders>
          </w:tcPr>
          <w:p>
            <w:pPr>
              <w:spacing w:after="0"/>
              <w:rPr>
                <w:sz w:val="24"/>
                <w:szCs w:val="24"/>
                <w:color w:val="auto"/>
              </w:rPr>
            </w:pPr>
          </w:p>
        </w:tc>
        <w:tc>
          <w:tcPr>
            <w:tcW w:w="860" w:type="dxa"/>
            <w:vAlign w:val="bottom"/>
          </w:tcPr>
          <w:p>
            <w:pPr>
              <w:spacing w:after="0"/>
              <w:rPr>
                <w:sz w:val="24"/>
                <w:szCs w:val="24"/>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52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85" w:lineRule="exact"/>
        <w:rPr>
          <w:sz w:val="20"/>
          <w:szCs w:val="20"/>
          <w:color w:val="auto"/>
        </w:rPr>
      </w:pPr>
    </w:p>
    <w:p>
      <w:pPr>
        <w:ind w:right="6700" w:firstLine="8"/>
        <w:spacing w:after="0" w:line="375" w:lineRule="auto"/>
        <w:tabs>
          <w:tab w:leader="none" w:pos="2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Description of Business and Basis of Presentation </w:t>
      </w:r>
      <w:r>
        <w:rPr>
          <w:rFonts w:ascii="Arial" w:cs="Arial" w:eastAsia="Arial" w:hAnsi="Arial"/>
          <w:sz w:val="18"/>
          <w:szCs w:val="18"/>
          <w:i w:val="1"/>
          <w:iCs w:val="1"/>
          <w:color w:val="auto"/>
        </w:rPr>
        <w:t>Nature of Operations</w:t>
      </w:r>
    </w:p>
    <w:p>
      <w:pPr>
        <w:spacing w:after="0" w:line="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National Vision Holdings, Inc. (“NVHI,” the “Company,” “we,” “our,” or “us”) is a holding company whose operating subsidiaries include its indirect wholly-owned subsidiary, National Vision, Inc. (“NVI”) and NVI’s wholly-owned subsidiaries. We are a leading value retailer of eyeglasses and contact lenses in the United States (the “U.S.”). We operated 1,240 and 1,240 retail optical locations in the U.S. and its territories as of June 28, 2025 and December 28, 2024, respectively, through our four store brands, including America’s Best Contacts and Eyeglasses (“America’s Best”), Eyeglass World, Vista Optical locations on select U.S. Army/Air Force military bases (“Military”) and within select Fred Meyer stores.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 and Principles of Consolidation</w:t>
      </w:r>
    </w:p>
    <w:p>
      <w:pPr>
        <w:spacing w:after="0" w:line="11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prepare our unaudited interim condensed consolidated financial statements in accordance with accounting principles generally accepted in the United States of America (“U.S. GAAP”) for interim financial information and, therefore, do not include all information and disclosures required by U.S. GAAP for complete consolidated financial statements. The Condensed Consolidated Balance Sheet as of December 28, 2024 has been derived from the audited consolidated balance sheet for the fiscal year then ended. These condensed consolidated financial statements reflect all normal and recurring adjustments which are, in the opinion of management, necessary to present fairly the Company’s consolidated results of the interim period.</w:t>
      </w:r>
    </w:p>
    <w:p>
      <w:pPr>
        <w:spacing w:after="0" w:line="7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Certain information and disclosures normally included in our annual consolidated financial statements have been condensed or omitted; however, we believe that the disclosures included herein are sufficient for a fair presentation of the information presented. These condensed consolidated financial statements should be read in conjunction with our audited consolidated financial statements and the notes thereto for the fiscal year ended December 28, 2024 included in the Company’s Annual Report on Form 10-K filed with the Securities and Exchange Commission on February 26, 2025 (the “2024 Annual Report on Form 10-K.”) The Company’s significant accounting policies are set forth in Note 1. within those consolidated financial statements. We use the same accounting policies in preparing interim condensed consolidated financial information and annual consolidated financial statements. There were no changes to our significant accounting policies during the six months ended June 28, 2025.</w:t>
      </w:r>
    </w:p>
    <w:p>
      <w:pPr>
        <w:spacing w:after="0" w:line="7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condensed consolidated financial statements include our accounts and those of our wholly-owned subsidiaries. All intercompany balances and transactions have been eliminated in consolidation. Refer to Part II. Item 8. Note 2. “Discontinued Operations” of the 2024 Annual Report on Form 10-K for more information on discontinued operations.</w:t>
      </w:r>
    </w:p>
    <w:p>
      <w:pPr>
        <w:spacing w:after="0" w:line="6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has consolidated certain entities meeting the definition of a variable interest entity (“VIE”) as the Company concluded that it is the primary beneficiary of the entities under the provisions of Accounting Standards Codification 810, Consolidation. As of June 28, 2025, the variable interest entities include 29 professional corporations. The total assets of the consolidated VIEs included in the accompanying Condensed Consolidated Balance Sheets as of June 28, 2025 and December 28, 2024, were $8.2 million and $7.0 million, respectively, and the total liabilities of the consolidated VIEs were $8.7 million and $8.4 million,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w:t>
      </w:r>
    </w:p>
    <w:p>
      <w:pPr>
        <w:spacing w:after="0" w:line="11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Our fiscal year consists of 52 or 53 weeks ending on the Saturday closest to December 31. Fiscal year 2025 contains 53 weeks and will end on January 3, 2026. All three and six month periods presented herein contain 13 and 26 weeks, respectively. All references to years and quarters relate to fiscal periods rather than calendar periods.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consolidated results of operations for the three and six months ended June 28, 2025 and June 29, 2024, are not necessarily indicative of the results to be expected for the full fiscal year due to seasonality and uncertainty of general economic conditions that may impact our key markets. Historically, our business has realized a higher portion of net revenue, income from operations, and cash flows from operations in the first half of the year, and a lower portion of net revenue, income from operations, and cash flows from operations in the fourth fiscal quarter. The first half seasonality is attributable primarily to the timing of our customers’ personal income tax refunds and annual health insurance program start/reset periods. Seasonality related to fourth quarter holiday spending by retail customers generally does not impact our business. Our quarterly consolidated results generally may also be affected by the timing of new store openings, store closings, and certain holidays.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CARES Act</w:t>
      </w:r>
    </w:p>
    <w:p>
      <w:pPr>
        <w:spacing w:after="0" w:line="11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Accounts receivable, net on the Condensed Consolidated Balance Sheets as of June 28, 2025 and December 28, 2024 includes $9.0 million receivable under the Coronavirus Aid, Relief, and Economic Security (“CARES”) Act.</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Allowance for credit loss was $(0.2) million and $(0.2) million as of June 28, 2025 and December 28, 2024, respectively.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income</w:t>
      </w:r>
    </w:p>
    <w:p>
      <w:pPr>
        <w:spacing w:after="0" w:line="115"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Rental income primarily from sub-leasing store space to independent optometrists, which is presented in selling, general and administrative “SG&amp;A” expenses in the Company’s Condensed Consolidated Statements of Operations, was $ 0.3 million and $0.7 million for the three and six months ended June 28, 2025 compared to $0.3 million and $0.7 million for the three and six months ended and June 29, 2024.</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1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During the six months ended June 28, 2025, we granted performance stock units to certain employees. The number of shares issued at the end of the three-year performance period will be determined by the level of achievement of predefined performance goals, including adjusted operating income, return on invested capital and relative total shareholder return versus a peer group. We recognize compensation expense on performance stock units ratably over the requisite performance period of the award to the extent management views the performance goals as probable of attainment. We recognize compensation expense for the fair value of the relative total shareholder return versus the peer group component over the requisite service period of such awards using a Monte Carlo simulation.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Non-cash impairment charges of $0.5 million were recorded for the six months ended June 28, 2025 related to our tangible long-lived store assets and Right of Use (“ROU”) assets, compared to $ 3.5 million and $4.0 million related to tangible long-lived store assets and ROU assets for the three and six months ended June 29, 2024. The impairments were recognized in Corporate and other, and are reflected in Asset impairment in the Condensed Consolidated Statements of Operations and Comprehensive Income. Refer to Note 5. “Fair Value Measurement” for additional information on impairment charges.</w:t>
      </w:r>
    </w:p>
    <w:p>
      <w:pPr>
        <w:spacing w:after="0" w:line="7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Impairments of tangible long-lived store assets and ROU assets were primarily driven by lower than projected customer sales volume and profitability in certain stores and other entity-specific assumptions. We considered multiple factors including, but not limited to: forecasted scenarios related to store performance and the likelihood that these scenarios would be ultimately realized; and the remaining useful lives of the assets.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02"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For the first and second quarters of 2025, the Company’s quarterly provision (benefit) for income taxes was calculated using the annualized effective tax rate (“AETR”) method, which applies an estimated annual effective tax rate to pre-tax income or loss. For the three and six months ended June 29, 2024, the Company calculated the provision (benefit) for income taxes using a discrete effective tax rate (“ETR”) method. The Company determined that due to the fact that small changes in the Company’s estimated pretax income or loss would result in significant changes in the estimated AETR, the AETR method would not provide a reliable estimate for the three and six months ended June 29, 2024.</w:t>
      </w:r>
    </w:p>
    <w:p>
      <w:pPr>
        <w:spacing w:after="0" w:line="219"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color w:val="auto"/>
        </w:rPr>
        <w:t>Our effective tax rate for the three months ended June 28, 2025 was 28.7%, reflecting our statutory federal and state rate of 25.2% and other effects of other permanent items. Our effective tax rate for the six months ended June 28, 2025 was 32.2%, reflecting our statutory federal and state rate of 25.2%, discrete effects of permanent adjustments related to equity compensation and other effects of permanent items.</w:t>
      </w:r>
    </w:p>
    <w:p>
      <w:pPr>
        <w:spacing w:after="0" w:line="45" w:lineRule="exact"/>
        <w:rPr>
          <w:sz w:val="20"/>
          <w:szCs w:val="20"/>
          <w:color w:val="auto"/>
        </w:rPr>
      </w:pPr>
    </w:p>
    <w:p>
      <w:pPr>
        <w:ind w:right="500"/>
        <w:spacing w:after="0" w:line="245" w:lineRule="auto"/>
        <w:rPr>
          <w:sz w:val="20"/>
          <w:szCs w:val="20"/>
          <w:color w:val="auto"/>
        </w:rPr>
      </w:pPr>
      <w:r>
        <w:rPr>
          <w:rFonts w:ascii="Arial" w:cs="Arial" w:eastAsia="Arial" w:hAnsi="Arial"/>
          <w:sz w:val="18"/>
          <w:szCs w:val="18"/>
          <w:color w:val="auto"/>
        </w:rPr>
        <w:t>Our effective tax rate for the three months ended June 29, 2024 was 60.0%, reflecting our statutory federal and state rate of 25.2%, tax impacts of consolidated VIEs and effects of other permanent items. Our effective tax rate for the six months ended June 29, 2024 was</w:t>
      </w:r>
    </w:p>
    <w:p>
      <w:pPr>
        <w:ind w:right="100"/>
        <w:spacing w:after="0" w:line="266" w:lineRule="auto"/>
        <w:rPr>
          <w:sz w:val="20"/>
          <w:szCs w:val="20"/>
          <w:color w:val="auto"/>
        </w:rPr>
      </w:pPr>
      <w:r>
        <w:rPr>
          <w:rFonts w:ascii="Arial" w:cs="Arial" w:eastAsia="Arial" w:hAnsi="Arial"/>
          <w:sz w:val="18"/>
          <w:szCs w:val="18"/>
          <w:color w:val="auto"/>
        </w:rPr>
        <w:t>35.4%, reflecting our statutory federal and state rate of 25.2%, non-deductible compensation expense, tax impacts of consolidated VIEs and other permanent items.</w:t>
      </w:r>
    </w:p>
    <w:p>
      <w:pPr>
        <w:spacing w:after="0" w:line="171" w:lineRule="exact"/>
        <w:rPr>
          <w:sz w:val="20"/>
          <w:szCs w:val="20"/>
          <w:color w:val="auto"/>
        </w:rPr>
      </w:pPr>
    </w:p>
    <w:p>
      <w:pPr>
        <w:jc w:val="both"/>
        <w:ind w:right="360"/>
        <w:spacing w:after="0" w:line="253" w:lineRule="auto"/>
        <w:rPr>
          <w:sz w:val="20"/>
          <w:szCs w:val="20"/>
          <w:color w:val="auto"/>
        </w:rPr>
      </w:pPr>
      <w:r>
        <w:rPr>
          <w:rFonts w:ascii="Arial" w:cs="Arial" w:eastAsia="Arial" w:hAnsi="Arial"/>
          <w:sz w:val="18"/>
          <w:szCs w:val="18"/>
          <w:color w:val="auto"/>
        </w:rPr>
        <w:t>Subsequent to the date of the financial statements, the One Big Beautiful Bill Act (“OBBBA”) was enacted on July 4, 2025. The Company continues to evaluate the impact of this legislation on its financial position. The OBBBA is not currently expected to materially impact the Company’s effective tax rate in the current fiscal year.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15"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In the second quarter of fiscal year 2023, we completed an investment in the equity of an entity specializing in applying artificial intelligence-powered screening and diagnostic tools to retinal imaging. As of June 28, 2025, we have invested a total of $3.3 million in the equity of the entity. The investment is valued at cost. In addition, we completed an investment in a convertible promissory note issued by this entity. Refer to Note 5. “Fair Value Measurement” for more information on the promissory note. These investments are recognized in Other assets in the Condensed Consolidated Balance Sheets and in Other in the investing section of the Condensed Consolidated Statements of Cash Flows.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accordance with ASC 205-20 “Presentation of Financial Statements: Discontinued Operations,” a disposal of a component of an entity or a group of components of an entity is required to be reported as discontinued operations if the disposal represents a strategic shift that has (or will have) a major effect on an entity’s operations and financial results. In the period in which the component meets held-for-sale or discontinued operations criteria, the major current assets, non-current assets, current liabilities, and non-current liabilities shall be reported as components of total assets and liabilities separate from those balances of the continuing operations.</w:t>
      </w:r>
    </w:p>
    <w:p>
      <w:pPr>
        <w:spacing w:after="0" w:line="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operations related to Walmart, including our former Legacy reportable segment, as well as the majority of our AC Lens operations, are classified as discontinued operations. Accordingly, we classified the results of these operations as discontinued operations in the Condensed Consolidated Statements of Operations for all periods presented. The results of all discontinued operations, less applicable income taxes, are reported as components of net income separate from the net income of continuing operations for the periods presented. Additionally, the cash flows and other comprehensive income of discontinued operations have not been segregated and are included in the interim Condensed Consolidated Statements of Cash Flows and Condensed Consolidated Statements of Operations and Comprehensive Income, respectively, for all periods presented. All amounts included in the notes to the unaudited condensed consolidated financial statements relate to continuing operations unless otherwise noted. For additional information, see Note 2. “Discontinued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Adoption of Accounting Pronouncements</w:t>
      </w:r>
    </w:p>
    <w:p>
      <w:pPr>
        <w:spacing w:after="0" w:line="115"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In December 2023, the FASB issued ASU 2023-09, Income Taxes (Topic 740): Improvements to Income Tax Disclosures</w:t>
      </w:r>
      <w:r>
        <w:rPr>
          <w:rFonts w:ascii="Arial" w:cs="Arial" w:eastAsia="Arial" w:hAnsi="Arial"/>
          <w:sz w:val="18"/>
          <w:szCs w:val="18"/>
          <w:i w:val="1"/>
          <w:iCs w:val="1"/>
          <w:color w:val="auto"/>
        </w:rPr>
        <w:t xml:space="preserve"> </w:t>
      </w:r>
      <w:r>
        <w:rPr>
          <w:rFonts w:ascii="Arial" w:cs="Arial" w:eastAsia="Arial" w:hAnsi="Arial"/>
          <w:sz w:val="18"/>
          <w:szCs w:val="18"/>
          <w:color w:val="auto"/>
        </w:rPr>
        <w:t>(“ASU 2023-09”). ASU 2023-09 is intended to enhance the transparency and decision usefulness of income tax disclosures. The amendments in ASU 2023-09 address investor requests for enhanced income tax information primarily through changes to the rate reconciliation and income taxes paid information. ASU 2023-09 is effective for fiscal years beginning after December 15, 2024, and for interim periods within fiscal years beginning after December 15, 2025. The Company is currently evaluating the impact of the guidance on the consolidated financial statements and disclosures.</w:t>
      </w:r>
    </w:p>
    <w:p>
      <w:pPr>
        <w:spacing w:after="0" w:line="7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Expense Disaggregation Disclosures</w:t>
      </w:r>
      <w:r>
        <w:rPr>
          <w:rFonts w:ascii="Arial" w:cs="Arial" w:eastAsia="Arial" w:hAnsi="Arial"/>
          <w:sz w:val="18"/>
          <w:szCs w:val="18"/>
          <w:color w:val="auto"/>
        </w:rPr>
        <w:t>. In November 2024, the FASB issued ASU 2024-03, Income Statement – Reporting Comprehensive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(Topic 220-40): Expense Disaggregation Disclosures (“ASU 2024-03”). This update requires, among other things, more detailed disclosure about types of expenses in commonly presented expense captions such as cost of sales and SG&amp;A, and is intended to improve the disclosures about an entity’s expenses including purchases of inventory, employee compensation, depreciation and amortization. ASU 2024-03 is effective for fiscal years beginning after December 15, 2026, and interim periods within fiscal years beginning after December 15, 2027. The Company is currently evaluating the impact of the guidance on the consolidated financial statements and disclosures.</w:t>
      </w:r>
    </w:p>
    <w:p>
      <w:pPr>
        <w:spacing w:after="0" w:line="7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Induced Conversions of Convertible Debt Instruments. </w:t>
      </w:r>
      <w:r>
        <w:rPr>
          <w:rFonts w:ascii="Arial" w:cs="Arial" w:eastAsia="Arial" w:hAnsi="Arial"/>
          <w:sz w:val="18"/>
          <w:szCs w:val="18"/>
          <w:color w:val="auto"/>
        </w:rPr>
        <w:t>In November 2024, FASB issued ASU 2024-04, Debt-Debt with Conversion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(Subtopic 470-20): Induced Conversions of Convertible Debt Instruments, which clarifies the requirements for determining whether certain settlements of convertible debt instruments should be accounted for as an induced conversion or extinguishment of convertible debt. This guidance is effective for fiscal years beginning after December 15, 2025, and interim periods within those annual reporting periods, with early and retrospective adoption permitted. The Company is currently evaluating the impact of the guidance on the consolidated financial statements and disclosures.</w:t>
      </w:r>
    </w:p>
    <w:p>
      <w:pPr>
        <w:spacing w:after="0" w:line="7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i w:val="1"/>
          <w:iCs w:val="1"/>
          <w:color w:val="auto"/>
        </w:rPr>
        <w:t xml:space="preserve">Credit Losses for Accounts Receivable and Contract Assets. </w:t>
      </w:r>
      <w:r>
        <w:rPr>
          <w:rFonts w:ascii="Arial" w:cs="Arial" w:eastAsia="Arial" w:hAnsi="Arial"/>
          <w:sz w:val="18"/>
          <w:szCs w:val="18"/>
          <w:color w:val="auto"/>
        </w:rPr>
        <w:t>In July 2025, FASB issued ASU 2025-05, Financial Instruments-Credit Losses</w:t>
      </w:r>
      <w:r>
        <w:rPr>
          <w:rFonts w:ascii="Arial" w:cs="Arial" w:eastAsia="Arial" w:hAnsi="Arial"/>
          <w:sz w:val="18"/>
          <w:szCs w:val="18"/>
          <w:i w:val="1"/>
          <w:iCs w:val="1"/>
          <w:color w:val="auto"/>
        </w:rPr>
        <w:t xml:space="preserve"> </w:t>
      </w:r>
      <w:r>
        <w:rPr>
          <w:rFonts w:ascii="Arial" w:cs="Arial" w:eastAsia="Arial" w:hAnsi="Arial"/>
          <w:sz w:val="18"/>
          <w:szCs w:val="18"/>
          <w:color w:val="auto"/>
        </w:rPr>
        <w:t>(Topic 326): Measurement of Credit Losses for Accounts Receivable and Contract Assets. This update provides a practical expedient which allows an entity to assume that, for purposes of estimating expected credit losses related to an asset, current conditions as of a balance sheet date do not change for the remaining life of the asset. This guidance is effective for fiscal years beginning after December 15, 2025, and interim reporting periods within those annual reporting periods, with early adoption permitted. The Company is currently evaluating the impact of the guidance on the consolidated financial statements and disclosures.</w:t>
      </w:r>
    </w:p>
    <w:p>
      <w:pPr>
        <w:spacing w:after="0" w:line="74"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The FASB issued other accounting guidance during the period that is not currently applicable or expected to have a material impact on the Company’s financial statements, and therefore, is not described above.</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Discontinued Operations</w:t>
      </w:r>
    </w:p>
    <w:p>
      <w:pPr>
        <w:spacing w:after="0" w:line="11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recorded a net expense of $2.9 million and $5.7 million during the three and six months ended June 29, 2024, respectively, associated with our discontinued operations, which consisted of severance benefits, early termination fees, and other exit-related costs. These charges were recorded in both Selling, general, and administrative expenses and Costs applicable to revenue for discontinued operations. The plan has been substantially completed and we do not anticipate additional material costs related to this plan.</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360" w:type="dxa"/>
            <w:vAlign w:val="bottom"/>
          </w:tcPr>
          <w:p>
            <w:pPr>
              <w:spacing w:after="0"/>
              <w:rPr>
                <w:sz w:val="20"/>
                <w:szCs w:val="20"/>
                <w:color w:val="auto"/>
              </w:rPr>
            </w:pPr>
            <w:r>
              <w:rPr>
                <w:rFonts w:ascii="Arial" w:cs="Arial" w:eastAsia="Arial" w:hAnsi="Arial"/>
                <w:sz w:val="18"/>
                <w:szCs w:val="18"/>
                <w:color w:val="auto"/>
              </w:rPr>
              <w:t>The following table presents loss from discontinued operations, net of tax:</w:t>
            </w: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61"/>
        </w:trPr>
        <w:tc>
          <w:tcPr>
            <w:tcW w:w="7360" w:type="dxa"/>
            <w:vAlign w:val="bottom"/>
          </w:tcPr>
          <w:p>
            <w:pPr>
              <w:spacing w:after="0"/>
              <w:rPr>
                <w:sz w:val="24"/>
                <w:szCs w:val="24"/>
                <w:color w:val="auto"/>
              </w:rPr>
            </w:pPr>
          </w:p>
        </w:tc>
        <w:tc>
          <w:tcPr>
            <w:tcW w:w="19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8"/>
                <w:szCs w:val="18"/>
                <w:color w:val="auto"/>
              </w:rPr>
              <w:t>Three Months Ended</w:t>
            </w: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Six Months Ended</w:t>
            </w:r>
          </w:p>
        </w:tc>
      </w:tr>
      <w:tr>
        <w:trPr>
          <w:trHeight w:val="223"/>
        </w:trPr>
        <w:tc>
          <w:tcPr>
            <w:tcW w:w="73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19"/>
                <w:szCs w:val="19"/>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June 29, 2024</w:t>
            </w:r>
          </w:p>
        </w:tc>
        <w:tc>
          <w:tcPr>
            <w:tcW w:w="140" w:type="dxa"/>
            <w:vAlign w:val="bottom"/>
          </w:tcPr>
          <w:p>
            <w:pPr>
              <w:spacing w:after="0"/>
              <w:rPr>
                <w:sz w:val="19"/>
                <w:szCs w:val="19"/>
                <w:color w:val="auto"/>
              </w:rPr>
            </w:pPr>
          </w:p>
        </w:tc>
        <w:tc>
          <w:tcPr>
            <w:tcW w:w="1680" w:type="dxa"/>
            <w:vAlign w:val="bottom"/>
          </w:tcPr>
          <w:p>
            <w:pPr>
              <w:jc w:val="right"/>
              <w:ind w:right="250"/>
              <w:spacing w:after="0"/>
              <w:rPr>
                <w:sz w:val="20"/>
                <w:szCs w:val="20"/>
                <w:color w:val="auto"/>
              </w:rPr>
            </w:pPr>
            <w:r>
              <w:rPr>
                <w:rFonts w:ascii="Arial" w:cs="Arial" w:eastAsia="Arial" w:hAnsi="Arial"/>
                <w:sz w:val="18"/>
                <w:szCs w:val="18"/>
                <w:color w:val="auto"/>
              </w:rPr>
              <w:t>June 29, 2024</w:t>
            </w:r>
          </w:p>
        </w:tc>
      </w:tr>
      <w:tr>
        <w:trPr>
          <w:trHeight w:val="210"/>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4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r>
      <w:tr>
        <w:trPr>
          <w:trHeight w:val="229"/>
        </w:trPr>
        <w:tc>
          <w:tcPr>
            <w:tcW w:w="7360" w:type="dxa"/>
            <w:vAlign w:val="bottom"/>
          </w:tcPr>
          <w:p>
            <w:pPr>
              <w:ind w:left="240"/>
              <w:spacing w:after="0"/>
              <w:rPr>
                <w:sz w:val="20"/>
                <w:szCs w:val="20"/>
                <w:color w:val="auto"/>
              </w:rPr>
            </w:pPr>
            <w:r>
              <w:rPr>
                <w:rFonts w:ascii="Arial" w:cs="Arial" w:eastAsia="Arial" w:hAnsi="Arial"/>
                <w:sz w:val="18"/>
                <w:szCs w:val="18"/>
                <w:color w:val="auto"/>
              </w:rPr>
              <w:t>Net product sales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53,471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127,070</w:t>
            </w:r>
          </w:p>
        </w:tc>
      </w:tr>
      <w:tr>
        <w:trPr>
          <w:trHeight w:val="229"/>
        </w:trPr>
        <w:tc>
          <w:tcPr>
            <w:tcW w:w="7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sales of services and plans</w:t>
            </w:r>
          </w:p>
        </w:tc>
        <w:tc>
          <w:tcPr>
            <w:tcW w:w="2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4,513</w:t>
            </w:r>
          </w:p>
        </w:tc>
      </w:tr>
      <w:tr>
        <w:trPr>
          <w:trHeight w:val="223"/>
        </w:trPr>
        <w:tc>
          <w:tcPr>
            <w:tcW w:w="7360" w:type="dxa"/>
            <w:vAlign w:val="bottom"/>
          </w:tcPr>
          <w:p>
            <w:pPr>
              <w:ind w:left="440"/>
              <w:spacing w:after="0"/>
              <w:rPr>
                <w:sz w:val="20"/>
                <w:szCs w:val="20"/>
                <w:color w:val="auto"/>
              </w:rPr>
            </w:pPr>
            <w:r>
              <w:rPr>
                <w:rFonts w:ascii="Arial" w:cs="Arial" w:eastAsia="Arial" w:hAnsi="Arial"/>
                <w:sz w:val="18"/>
                <w:szCs w:val="18"/>
                <w:color w:val="auto"/>
              </w:rPr>
              <w:t>Total net revenue</w:t>
            </w:r>
          </w:p>
        </w:tc>
        <w:tc>
          <w:tcPr>
            <w:tcW w:w="24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53,471</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131,583</w:t>
            </w:r>
          </w:p>
        </w:tc>
      </w:tr>
      <w:tr>
        <w:trPr>
          <w:trHeight w:val="22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applicable to revenue (exclusive of depreciation and amortization):</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30"/>
        </w:trPr>
        <w:tc>
          <w:tcPr>
            <w:tcW w:w="7360" w:type="dxa"/>
            <w:vAlign w:val="bottom"/>
          </w:tcPr>
          <w:p>
            <w:pPr>
              <w:ind w:left="240"/>
              <w:spacing w:after="0"/>
              <w:rPr>
                <w:sz w:val="20"/>
                <w:szCs w:val="20"/>
                <w:color w:val="auto"/>
              </w:rPr>
            </w:pPr>
            <w:r>
              <w:rPr>
                <w:rFonts w:ascii="Arial" w:cs="Arial" w:eastAsia="Arial" w:hAnsi="Arial"/>
                <w:sz w:val="18"/>
                <w:szCs w:val="18"/>
                <w:color w:val="auto"/>
              </w:rPr>
              <w:t>Products</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49,901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109,528</w:t>
            </w:r>
          </w:p>
        </w:tc>
      </w:tr>
      <w:tr>
        <w:trPr>
          <w:trHeight w:val="229"/>
        </w:trPr>
        <w:tc>
          <w:tcPr>
            <w:tcW w:w="7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Services and plans</w:t>
            </w: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2,762</w:t>
            </w:r>
          </w:p>
        </w:tc>
      </w:tr>
      <w:tr>
        <w:trPr>
          <w:trHeight w:val="223"/>
        </w:trPr>
        <w:tc>
          <w:tcPr>
            <w:tcW w:w="7360" w:type="dxa"/>
            <w:vAlign w:val="bottom"/>
          </w:tcPr>
          <w:p>
            <w:pPr>
              <w:ind w:left="360"/>
              <w:spacing w:after="0"/>
              <w:rPr>
                <w:sz w:val="20"/>
                <w:szCs w:val="20"/>
                <w:color w:val="auto"/>
              </w:rPr>
            </w:pPr>
            <w:r>
              <w:rPr>
                <w:rFonts w:ascii="Arial" w:cs="Arial" w:eastAsia="Arial" w:hAnsi="Arial"/>
                <w:sz w:val="18"/>
                <w:szCs w:val="18"/>
                <w:color w:val="auto"/>
              </w:rPr>
              <w:t>Total costs applicable to revenue</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49,908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112,290</w:t>
            </w:r>
          </w:p>
        </w:tc>
      </w:tr>
      <w:tr>
        <w:trPr>
          <w:trHeight w:val="22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29"/>
        </w:trPr>
        <w:tc>
          <w:tcPr>
            <w:tcW w:w="7360" w:type="dxa"/>
            <w:vAlign w:val="bottom"/>
          </w:tcPr>
          <w:p>
            <w:pPr>
              <w:ind w:left="22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6,542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23,164</w:t>
            </w:r>
          </w:p>
        </w:tc>
      </w:tr>
      <w:tr>
        <w:trPr>
          <w:trHeight w:val="230"/>
        </w:trPr>
        <w:tc>
          <w:tcPr>
            <w:tcW w:w="7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r>
      <w:tr>
        <w:trPr>
          <w:trHeight w:val="229"/>
        </w:trPr>
        <w:tc>
          <w:tcPr>
            <w:tcW w:w="7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expense (income), net</w:t>
            </w: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24,475</w:t>
            </w:r>
          </w:p>
        </w:tc>
      </w:tr>
      <w:tr>
        <w:trPr>
          <w:trHeight w:val="223"/>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from discontinued operations before income taxes</w:t>
            </w: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(5,182)</w:t>
            </w:r>
          </w:p>
        </w:tc>
      </w:tr>
      <w:tr>
        <w:trPr>
          <w:trHeight w:val="223"/>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from discontinued operations</w:t>
            </w: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(3,030)</w:t>
            </w:r>
          </w:p>
        </w:tc>
      </w:tr>
      <w:tr>
        <w:trPr>
          <w:trHeight w:val="223"/>
        </w:trPr>
        <w:tc>
          <w:tcPr>
            <w:tcW w:w="7360" w:type="dxa"/>
            <w:vAlign w:val="bottom"/>
          </w:tcPr>
          <w:p>
            <w:pPr>
              <w:ind w:left="20"/>
              <w:spacing w:after="0"/>
              <w:rPr>
                <w:sz w:val="20"/>
                <w:szCs w:val="20"/>
                <w:color w:val="auto"/>
              </w:rPr>
            </w:pPr>
            <w:r>
              <w:rPr>
                <w:rFonts w:ascii="Arial" w:cs="Arial" w:eastAsia="Arial" w:hAnsi="Arial"/>
                <w:sz w:val="18"/>
                <w:szCs w:val="18"/>
                <w:color w:val="auto"/>
              </w:rPr>
              <w:t>Loss from discontinued operations, net of tax</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(2,152)</w:t>
            </w:r>
          </w:p>
        </w:tc>
      </w:tr>
      <w:tr>
        <w:trPr>
          <w:trHeight w:val="20"/>
        </w:trPr>
        <w:tc>
          <w:tcPr>
            <w:tcW w:w="7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significant non-cash items and cash flows from investing activities related to discontinued operations: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9040" w:type="dxa"/>
            <w:vAlign w:val="bottom"/>
          </w:tcPr>
          <w:p>
            <w:pPr>
              <w:spacing w:after="0"/>
              <w:rPr>
                <w:sz w:val="20"/>
                <w:szCs w:val="20"/>
                <w:color w:val="auto"/>
              </w:rPr>
            </w:pPr>
          </w:p>
        </w:tc>
        <w:tc>
          <w:tcPr>
            <w:tcW w:w="20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Six Months Ended</w:t>
            </w:r>
          </w:p>
        </w:tc>
      </w:tr>
      <w:tr>
        <w:trPr>
          <w:trHeight w:val="223"/>
        </w:trPr>
        <w:tc>
          <w:tcPr>
            <w:tcW w:w="90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June 29, 2024</w:t>
            </w:r>
          </w:p>
        </w:tc>
      </w:tr>
      <w:tr>
        <w:trPr>
          <w:trHeight w:val="209"/>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Adjustments to reconcile net income to net cash provided by operating activities:</w:t>
            </w:r>
          </w:p>
        </w:tc>
        <w:tc>
          <w:tcPr>
            <w:tcW w:w="2020" w:type="dxa"/>
            <w:vAlign w:val="bottom"/>
            <w:shd w:val="clear" w:color="auto" w:fill="CCEEFF"/>
          </w:tcPr>
          <w:p>
            <w:pPr>
              <w:spacing w:after="0"/>
              <w:rPr>
                <w:sz w:val="18"/>
                <w:szCs w:val="18"/>
                <w:color w:val="auto"/>
              </w:rPr>
            </w:pPr>
          </w:p>
        </w:tc>
      </w:tr>
      <w:tr>
        <w:trPr>
          <w:trHeight w:val="230"/>
        </w:trPr>
        <w:tc>
          <w:tcPr>
            <w:tcW w:w="90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020" w:type="dxa"/>
            <w:vAlign w:val="bottom"/>
          </w:tcPr>
          <w:p>
            <w:pPr>
              <w:jc w:val="right"/>
              <w:spacing w:after="0"/>
              <w:rPr>
                <w:sz w:val="20"/>
                <w:szCs w:val="20"/>
                <w:color w:val="auto"/>
              </w:rPr>
            </w:pPr>
            <w:r>
              <w:rPr>
                <w:rFonts w:ascii="Arial" w:cs="Arial" w:eastAsia="Arial" w:hAnsi="Arial"/>
                <w:sz w:val="18"/>
                <w:szCs w:val="18"/>
                <w:color w:val="auto"/>
              </w:rPr>
              <w:t>1,331</w:t>
            </w:r>
          </w:p>
        </w:tc>
      </w:tr>
      <w:tr>
        <w:trPr>
          <w:trHeight w:val="230"/>
        </w:trPr>
        <w:tc>
          <w:tcPr>
            <w:tcW w:w="9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30"/>
        </w:trPr>
        <w:tc>
          <w:tcPr>
            <w:tcW w:w="9040" w:type="dxa"/>
            <w:vAlign w:val="bottom"/>
          </w:tcPr>
          <w:p>
            <w:pPr>
              <w:ind w:left="220"/>
              <w:spacing w:after="0"/>
              <w:rPr>
                <w:sz w:val="20"/>
                <w:szCs w:val="20"/>
                <w:color w:val="auto"/>
              </w:rPr>
            </w:pPr>
            <w:r>
              <w:rPr>
                <w:rFonts w:ascii="Arial" w:cs="Arial" w:eastAsia="Arial" w:hAnsi="Arial"/>
                <w:sz w:val="18"/>
                <w:szCs w:val="18"/>
                <w:color w:val="auto"/>
              </w:rPr>
              <w:t>Inventory adjustments</w:t>
            </w:r>
          </w:p>
        </w:tc>
        <w:tc>
          <w:tcPr>
            <w:tcW w:w="2020" w:type="dxa"/>
            <w:vAlign w:val="bottom"/>
          </w:tcPr>
          <w:p>
            <w:pPr>
              <w:jc w:val="right"/>
              <w:spacing w:after="0"/>
              <w:rPr>
                <w:sz w:val="20"/>
                <w:szCs w:val="20"/>
                <w:color w:val="auto"/>
              </w:rPr>
            </w:pPr>
            <w:r>
              <w:rPr>
                <w:rFonts w:ascii="Arial" w:cs="Arial" w:eastAsia="Arial" w:hAnsi="Arial"/>
                <w:sz w:val="18"/>
                <w:szCs w:val="18"/>
                <w:color w:val="auto"/>
              </w:rPr>
              <w:t>441</w:t>
            </w:r>
          </w:p>
        </w:tc>
      </w:tr>
      <w:tr>
        <w:trPr>
          <w:trHeight w:val="229"/>
        </w:trPr>
        <w:tc>
          <w:tcPr>
            <w:tcW w:w="9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r>
      <w:tr>
        <w:trPr>
          <w:trHeight w:val="230"/>
        </w:trPr>
        <w:tc>
          <w:tcPr>
            <w:tcW w:w="904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020" w:type="dxa"/>
            <w:vAlign w:val="bottom"/>
          </w:tcPr>
          <w:p>
            <w:pPr>
              <w:spacing w:after="0"/>
              <w:rPr>
                <w:sz w:val="19"/>
                <w:szCs w:val="19"/>
                <w:color w:val="auto"/>
              </w:rPr>
            </w:pPr>
          </w:p>
        </w:tc>
      </w:tr>
      <w:tr>
        <w:trPr>
          <w:trHeight w:val="230"/>
        </w:trPr>
        <w:tc>
          <w:tcPr>
            <w:tcW w:w="9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w:t>
            </w: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Severance Benefits</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During the six months ended June 28, 2025, we recognized $2.1 million related to severance benefits for certain associates in the Corporate and other category within Selling, general and administrative expenses in the Condensed Consolidated Statements of Operations and Comprehensive Income. These charges were recognized in accordance with FASB guidance on employers’ accounting for postemployment benefits and guidance on accounting for costs associated with exit or disposal activities, as appropriate.</w:t>
      </w:r>
    </w:p>
    <w:p>
      <w:pPr>
        <w:spacing w:after="0" w:line="200" w:lineRule="exact"/>
        <w:rPr>
          <w:sz w:val="20"/>
          <w:szCs w:val="20"/>
          <w:color w:val="auto"/>
        </w:rPr>
      </w:pPr>
    </w:p>
    <w:p>
      <w:pPr>
        <w:spacing w:after="0" w:line="3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Details of Certain Balance Sheet Accounts</w:t>
      </w:r>
    </w:p>
    <w:p>
      <w:pPr>
        <w:spacing w:after="0" w:line="117"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The following table provides a reconciliation of cash and cash equivalents reported within the Condensed Consolidated Balance sheets to the total of Cash, cash equivalents and restricted cash shown in the Condensed Consolidated Statement of Cash Flows: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9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000" w:type="dxa"/>
            <w:vAlign w:val="bottom"/>
            <w:tcBorders>
              <w:bottom w:val="single" w:sz="8" w:color="auto"/>
            </w:tcBorders>
            <w:gridSpan w:val="4"/>
          </w:tcPr>
          <w:p>
            <w:pPr>
              <w:jc w:val="right"/>
              <w:ind w:right="1330"/>
              <w:spacing w:after="0"/>
              <w:rPr>
                <w:sz w:val="20"/>
                <w:szCs w:val="20"/>
                <w:color w:val="auto"/>
              </w:rPr>
            </w:pPr>
            <w:r>
              <w:rPr>
                <w:rFonts w:ascii="Arial" w:cs="Arial" w:eastAsia="Arial" w:hAnsi="Arial"/>
                <w:sz w:val="18"/>
                <w:szCs w:val="18"/>
                <w:color w:val="auto"/>
              </w:rPr>
              <w:t>Six Months Ended</w:t>
            </w:r>
          </w:p>
        </w:tc>
      </w:tr>
      <w:tr>
        <w:trPr>
          <w:trHeight w:val="223"/>
        </w:trPr>
        <w:tc>
          <w:tcPr>
            <w:tcW w:w="694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19"/>
                <w:szCs w:val="19"/>
                <w:color w:val="auto"/>
              </w:rPr>
            </w:pPr>
          </w:p>
        </w:tc>
        <w:tc>
          <w:tcPr>
            <w:tcW w:w="1900" w:type="dxa"/>
            <w:vAlign w:val="bottom"/>
            <w:gridSpan w:val="2"/>
          </w:tcPr>
          <w:p>
            <w:pPr>
              <w:ind w:left="180"/>
              <w:spacing w:after="0"/>
              <w:rPr>
                <w:sz w:val="20"/>
                <w:szCs w:val="20"/>
                <w:color w:val="auto"/>
              </w:rPr>
            </w:pPr>
            <w:r>
              <w:rPr>
                <w:rFonts w:ascii="Arial" w:cs="Arial" w:eastAsia="Arial" w:hAnsi="Arial"/>
                <w:sz w:val="18"/>
                <w:szCs w:val="18"/>
                <w:color w:val="auto"/>
              </w:rPr>
              <w:t>June 28, 2025</w:t>
            </w:r>
          </w:p>
        </w:tc>
        <w:tc>
          <w:tcPr>
            <w:tcW w:w="300" w:type="dxa"/>
            <w:vAlign w:val="bottom"/>
          </w:tcPr>
          <w:p>
            <w:pPr>
              <w:spacing w:after="0"/>
              <w:rPr>
                <w:sz w:val="19"/>
                <w:szCs w:val="19"/>
                <w:color w:val="auto"/>
              </w:rPr>
            </w:pPr>
          </w:p>
        </w:tc>
        <w:tc>
          <w:tcPr>
            <w:tcW w:w="1800" w:type="dxa"/>
            <w:vAlign w:val="bottom"/>
          </w:tcPr>
          <w:p>
            <w:pPr>
              <w:jc w:val="right"/>
              <w:ind w:right="390"/>
              <w:spacing w:after="0"/>
              <w:rPr>
                <w:sz w:val="20"/>
                <w:szCs w:val="20"/>
                <w:color w:val="auto"/>
              </w:rPr>
            </w:pPr>
            <w:r>
              <w:rPr>
                <w:rFonts w:ascii="Arial" w:cs="Arial" w:eastAsia="Arial" w:hAnsi="Arial"/>
                <w:sz w:val="18"/>
                <w:szCs w:val="18"/>
                <w:color w:val="auto"/>
              </w:rPr>
              <w:t>June 29, 2024</w:t>
            </w:r>
          </w:p>
        </w:tc>
      </w:tr>
      <w:tr>
        <w:trPr>
          <w:trHeight w:val="209"/>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w:t>
            </w:r>
          </w:p>
        </w:tc>
        <w:tc>
          <w:tcPr>
            <w:tcW w:w="30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r>
      <w:tr>
        <w:trPr>
          <w:trHeight w:val="229"/>
        </w:trPr>
        <w:tc>
          <w:tcPr>
            <w:tcW w:w="694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48,471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179,515</w:t>
            </w:r>
          </w:p>
        </w:tc>
      </w:tr>
      <w:tr>
        <w:trPr>
          <w:trHeight w:val="230"/>
        </w:trPr>
        <w:tc>
          <w:tcPr>
            <w:tcW w:w="694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Restricted cash included in other assets </w:t>
            </w:r>
            <w:r>
              <w:rPr>
                <w:rFonts w:ascii="Arial" w:cs="Arial" w:eastAsia="Arial" w:hAnsi="Arial"/>
                <w:sz w:val="23"/>
                <w:szCs w:val="23"/>
                <w:color w:val="auto"/>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w:t>
            </w:r>
          </w:p>
        </w:tc>
      </w:tr>
      <w:tr>
        <w:trPr>
          <w:trHeight w:val="232"/>
        </w:trPr>
        <w:tc>
          <w:tcPr>
            <w:tcW w:w="694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49,988</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180,992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-5080</wp:posOffset>
            </wp:positionV>
            <wp:extent cx="27260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(1) Restricted cash relates to regulatory requirements associated with our FirstSight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-107315</wp:posOffset>
            </wp:positionV>
            <wp:extent cx="27260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additional details of Inventories, net as of the dates shown below:</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17"/>
                <w:szCs w:val="17"/>
                <w:color w:val="auto"/>
              </w:rPr>
            </w:pPr>
          </w:p>
        </w:tc>
        <w:tc>
          <w:tcPr>
            <w:tcW w:w="1900" w:type="dxa"/>
            <w:vAlign w:val="bottom"/>
            <w:gridSpan w:val="2"/>
          </w:tcPr>
          <w:p>
            <w:pPr>
              <w:jc w:val="center"/>
              <w:ind w:right="400"/>
              <w:spacing w:after="0"/>
              <w:rPr>
                <w:sz w:val="20"/>
                <w:szCs w:val="20"/>
                <w:color w:val="auto"/>
              </w:rPr>
            </w:pPr>
            <w:r>
              <w:rPr>
                <w:rFonts w:ascii="Arial" w:cs="Arial" w:eastAsia="Arial" w:hAnsi="Arial"/>
                <w:sz w:val="18"/>
                <w:szCs w:val="18"/>
                <w:color w:val="auto"/>
              </w:rPr>
              <w:t>As of</w:t>
            </w:r>
          </w:p>
        </w:tc>
        <w:tc>
          <w:tcPr>
            <w:tcW w:w="200" w:type="dxa"/>
            <w:vAlign w:val="bottom"/>
          </w:tcPr>
          <w:p>
            <w:pPr>
              <w:spacing w:after="0"/>
              <w:rPr>
                <w:sz w:val="17"/>
                <w:szCs w:val="17"/>
                <w:color w:val="auto"/>
              </w:rPr>
            </w:pPr>
          </w:p>
        </w:tc>
        <w:tc>
          <w:tcPr>
            <w:tcW w:w="1900" w:type="dxa"/>
            <w:vAlign w:val="bottom"/>
          </w:tcPr>
          <w:p>
            <w:pPr>
              <w:jc w:val="right"/>
              <w:ind w:right="75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43"/>
        </w:trPr>
        <w:tc>
          <w:tcPr>
            <w:tcW w:w="694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90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June 28, 2025</w:t>
            </w:r>
          </w:p>
        </w:tc>
        <w:tc>
          <w:tcPr>
            <w:tcW w:w="200" w:type="dxa"/>
            <w:vAlign w:val="bottom"/>
          </w:tcPr>
          <w:p>
            <w:pPr>
              <w:spacing w:after="0"/>
              <w:rPr>
                <w:sz w:val="21"/>
                <w:szCs w:val="21"/>
                <w:color w:val="auto"/>
              </w:rPr>
            </w:pPr>
          </w:p>
        </w:tc>
        <w:tc>
          <w:tcPr>
            <w:tcW w:w="1900" w:type="dxa"/>
            <w:vAlign w:val="bottom"/>
          </w:tcPr>
          <w:p>
            <w:pPr>
              <w:jc w:val="right"/>
              <w:ind w:right="170"/>
              <w:spacing w:after="0"/>
              <w:rPr>
                <w:sz w:val="20"/>
                <w:szCs w:val="20"/>
                <w:color w:val="auto"/>
              </w:rPr>
            </w:pPr>
            <w:r>
              <w:rPr>
                <w:rFonts w:ascii="Arial" w:cs="Arial" w:eastAsia="Arial" w:hAnsi="Arial"/>
                <w:sz w:val="18"/>
                <w:szCs w:val="18"/>
                <w:color w:val="auto"/>
              </w:rPr>
              <w:t>December 28, 2024</w:t>
            </w:r>
          </w:p>
        </w:tc>
        <w:tc>
          <w:tcPr>
            <w:tcW w:w="0" w:type="dxa"/>
            <w:vAlign w:val="bottom"/>
          </w:tcPr>
          <w:p>
            <w:pPr>
              <w:spacing w:after="0"/>
              <w:rPr>
                <w:sz w:val="1"/>
                <w:szCs w:val="1"/>
                <w:color w:val="auto"/>
              </w:rPr>
            </w:pPr>
          </w:p>
        </w:tc>
      </w:tr>
      <w:tr>
        <w:trPr>
          <w:trHeight w:val="210"/>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Inventories, net:</w:t>
            </w:r>
          </w:p>
        </w:tc>
        <w:tc>
          <w:tcPr>
            <w:tcW w:w="30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4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Raw materials and work in process </w:t>
            </w:r>
            <w:r>
              <w:rPr>
                <w:rFonts w:ascii="Arial" w:cs="Arial" w:eastAsia="Arial" w:hAnsi="Arial"/>
                <w:sz w:val="23"/>
                <w:szCs w:val="23"/>
                <w:color w:val="auto"/>
                <w:vertAlign w:val="superscript"/>
              </w:rPr>
              <w:t>(1)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61,364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66,056</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Finished goods</w:t>
            </w:r>
          </w:p>
        </w:tc>
        <w:tc>
          <w:tcPr>
            <w:tcW w:w="3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28,284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27,862</w:t>
            </w:r>
          </w:p>
        </w:tc>
        <w:tc>
          <w:tcPr>
            <w:tcW w:w="0" w:type="dxa"/>
            <w:vAlign w:val="bottom"/>
          </w:tcPr>
          <w:p>
            <w:pPr>
              <w:spacing w:after="0"/>
              <w:rPr>
                <w:sz w:val="1"/>
                <w:szCs w:val="1"/>
                <w:color w:val="auto"/>
              </w:rPr>
            </w:pPr>
          </w:p>
        </w:tc>
      </w:tr>
      <w:tr>
        <w:trPr>
          <w:trHeight w:val="232"/>
        </w:trPr>
        <w:tc>
          <w:tcPr>
            <w:tcW w:w="694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89,648</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93,918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-5080</wp:posOffset>
            </wp:positionV>
            <wp:extent cx="27260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ind w:left="260" w:right="20" w:hanging="234"/>
        <w:spacing w:after="0" w:line="251" w:lineRule="auto"/>
        <w:tabs>
          <w:tab w:leader="none" w:pos="255" w:val="left"/>
        </w:tabs>
        <w:numPr>
          <w:ilvl w:val="1"/>
          <w:numId w:val="6"/>
        </w:numPr>
        <w:rPr>
          <w:rFonts w:ascii="Arial" w:cs="Arial" w:eastAsia="Arial" w:hAnsi="Arial"/>
          <w:sz w:val="16"/>
          <w:szCs w:val="16"/>
          <w:color w:val="auto"/>
        </w:rPr>
      </w:pPr>
      <w:r>
        <w:rPr>
          <w:rFonts w:ascii="Arial" w:cs="Arial" w:eastAsia="Arial" w:hAnsi="Arial"/>
          <w:sz w:val="16"/>
          <w:szCs w:val="16"/>
          <w:color w:val="auto"/>
        </w:rPr>
        <w:t>Due to the immaterial amount of estimated work in process and the short lead times for the conversion of raw materials to finished goods, the Company does not separately present raw materials and work in process.</w:t>
      </w:r>
    </w:p>
    <w:p>
      <w:pPr>
        <w:spacing w:after="0" w:line="177" w:lineRule="exact"/>
        <w:rPr>
          <w:rFonts w:ascii="Arial" w:cs="Arial" w:eastAsia="Arial" w:hAnsi="Arial"/>
          <w:sz w:val="16"/>
          <w:szCs w:val="16"/>
          <w:color w:val="auto"/>
        </w:rPr>
      </w:pPr>
    </w:p>
    <w:p>
      <w:pPr>
        <w:ind w:left="200" w:hanging="192"/>
        <w:spacing w:after="0"/>
        <w:tabs>
          <w:tab w:leader="none" w:pos="2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-478790</wp:posOffset>
            </wp:positionV>
            <wp:extent cx="27260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fair value measurements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Convertible Promissory Note</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December 17, 2024, the Company purchased $1.3 million principal amount of a convertible promissory note issued by a private company. During the three months ended June 29, 2024, the Company purchased an additional $0.8 million in the same instrument. As of June 28, 2025, given the lack of material underlying changes we estimated the fair value of the convertible promissory note to be $2.1 million. Refer to Note 1. for information on other investments in this entity.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Non-recurring fair value measurements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Long-lived Store and ROU Store Assets</w:t>
      </w:r>
    </w:p>
    <w:p>
      <w:pPr>
        <w:spacing w:after="0" w:line="11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recognized impairments of $0.5 million during the six months ended June 28, 2025, and $3.5 million and $4.0 million during the three and six months ended June 29, 2024, respectively, primarily related to our long-lived tangible store assets and ROU assets. A decrease in the estimated cash flows would lead to a lower fair value measurement, as would an increase in the discount rate. These non-recurring fair value measurements are classified as Level 3 measurements in the fair value hierarchy.</w:t>
      </w:r>
    </w:p>
    <w:p>
      <w:pPr>
        <w:spacing w:after="0" w:line="6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cash flows used in estimating fair value were discounted using a market rate of 10.5% and 11.5% during the six months ended June 28, 2025 and June 29, 2024, respectively. The estimated remaining fair value of the store assets impaired during the six months ended June 28, 2025 and June 29, 2024 was $0.5 million and $0.5 million, respectively. Substantially all of the remaining fair value of the impaired store assets represents the fair value of ROU assets.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fair value information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 Loan A and Revolving Loans</w:t>
      </w:r>
    </w:p>
    <w:p>
      <w:pPr>
        <w:spacing w:after="0" w:line="11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Since the borrowings under first lien term loan (“Term Loan A”) and revolving credit loans (the “Revolving Loans”) utilize variable interest rate setting mechanisms such as Term SOFR, the fair values of these borrowings are deemed to approximate the carrying values. We also considered the effect of our own credit risk on the fair values of Term Loan A and Revolving Loans. Refer to Note 6. “Debt” for more information on these borrowings.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736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88"/>
        </w:trPr>
        <w:tc>
          <w:tcPr>
            <w:tcW w:w="1400" w:type="dxa"/>
            <w:vAlign w:val="bottom"/>
            <w:tcBorders>
              <w:top w:val="single" w:sz="8" w:color="0000FF"/>
            </w:tcBorders>
          </w:tcPr>
          <w:p>
            <w:pPr>
              <w:spacing w:after="0"/>
              <w:rPr>
                <w:sz w:val="20"/>
                <w:szCs w:val="20"/>
                <w:color w:val="auto"/>
              </w:rPr>
            </w:pPr>
            <w:r>
              <w:rPr>
                <w:rFonts w:ascii="Arial" w:cs="Arial" w:eastAsia="Arial" w:hAnsi="Arial"/>
                <w:sz w:val="18"/>
                <w:szCs w:val="18"/>
                <w:b w:val="1"/>
                <w:bCs w:val="1"/>
                <w:color w:val="auto"/>
              </w:rPr>
              <w:t>6. Debt</w:t>
            </w:r>
          </w:p>
        </w:tc>
        <w:tc>
          <w:tcPr>
            <w:tcW w:w="5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7360" w:type="dxa"/>
            <w:vAlign w:val="bottom"/>
            <w:gridSpan w:val="2"/>
          </w:tcPr>
          <w:p>
            <w:pPr>
              <w:spacing w:after="0"/>
              <w:rPr>
                <w:sz w:val="20"/>
                <w:szCs w:val="20"/>
                <w:color w:val="auto"/>
              </w:rPr>
            </w:pPr>
            <w:r>
              <w:rPr>
                <w:rFonts w:ascii="Arial" w:cs="Arial" w:eastAsia="Arial" w:hAnsi="Arial"/>
                <w:sz w:val="18"/>
                <w:szCs w:val="18"/>
                <w:color w:val="auto"/>
              </w:rPr>
              <w:t>Our debt consists of the following:</w:t>
            </w: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736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4"/>
                <w:szCs w:val="24"/>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8"/>
                <w:szCs w:val="18"/>
                <w:color w:val="auto"/>
                <w:w w:val="97"/>
              </w:rPr>
              <w:t>As of</w:t>
            </w:r>
          </w:p>
        </w:tc>
        <w:tc>
          <w:tcPr>
            <w:tcW w:w="140" w:type="dxa"/>
            <w:vAlign w:val="bottom"/>
          </w:tcPr>
          <w:p>
            <w:pPr>
              <w:spacing w:after="0"/>
              <w:rPr>
                <w:sz w:val="24"/>
                <w:szCs w:val="24"/>
                <w:color w:val="auto"/>
              </w:rPr>
            </w:pPr>
          </w:p>
        </w:tc>
        <w:tc>
          <w:tcPr>
            <w:tcW w:w="1760" w:type="dxa"/>
            <w:vAlign w:val="bottom"/>
          </w:tcPr>
          <w:p>
            <w:pPr>
              <w:jc w:val="right"/>
              <w:ind w:right="65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43"/>
        </w:trPr>
        <w:tc>
          <w:tcPr>
            <w:tcW w:w="736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June 28, 2025</w:t>
            </w:r>
          </w:p>
        </w:tc>
        <w:tc>
          <w:tcPr>
            <w:tcW w:w="140" w:type="dxa"/>
            <w:vAlign w:val="bottom"/>
          </w:tcPr>
          <w:p>
            <w:pPr>
              <w:spacing w:after="0"/>
              <w:rPr>
                <w:sz w:val="21"/>
                <w:szCs w:val="21"/>
                <w:color w:val="auto"/>
              </w:rPr>
            </w:pPr>
          </w:p>
        </w:tc>
        <w:tc>
          <w:tcPr>
            <w:tcW w:w="1760" w:type="dxa"/>
            <w:vAlign w:val="bottom"/>
          </w:tcPr>
          <w:p>
            <w:pPr>
              <w:jc w:val="right"/>
              <w:ind w:right="70"/>
              <w:spacing w:after="0"/>
              <w:rPr>
                <w:sz w:val="20"/>
                <w:szCs w:val="20"/>
                <w:color w:val="auto"/>
              </w:rPr>
            </w:pPr>
            <w:r>
              <w:rPr>
                <w:rFonts w:ascii="Arial" w:cs="Arial" w:eastAsia="Arial" w:hAnsi="Arial"/>
                <w:sz w:val="18"/>
                <w:szCs w:val="18"/>
                <w:color w:val="auto"/>
                <w:w w:val="99"/>
              </w:rPr>
              <w:t>December 28, 2024</w:t>
            </w:r>
          </w:p>
        </w:tc>
        <w:tc>
          <w:tcPr>
            <w:tcW w:w="0" w:type="dxa"/>
            <w:vAlign w:val="bottom"/>
          </w:tcPr>
          <w:p>
            <w:pPr>
              <w:spacing w:after="0"/>
              <w:rPr>
                <w:sz w:val="1"/>
                <w:szCs w:val="1"/>
                <w:color w:val="auto"/>
              </w:rPr>
            </w:pPr>
          </w:p>
        </w:tc>
      </w:tr>
      <w:tr>
        <w:trPr>
          <w:trHeight w:val="223"/>
        </w:trPr>
        <w:tc>
          <w:tcPr>
            <w:tcW w:w="73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2025 Notes, due May 15, 2025</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84,774</w:t>
            </w:r>
          </w:p>
        </w:tc>
        <w:tc>
          <w:tcPr>
            <w:tcW w:w="0" w:type="dxa"/>
            <w:vAlign w:val="bottom"/>
          </w:tcPr>
          <w:p>
            <w:pPr>
              <w:spacing w:after="0"/>
              <w:rPr>
                <w:sz w:val="1"/>
                <w:szCs w:val="1"/>
                <w:color w:val="auto"/>
              </w:rPr>
            </w:pPr>
          </w:p>
        </w:tc>
      </w:tr>
      <w:tr>
        <w:trPr>
          <w:trHeight w:val="230"/>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Term Loan A, due June 13, 2028</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247,563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254,188</w:t>
            </w:r>
          </w:p>
        </w:tc>
        <w:tc>
          <w:tcPr>
            <w:tcW w:w="0" w:type="dxa"/>
            <w:vAlign w:val="bottom"/>
          </w:tcPr>
          <w:p>
            <w:pPr>
              <w:spacing w:after="0"/>
              <w:rPr>
                <w:sz w:val="1"/>
                <w:szCs w:val="1"/>
                <w:color w:val="auto"/>
              </w:rPr>
            </w:pPr>
          </w:p>
        </w:tc>
      </w:tr>
      <w:tr>
        <w:trPr>
          <w:trHeight w:val="229"/>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Revolving Loans, due June 13, 2028 (aggregate principal amount $300 million)</w:t>
            </w:r>
          </w:p>
        </w:tc>
        <w:tc>
          <w:tcPr>
            <w:tcW w:w="2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Debt before unamortized discount and issuance costs</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262,563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338,962</w:t>
            </w:r>
          </w:p>
        </w:tc>
        <w:tc>
          <w:tcPr>
            <w:tcW w:w="0" w:type="dxa"/>
            <w:vAlign w:val="bottom"/>
          </w:tcPr>
          <w:p>
            <w:pPr>
              <w:spacing w:after="0"/>
              <w:rPr>
                <w:sz w:val="1"/>
                <w:szCs w:val="1"/>
                <w:color w:val="auto"/>
              </w:rPr>
            </w:pPr>
          </w:p>
        </w:tc>
      </w:tr>
      <w:tr>
        <w:trPr>
          <w:trHeight w:val="229"/>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Unamortized discount and issuance costs - 2025 Notes</w:t>
            </w:r>
          </w:p>
        </w:tc>
        <w:tc>
          <w:tcPr>
            <w:tcW w:w="24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29"/>
        </w:trPr>
        <w:tc>
          <w:tcPr>
            <w:tcW w:w="7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Unamortized discount and issuance costs - Term Loan A</w:t>
            </w: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23"/>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Debt less debt discount and issuance costs</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337,169</w:t>
            </w:r>
          </w:p>
        </w:tc>
        <w:tc>
          <w:tcPr>
            <w:tcW w:w="0" w:type="dxa"/>
            <w:vAlign w:val="bottom"/>
          </w:tcPr>
          <w:p>
            <w:pPr>
              <w:spacing w:after="0"/>
              <w:rPr>
                <w:sz w:val="1"/>
                <w:szCs w:val="1"/>
                <w:color w:val="auto"/>
              </w:rPr>
            </w:pPr>
          </w:p>
        </w:tc>
      </w:tr>
      <w:tr>
        <w:trPr>
          <w:trHeight w:val="229"/>
        </w:trPr>
        <w:tc>
          <w:tcPr>
            <w:tcW w:w="7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current maturities</w:t>
            </w: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(98,024)</w:t>
            </w:r>
          </w:p>
        </w:tc>
        <w:tc>
          <w:tcPr>
            <w:tcW w:w="0" w:type="dxa"/>
            <w:vAlign w:val="bottom"/>
          </w:tcPr>
          <w:p>
            <w:pPr>
              <w:spacing w:after="0"/>
              <w:rPr>
                <w:sz w:val="1"/>
                <w:szCs w:val="1"/>
                <w:color w:val="auto"/>
              </w:rPr>
            </w:pPr>
          </w:p>
        </w:tc>
      </w:tr>
      <w:tr>
        <w:trPr>
          <w:trHeight w:val="223"/>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debt - noncurrent portion</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239,145</w:t>
            </w:r>
          </w:p>
        </w:tc>
        <w:tc>
          <w:tcPr>
            <w:tcW w:w="0" w:type="dxa"/>
            <w:vAlign w:val="bottom"/>
          </w:tcPr>
          <w:p>
            <w:pPr>
              <w:spacing w:after="0"/>
              <w:rPr>
                <w:sz w:val="1"/>
                <w:szCs w:val="1"/>
                <w:color w:val="auto"/>
              </w:rPr>
            </w:pPr>
          </w:p>
        </w:tc>
      </w:tr>
      <w:tr>
        <w:trPr>
          <w:trHeight w:val="229"/>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Finance lease obligations</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11,213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12,833</w:t>
            </w: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current maturities</w:t>
            </w:r>
          </w:p>
        </w:tc>
        <w:tc>
          <w:tcPr>
            <w:tcW w:w="2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(3,368)</w:t>
            </w:r>
          </w:p>
        </w:tc>
        <w:tc>
          <w:tcPr>
            <w:tcW w:w="0" w:type="dxa"/>
            <w:vAlign w:val="bottom"/>
          </w:tcPr>
          <w:p>
            <w:pPr>
              <w:spacing w:after="0"/>
              <w:rPr>
                <w:sz w:val="1"/>
                <w:szCs w:val="1"/>
                <w:color w:val="auto"/>
              </w:rPr>
            </w:pPr>
          </w:p>
        </w:tc>
      </w:tr>
      <w:tr>
        <w:trPr>
          <w:trHeight w:val="155"/>
        </w:trPr>
        <w:tc>
          <w:tcPr>
            <w:tcW w:w="7360" w:type="dxa"/>
            <w:vAlign w:val="bottom"/>
            <w:gridSpan w:val="2"/>
          </w:tcPr>
          <w:p>
            <w:pPr>
              <w:ind w:left="20"/>
              <w:spacing w:after="0" w:line="156" w:lineRule="exact"/>
              <w:rPr>
                <w:sz w:val="20"/>
                <w:szCs w:val="20"/>
                <w:color w:val="auto"/>
              </w:rPr>
            </w:pPr>
            <w:r>
              <w:rPr>
                <w:rFonts w:ascii="Arial" w:cs="Arial" w:eastAsia="Arial" w:hAnsi="Arial"/>
                <w:sz w:val="18"/>
                <w:szCs w:val="18"/>
                <w:color w:val="auto"/>
              </w:rPr>
              <w:t>Long-term debt and finance lease obligations, less current portion, discount, and issuance</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255,620</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vMerge w:val="restart"/>
          </w:tcPr>
          <w:p>
            <w:pPr>
              <w:jc w:val="right"/>
              <w:spacing w:after="0"/>
              <w:rPr>
                <w:sz w:val="20"/>
                <w:szCs w:val="20"/>
                <w:color w:val="auto"/>
              </w:rPr>
            </w:pPr>
            <w:r>
              <w:rPr>
                <w:rFonts w:ascii="Arial" w:cs="Arial" w:eastAsia="Arial" w:hAnsi="Arial"/>
                <w:sz w:val="18"/>
                <w:szCs w:val="18"/>
                <w:color w:val="auto"/>
              </w:rPr>
              <w:t>248,610</w:t>
            </w:r>
          </w:p>
        </w:tc>
        <w:tc>
          <w:tcPr>
            <w:tcW w:w="0" w:type="dxa"/>
            <w:vAlign w:val="bottom"/>
          </w:tcPr>
          <w:p>
            <w:pPr>
              <w:spacing w:after="0"/>
              <w:rPr>
                <w:sz w:val="1"/>
                <w:szCs w:val="1"/>
                <w:color w:val="auto"/>
              </w:rPr>
            </w:pPr>
          </w:p>
        </w:tc>
      </w:tr>
      <w:tr>
        <w:trPr>
          <w:trHeight w:val="221"/>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costs</w:t>
            </w:r>
          </w:p>
        </w:tc>
        <w:tc>
          <w:tcPr>
            <w:tcW w:w="240" w:type="dxa"/>
            <w:vAlign w:val="bottom"/>
            <w:tcBorders>
              <w:bottom w:val="single" w:sz="8" w:color="auto"/>
            </w:tcBorders>
            <w:vMerge w:val="continue"/>
          </w:tcPr>
          <w:p>
            <w:pPr>
              <w:spacing w:after="0"/>
              <w:rPr>
                <w:sz w:val="18"/>
                <w:szCs w:val="18"/>
                <w:color w:val="auto"/>
              </w:rPr>
            </w:pPr>
          </w:p>
        </w:tc>
        <w:tc>
          <w:tcPr>
            <w:tcW w:w="16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360" w:type="dxa"/>
            <w:vAlign w:val="bottom"/>
            <w:gridSpan w:val="2"/>
            <w:vMerge w:val="restart"/>
          </w:tcPr>
          <w:p>
            <w:pPr>
              <w:spacing w:after="0"/>
              <w:rPr>
                <w:sz w:val="20"/>
                <w:szCs w:val="20"/>
                <w:color w:val="auto"/>
              </w:rPr>
            </w:pPr>
            <w:r>
              <w:rPr>
                <w:rFonts w:ascii="Arial" w:cs="Arial" w:eastAsia="Arial" w:hAnsi="Arial"/>
                <w:sz w:val="18"/>
                <w:szCs w:val="18"/>
                <w:color w:val="auto"/>
              </w:rPr>
              <w:t>Scheduled annual maturities of debt are as follows:</w:t>
            </w: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6"/>
        </w:trPr>
        <w:tc>
          <w:tcPr>
            <w:tcW w:w="73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73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Fiscal Period</w:t>
            </w:r>
          </w:p>
        </w:tc>
        <w:tc>
          <w:tcPr>
            <w:tcW w:w="2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In thousands</w:t>
            </w:r>
          </w:p>
        </w:tc>
        <w:tc>
          <w:tcPr>
            <w:tcW w:w="0" w:type="dxa"/>
            <w:vAlign w:val="bottom"/>
          </w:tcPr>
          <w:p>
            <w:pPr>
              <w:spacing w:after="0"/>
              <w:rPr>
                <w:sz w:val="1"/>
                <w:szCs w:val="1"/>
                <w:color w:val="auto"/>
              </w:rPr>
            </w:pPr>
          </w:p>
        </w:tc>
      </w:tr>
      <w:tr>
        <w:trPr>
          <w:trHeight w:val="223"/>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2025 - remainder of fiscal year</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9,938</w:t>
            </w:r>
          </w:p>
        </w:tc>
        <w:tc>
          <w:tcPr>
            <w:tcW w:w="0" w:type="dxa"/>
            <w:vAlign w:val="bottom"/>
          </w:tcPr>
          <w:p>
            <w:pPr>
              <w:spacing w:after="0"/>
              <w:rPr>
                <w:sz w:val="1"/>
                <w:szCs w:val="1"/>
                <w:color w:val="auto"/>
              </w:rPr>
            </w:pPr>
          </w:p>
        </w:tc>
      </w:tr>
      <w:tr>
        <w:trPr>
          <w:trHeight w:val="230"/>
        </w:trPr>
        <w:tc>
          <w:tcPr>
            <w:tcW w:w="1400" w:type="dxa"/>
            <w:vAlign w:val="bottom"/>
          </w:tcPr>
          <w:p>
            <w:pPr>
              <w:ind w:left="20"/>
              <w:spacing w:after="0"/>
              <w:rPr>
                <w:sz w:val="20"/>
                <w:szCs w:val="20"/>
                <w:color w:val="auto"/>
              </w:rPr>
            </w:pPr>
            <w:r>
              <w:rPr>
                <w:rFonts w:ascii="Arial" w:cs="Arial" w:eastAsia="Arial" w:hAnsi="Arial"/>
                <w:sz w:val="18"/>
                <w:szCs w:val="18"/>
                <w:color w:val="auto"/>
              </w:rPr>
              <w:t>2026</w:t>
            </w:r>
          </w:p>
        </w:tc>
        <w:tc>
          <w:tcPr>
            <w:tcW w:w="5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13,250</w:t>
            </w:r>
          </w:p>
        </w:tc>
        <w:tc>
          <w:tcPr>
            <w:tcW w:w="0" w:type="dxa"/>
            <w:vAlign w:val="bottom"/>
          </w:tcPr>
          <w:p>
            <w:pPr>
              <w:spacing w:after="0"/>
              <w:rPr>
                <w:sz w:val="1"/>
                <w:szCs w:val="1"/>
                <w:color w:val="auto"/>
              </w:rPr>
            </w:pPr>
          </w:p>
        </w:tc>
      </w:tr>
      <w:tr>
        <w:trPr>
          <w:trHeight w:val="229"/>
        </w:trPr>
        <w:tc>
          <w:tcPr>
            <w:tcW w:w="1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5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13,250</w:t>
            </w:r>
          </w:p>
        </w:tc>
        <w:tc>
          <w:tcPr>
            <w:tcW w:w="0" w:type="dxa"/>
            <w:vAlign w:val="bottom"/>
          </w:tcPr>
          <w:p>
            <w:pPr>
              <w:spacing w:after="0"/>
              <w:rPr>
                <w:sz w:val="1"/>
                <w:szCs w:val="1"/>
                <w:color w:val="auto"/>
              </w:rPr>
            </w:pPr>
          </w:p>
        </w:tc>
      </w:tr>
      <w:tr>
        <w:trPr>
          <w:trHeight w:val="230"/>
        </w:trPr>
        <w:tc>
          <w:tcPr>
            <w:tcW w:w="1400" w:type="dxa"/>
            <w:vAlign w:val="bottom"/>
          </w:tcPr>
          <w:p>
            <w:pPr>
              <w:ind w:left="20"/>
              <w:spacing w:after="0"/>
              <w:rPr>
                <w:sz w:val="20"/>
                <w:szCs w:val="20"/>
                <w:color w:val="auto"/>
              </w:rPr>
            </w:pPr>
            <w:r>
              <w:rPr>
                <w:rFonts w:ascii="Arial" w:cs="Arial" w:eastAsia="Arial" w:hAnsi="Arial"/>
                <w:sz w:val="18"/>
                <w:szCs w:val="18"/>
                <w:color w:val="auto"/>
              </w:rPr>
              <w:t>2028</w:t>
            </w:r>
          </w:p>
        </w:tc>
        <w:tc>
          <w:tcPr>
            <w:tcW w:w="5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226,125</w:t>
            </w:r>
          </w:p>
        </w:tc>
        <w:tc>
          <w:tcPr>
            <w:tcW w:w="0" w:type="dxa"/>
            <w:vAlign w:val="bottom"/>
          </w:tcPr>
          <w:p>
            <w:pPr>
              <w:spacing w:after="0"/>
              <w:rPr>
                <w:sz w:val="1"/>
                <w:szCs w:val="1"/>
                <w:color w:val="auto"/>
              </w:rPr>
            </w:pPr>
          </w:p>
        </w:tc>
      </w:tr>
      <w:tr>
        <w:trPr>
          <w:trHeight w:val="230"/>
        </w:trPr>
        <w:tc>
          <w:tcPr>
            <w:tcW w:w="1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2029</w:t>
            </w:r>
          </w:p>
        </w:tc>
        <w:tc>
          <w:tcPr>
            <w:tcW w:w="5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1400" w:type="dxa"/>
            <w:vAlign w:val="bottom"/>
            <w:tcBorders>
              <w:bottom w:val="single" w:sz="8" w:color="CCEEFF"/>
            </w:tcBorders>
            <w:shd w:val="clear" w:color="auto" w:fill="CCEEFF"/>
          </w:tcPr>
          <w:p>
            <w:pPr>
              <w:spacing w:after="0"/>
              <w:rPr>
                <w:sz w:val="21"/>
                <w:szCs w:val="21"/>
                <w:color w:val="auto"/>
              </w:rPr>
            </w:pPr>
          </w:p>
        </w:tc>
        <w:tc>
          <w:tcPr>
            <w:tcW w:w="59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262,563</w:t>
            </w:r>
          </w:p>
        </w:tc>
        <w:tc>
          <w:tcPr>
            <w:tcW w:w="0" w:type="dxa"/>
            <w:vAlign w:val="bottom"/>
          </w:tcPr>
          <w:p>
            <w:pPr>
              <w:spacing w:after="0"/>
              <w:rPr>
                <w:sz w:val="1"/>
                <w:szCs w:val="1"/>
                <w:color w:val="auto"/>
              </w:rPr>
            </w:pPr>
          </w:p>
        </w:tc>
      </w:tr>
      <w:tr>
        <w:trPr>
          <w:trHeight w:val="20"/>
        </w:trPr>
        <w:tc>
          <w:tcPr>
            <w:tcW w:w="1400" w:type="dxa"/>
            <w:vAlign w:val="bottom"/>
            <w:tcBorders>
              <w:top w:val="single" w:sz="8" w:color="CCEEFF"/>
            </w:tcBorders>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We were in compliance with all covenants related to our debt as of June 28, 2025.</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2025 Notes</w:t>
      </w:r>
    </w:p>
    <w:p>
      <w:pPr>
        <w:spacing w:after="0" w:line="115"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During the three months ended June 28, 2025, the Company fully repaid the 2.50% convertible senior notes due on May 15, 2025 (“2025 Notes”), of which there was $84.8 million outstanding, at maturity for $85.8 million, inclusive of $1.0 million of accrued interest.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We recognized the following in Interest expense, net related to the 2025 Notes: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20" w:type="dxa"/>
            <w:vAlign w:val="bottom"/>
            <w:gridSpan w:val="5"/>
          </w:tcPr>
          <w:p>
            <w:pPr>
              <w:ind w:left="500"/>
              <w:spacing w:after="0"/>
              <w:rPr>
                <w:sz w:val="20"/>
                <w:szCs w:val="20"/>
                <w:color w:val="auto"/>
              </w:rPr>
            </w:pPr>
            <w:r>
              <w:rPr>
                <w:rFonts w:ascii="Arial" w:cs="Arial" w:eastAsia="Arial" w:hAnsi="Arial"/>
                <w:sz w:val="18"/>
                <w:szCs w:val="18"/>
                <w:color w:val="auto"/>
              </w:rPr>
              <w:t>Three Months Ended</w:t>
            </w:r>
          </w:p>
        </w:tc>
        <w:tc>
          <w:tcPr>
            <w:tcW w:w="140" w:type="dxa"/>
            <w:vAlign w:val="bottom"/>
          </w:tcPr>
          <w:p>
            <w:pPr>
              <w:spacing w:after="0"/>
              <w:rPr>
                <w:sz w:val="20"/>
                <w:szCs w:val="20"/>
                <w:color w:val="auto"/>
              </w:rPr>
            </w:pPr>
          </w:p>
        </w:tc>
        <w:tc>
          <w:tcPr>
            <w:tcW w:w="2860" w:type="dxa"/>
            <w:vAlign w:val="bottom"/>
            <w:gridSpan w:val="4"/>
          </w:tcPr>
          <w:p>
            <w:pPr>
              <w:jc w:val="right"/>
              <w:ind w:right="690"/>
              <w:spacing w:after="0"/>
              <w:rPr>
                <w:sz w:val="20"/>
                <w:szCs w:val="20"/>
                <w:color w:val="auto"/>
              </w:rPr>
            </w:pPr>
            <w:r>
              <w:rPr>
                <w:rFonts w:ascii="Arial" w:cs="Arial" w:eastAsia="Arial" w:hAnsi="Arial"/>
                <w:sz w:val="18"/>
                <w:szCs w:val="18"/>
                <w:color w:val="auto"/>
              </w:rPr>
              <w:t>Six Months Ended</w:t>
            </w: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June 28, 2025</w:t>
            </w: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June 29, 2024</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June 28, 2025</w:t>
            </w: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June 29, 2024</w:t>
            </w:r>
          </w:p>
        </w:tc>
      </w:tr>
      <w:tr>
        <w:trPr>
          <w:trHeight w:val="223"/>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Contractual interest expense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3,781</w:t>
            </w:r>
          </w:p>
        </w:tc>
      </w:tr>
      <w:tr>
        <w:trPr>
          <w:trHeight w:val="239"/>
        </w:trPr>
        <w:tc>
          <w:tcPr>
            <w:tcW w:w="5120" w:type="dxa"/>
            <w:vAlign w:val="bottom"/>
          </w:tcPr>
          <w:p>
            <w:pPr>
              <w:ind w:left="20"/>
              <w:spacing w:after="0"/>
              <w:rPr>
                <w:sz w:val="20"/>
                <w:szCs w:val="20"/>
                <w:color w:val="auto"/>
              </w:rPr>
            </w:pPr>
            <w:r>
              <w:rPr>
                <w:rFonts w:ascii="Arial" w:cs="Arial" w:eastAsia="Arial" w:hAnsi="Arial"/>
                <w:sz w:val="18"/>
                <w:szCs w:val="18"/>
                <w:color w:val="auto"/>
              </w:rPr>
              <w:t>Amortization of issuance costs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446</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888</w:t>
            </w:r>
          </w:p>
        </w:tc>
      </w:tr>
    </w:tbl>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Revenue from Contracts with Customers</w:t>
      </w:r>
    </w:p>
    <w:p>
      <w:pPr>
        <w:spacing w:after="0" w:line="117"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The majority of our revenues are recognized either at the point of sale or upon delivery and customer acceptance. We obtain consideration from our customers at the time of sale in cash, credit card, or on account with managed care payors having terms generally</w:t>
      </w:r>
    </w:p>
    <w:p>
      <w:pPr>
        <w:spacing w:after="0" w:line="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between 14 and 120 days, with most paying within 90 days. For sales of in-store non-prescription eyewear and related accessories, and paid eye exams, we recognize revenue at the point of sale. Our point in time revenues include 1) retail sales of prescription and non-prescription eyewear, contact lenses and related accessories to retail customers (including those covered by managed care) and 2) eye exams. Revenues recognized over time primarily include product protection plans (i.e. warranties) and eye care club memberships.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disaggregation of revenues depicts our revenue based on the timing of revenue recognition: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20" w:type="dxa"/>
            <w:vAlign w:val="bottom"/>
            <w:gridSpan w:val="5"/>
          </w:tcPr>
          <w:p>
            <w:pPr>
              <w:ind w:left="460"/>
              <w:spacing w:after="0"/>
              <w:rPr>
                <w:sz w:val="20"/>
                <w:szCs w:val="20"/>
                <w:color w:val="auto"/>
              </w:rPr>
            </w:pPr>
            <w:r>
              <w:rPr>
                <w:rFonts w:ascii="Arial" w:cs="Arial" w:eastAsia="Arial" w:hAnsi="Arial"/>
                <w:sz w:val="18"/>
                <w:szCs w:val="18"/>
                <w:color w:val="auto"/>
              </w:rPr>
              <w:t>Three Months Ended</w:t>
            </w:r>
          </w:p>
        </w:tc>
        <w:tc>
          <w:tcPr>
            <w:tcW w:w="140" w:type="dxa"/>
            <w:vAlign w:val="bottom"/>
          </w:tcPr>
          <w:p>
            <w:pPr>
              <w:spacing w:after="0"/>
              <w:rPr>
                <w:sz w:val="20"/>
                <w:szCs w:val="20"/>
                <w:color w:val="auto"/>
              </w:rPr>
            </w:pPr>
          </w:p>
        </w:tc>
        <w:tc>
          <w:tcPr>
            <w:tcW w:w="2880" w:type="dxa"/>
            <w:vAlign w:val="bottom"/>
            <w:gridSpan w:val="4"/>
          </w:tcPr>
          <w:p>
            <w:pPr>
              <w:jc w:val="right"/>
              <w:ind w:right="690"/>
              <w:spacing w:after="0"/>
              <w:rPr>
                <w:sz w:val="20"/>
                <w:szCs w:val="20"/>
                <w:color w:val="auto"/>
              </w:rPr>
            </w:pPr>
            <w:r>
              <w:rPr>
                <w:rFonts w:ascii="Arial" w:cs="Arial" w:eastAsia="Arial" w:hAnsi="Arial"/>
                <w:sz w:val="18"/>
                <w:szCs w:val="18"/>
                <w:color w:val="auto"/>
              </w:rPr>
              <w:t>Six Months Ended</w:t>
            </w: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June 28, 2025</w:t>
            </w:r>
          </w:p>
        </w:tc>
        <w:tc>
          <w:tcPr>
            <w:tcW w:w="13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June 29, 2024</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June 28, 2025</w:t>
            </w: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June 29, 2024</w:t>
            </w:r>
          </w:p>
        </w:tc>
      </w:tr>
      <w:tr>
        <w:trPr>
          <w:trHeight w:val="223"/>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recognized at a point in time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454,709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419,747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933,237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870,562</w:t>
            </w:r>
          </w:p>
        </w:tc>
      </w:tr>
      <w:tr>
        <w:trPr>
          <w:trHeight w:val="229"/>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Revenues recognized over time</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31,714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31,986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63,510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63,965</w:t>
            </w:r>
          </w:p>
        </w:tc>
      </w:tr>
      <w:tr>
        <w:trPr>
          <w:trHeight w:val="248"/>
        </w:trPr>
        <w:tc>
          <w:tcPr>
            <w:tcW w:w="4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net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486,423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451,733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996,747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934,527</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Refer to Note 9. “Segment Reporting” for the Company’s disaggregation of net revenue. As our operating segments are aligned by similar economic factors, trends and customers, the reportable segment view best depicts how the nature, amount and uncertainty of revenue and cash flows are affected by economic factors.</w:t>
      </w:r>
    </w:p>
    <w:p>
      <w:pPr>
        <w:spacing w:after="0" w:line="6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record reductions in revenue for estimated price concessions granted to managed care providers. The Company considers its revenue from managed care customers to include variable consideration and estimates such amounts associated with managed care customer revenues using the history of concessions provided and cash receipts from managed care providers. We reduced our net revenue for variable consideration of $4.5 million and $3.1 million during the three months ended June 28, 2025 and June 29, 2024, respectively, and $7.7 million and $7.0 million during the six months ended June 28, 2025 and June 29, 2024,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Unsatisfied Performance Obligations (Contract Liabilities)</w:t>
      </w:r>
    </w:p>
    <w:p>
      <w:pPr>
        <w:spacing w:after="0" w:line="115" w:lineRule="exact"/>
        <w:rPr>
          <w:sz w:val="20"/>
          <w:szCs w:val="20"/>
          <w:color w:val="auto"/>
        </w:rPr>
      </w:pPr>
    </w:p>
    <w:p>
      <w:pPr>
        <w:ind w:right="240"/>
        <w:spacing w:after="0" w:line="291" w:lineRule="auto"/>
        <w:rPr>
          <w:sz w:val="20"/>
          <w:szCs w:val="20"/>
          <w:color w:val="auto"/>
        </w:rPr>
      </w:pPr>
      <w:r>
        <w:rPr>
          <w:rFonts w:ascii="Arial" w:cs="Arial" w:eastAsia="Arial" w:hAnsi="Arial"/>
          <w:sz w:val="17"/>
          <w:szCs w:val="17"/>
          <w:color w:val="auto"/>
        </w:rPr>
        <w:t>During the three months ended June 28, 2025 and June 29, 2024, we recognized $22.9 million and $23.1 million, respectively, of deferred revenues outstanding at the beginning of each respective period. During the six months ended June 28, 2025 and June 29, 2024, we recognized $40.7 million and $41.2 million, respectively, of deferred revenues outstanding at the beginning of each respective period.</w:t>
      </w:r>
    </w:p>
    <w:p>
      <w:pPr>
        <w:spacing w:after="0" w:line="45" w:lineRule="exact"/>
        <w:rPr>
          <w:sz w:val="20"/>
          <w:szCs w:val="20"/>
          <w:color w:val="auto"/>
        </w:rPr>
      </w:pPr>
    </w:p>
    <w:p>
      <w:pPr>
        <w:jc w:val="both"/>
        <w:ind w:right="320"/>
        <w:spacing w:after="0" w:line="268" w:lineRule="auto"/>
        <w:rPr>
          <w:sz w:val="20"/>
          <w:szCs w:val="20"/>
          <w:color w:val="auto"/>
        </w:rPr>
      </w:pPr>
      <w:r>
        <w:rPr>
          <w:rFonts w:ascii="Arial" w:cs="Arial" w:eastAsia="Arial" w:hAnsi="Arial"/>
          <w:sz w:val="18"/>
          <w:szCs w:val="18"/>
          <w:color w:val="auto"/>
        </w:rPr>
        <w:t>Our deferred revenue balance as of June 28, 2025 and December 28, 2024 was $87.5 million and $ 84.6 million, respectively. We expect future revenue recognition of the June 28, 2025 balance of $42.1 million, $32.9 million, $11.1 million and $1.4 million in fiscal years 2025, 2026, 2027 and 2028, respectively.</w:t>
      </w:r>
    </w:p>
    <w:p>
      <w:pPr>
        <w:spacing w:after="0" w:line="200" w:lineRule="exact"/>
        <w:rPr>
          <w:sz w:val="20"/>
          <w:szCs w:val="20"/>
          <w:color w:val="auto"/>
        </w:rPr>
      </w:pPr>
    </w:p>
    <w:p>
      <w:pPr>
        <w:spacing w:after="0" w:line="214" w:lineRule="exact"/>
        <w:rPr>
          <w:sz w:val="20"/>
          <w:szCs w:val="20"/>
          <w:color w:val="auto"/>
        </w:rPr>
      </w:pPr>
    </w:p>
    <w:p>
      <w:pPr>
        <w:ind w:right="8140" w:firstLine="8"/>
        <w:spacing w:after="0" w:line="375" w:lineRule="auto"/>
        <w:tabs>
          <w:tab w:leader="none" w:pos="2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Legal Proceedings</w:t>
      </w:r>
    </w:p>
    <w:p>
      <w:pPr>
        <w:spacing w:after="0" w:line="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From time to time, the Company is involved in various legal proceedings incidental to its business. Because of the nature and inherent uncertainties of litigation, we cannot predict with certainty the ultimate resolution of these actions and, should the outcome of these actions be unfavorable, the Company’s business, financial position, results of operations or cash flows could be materially and adversely affected.</w:t>
      </w:r>
    </w:p>
    <w:p>
      <w:pPr>
        <w:spacing w:after="0" w:line="6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reviews the status of its legal proceedings and records a provision for a liability when it is considered probable that a liability has been incurred and the amount of the loss can be reasonably estimated. This review is updated periodically as additional information becomes available. If either or both of the criteria are not met, we reassess whether there is at least a reasonable possibility that a loss, or additional losses, may be incurred. If there is a reasonable possibility that a loss may be incurred, we disclose the estimate of the amount of the loss or range of losses, or that an estimate of loss cannot be made. The Company expenses its legal fees as incurred.</w:t>
      </w:r>
    </w:p>
    <w:p>
      <w:pPr>
        <w:spacing w:after="0" w:line="71"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We are currently and may in the future become subject to various claims and pending or threatened lawsuits in the ordinary course of our business.</w:t>
      </w:r>
    </w:p>
    <w:p>
      <w:pPr>
        <w:spacing w:after="0" w:line="31"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On September 23, 2022, we were served with notice of a lawsuit filed by a former employee in California state court alleging, on behalf of a proposed class of employees, several violations of California wage and hour laws. On December 9, 2022, the case was removed to the</w:t>
      </w:r>
    </w:p>
    <w:p>
      <w:pPr>
        <w:ind w:right="80"/>
        <w:spacing w:after="0" w:line="226" w:lineRule="auto"/>
        <w:rPr>
          <w:sz w:val="20"/>
          <w:szCs w:val="20"/>
          <w:color w:val="auto"/>
        </w:rPr>
      </w:pPr>
      <w:r>
        <w:rPr>
          <w:rFonts w:ascii="Arial" w:cs="Arial" w:eastAsia="Arial" w:hAnsi="Arial"/>
          <w:sz w:val="18"/>
          <w:szCs w:val="18"/>
          <w:color w:val="auto"/>
        </w:rPr>
        <w:t>federal District Court for the Northern District of California. On January 18, 2023, we were served with a related representative action filed in California state court pursuant to California’s Private Attorneys General Act. We filed an answer to this action on February 17, 2023. On</w:t>
      </w:r>
    </w:p>
    <w:p>
      <w:pPr>
        <w:spacing w:after="0" w:line="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September 29, 2023, the state court set the PAGA action for trial on October 7, 2024. The parties attended mediation on March 11, 2024, but a resolution of the matter was not reached at that time. Following mediation, the parties agreed to a settlement of all claims alleged by the named plaintiff on behalf of himself and all putative class members and other aggrieved employees. The Company will pay $4.5 million for the gross settlement fund in connection with the settlement. The settlement is subject to approval by the court following a fairness hearing. The parties agreed to move the federal and state court actions to state court for review of the settlement terms agreed to by the parties. The Sacramento County state court entered preliminary approval of the settlement on March 21, 2025, and scheduled a hearing for final approval. On July 25, 2025, the court issued final approval of the settlement and, absent any appeals of the court’s final approval or other legal challenges, the settlement agreement is effective and the Company will issue payment by October 7, 2025.</w:t>
      </w: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June 6, 2023, the Company was served with notice of a former employee’s intention to file a representative action against the Company pursuant to California’s Private Attorneys General Act based on alleged violations of California’s wage and hour laws. On June 22, 2023, the Company was served with a related lawsuit filed by the former employee in California state court alleging, on behalf of a proposed class of employees, violations of California wage and hour laws. On July 24, 2023, the Company filed its answer and a notice of removal of the case to the federal District Court for the Southern District of California. On July 28, 2023, the Company filed a Notice of Related Cases, seeking for both the case currently pending in the Northern District of California and described in the paragraph above and this case to be assigned to the same Judge/Magistrate Judge in an effort to save judicial effort and avoid duplication of labor. On August 15, 2023, the parties filed a stipulation to stay the case in the Southern District of California pending the resolution of the lawsuit pending in the Northern District of California. On August 21, 2023, the court entered an Order to Show Cause why the action should not be either dismissed or transferred to the federal court for the Northern District of California. Following the parties’ submission of their respective responses, the court dismissed the action without prejudice on September 11, 2023. The plaintiff retains his ability to pursue a PAGA action in state court pursuant to the June 6, 2023, notice. On January 22, 2024, the plaintiff filed a demand for arbitration of the claims set forth in the Complaint previously filed in state court in June 2023. The Company filed its response to the arbitration demand, the arbitrator conducted a scheduling conference on April 4, 2025, and the parties commenced the formal discovery process. On April 17, 2025, the Company served a Section 998 offer of compromise in the amount of $60,000, which was accepted by the plaintiff, and the arbitrator closed its file on June 4, 2025.</w:t>
      </w:r>
    </w:p>
    <w:p>
      <w:pPr>
        <w:spacing w:after="0" w:line="7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On January 27, 2023, a purported class action complaint was filed in federal court in the Northern District of Georgia against the Company and two of the Company’s officers (the “Securities Class Action”). The complaint alleges violations of Sections 10(b) and 20(a) of the Securities Exchange Act of 1934, as amended (the “Exchange Act”), and Rule 10b-5 thereunder, for materially false and misleading statements made between May 2021 and May 2022. The complaint seeks unspecified damages as well as equitable relief. On March 28, 2023, the original plaintiff, City of Southfield General Employees Retirement System, and a new plaintiff, International Union of Operating Engineers, Local No. 793, Members Pension Benefit Trust of Ontario, filed a lead plaintiff motion, seeking to be appointed co-lead plaintiffs. On April 3, 2023, the Company along with its named officers filed a motion to dismiss the complaint. On May 19, 2023, the court granted the lead plaintiff motion. On June 30, 2023, the plaintiffs filed an amended complaint, which added a claim under Section 20A of the Exchange Act and extended the alleged class period to February 28, 2023. On August 21, 2023, the Company filed a motion to dismiss the amended complaint. The plaintiffs filed their response in opposition to this motion on October 5, 2023. On March 30, 2024, the court granted the Company’s motion and dismissed the amended complaint with prejudice. On April 29, 2024, the plaintiffs filed a motion for reconsideration of the order granting the motion to dismiss. The Company and named officers filed a response in opposition to the plaintiffs’ motion for reconsideration on May 13, 2024, and the plaintiffs then filed a reply in support of their motion on May 28, 2024. The court entered an order denying the motion for reconsideration on March 24, 2025, and no appeal was filed by the plaintiff.</w:t>
      </w:r>
    </w:p>
    <w:p>
      <w:pPr>
        <w:spacing w:after="0" w:line="6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On May 23, 2024, a stockholder derivative complaint was filed by a stockholder in the Delaware Court of Chancery, purportedly on behalf of the Company (the “Derivative Action”). The Derivative Action is based on the same alleged facts and circumstances as the Securities Class Action and names certain of the Company’s officers, including our Chief Executive Officer and former Chief Operating Officer, and the Company’s directors who were members of the Company’s Board of Directors during the relevant time period as defendants. The Derivative Action alleges claims for breach of fiduciary duty, unjust enrichment, and violations of the Exchange Act and seeks to recover damages on behalf of the Company. On July 24, 2024, the Company along with the named defendants, filed a motion to dismiss the complaint. On</w:t>
      </w:r>
    </w:p>
    <w:p>
      <w:pPr>
        <w:spacing w:after="0" w:line="1" w:lineRule="exact"/>
        <w:rPr>
          <w:sz w:val="20"/>
          <w:szCs w:val="20"/>
          <w:color w:val="auto"/>
        </w:rPr>
      </w:pPr>
    </w:p>
    <w:p>
      <w:pPr>
        <w:ind w:right="240"/>
        <w:spacing w:after="0"/>
        <w:rPr>
          <w:sz w:val="20"/>
          <w:szCs w:val="20"/>
          <w:color w:val="auto"/>
        </w:rPr>
      </w:pPr>
      <w:r>
        <w:rPr>
          <w:rFonts w:ascii="Arial" w:cs="Arial" w:eastAsia="Arial" w:hAnsi="Arial"/>
          <w:sz w:val="17"/>
          <w:szCs w:val="17"/>
          <w:color w:val="auto"/>
        </w:rPr>
        <w:t>September 9, 2024, the plaintiff filed an amended complaint. Defendants filed a motion to dismiss the amended complaint on October 31, 2024. The plaintiff filed an opposition to the motion to dismiss on December 16, 2024, and the defendants filed a reply brief on January 15,</w:t>
      </w:r>
    </w:p>
    <w:p>
      <w:pPr>
        <w:spacing w:after="0" w:line="1"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2025. The court scheduled oral argument on the motion to dismiss for June 20, 2025,which was later cancelled by the court and has not yet been rescheduled. The defendants dispute the allegations made by the plaintiff and intend to vigorously defend the litigation.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Segment Reporting</w:t>
      </w:r>
    </w:p>
    <w:p>
      <w:pPr>
        <w:spacing w:after="0" w:line="99" w:lineRule="exact"/>
        <w:rPr>
          <w:sz w:val="20"/>
          <w:szCs w:val="20"/>
          <w:color w:val="auto"/>
        </w:rPr>
      </w:pPr>
    </w:p>
    <w:p>
      <w:pPr>
        <w:jc w:val="both"/>
        <w:ind w:right="580"/>
        <w:spacing w:after="0" w:line="287" w:lineRule="auto"/>
        <w:rPr>
          <w:sz w:val="20"/>
          <w:szCs w:val="20"/>
          <w:color w:val="auto"/>
        </w:rPr>
      </w:pPr>
      <w:r>
        <w:rPr>
          <w:rFonts w:ascii="Arial" w:cs="Arial" w:eastAsia="Arial" w:hAnsi="Arial"/>
          <w:sz w:val="18"/>
          <w:szCs w:val="18"/>
          <w:color w:val="auto"/>
        </w:rPr>
        <w:t>The Company’s operating segments were determined on the same basis as used by the Chief Operating Decision Maker (“CODM”) to evaluate performance internally. Our CODM is our chief executive officer. Our operations consist primarily of one reportable segment:</w:t>
      </w:r>
    </w:p>
    <w:p>
      <w:pPr>
        <w:spacing w:after="0" w:line="45" w:lineRule="exact"/>
        <w:rPr>
          <w:sz w:val="20"/>
          <w:szCs w:val="20"/>
          <w:color w:val="auto"/>
        </w:rPr>
      </w:pPr>
    </w:p>
    <w:p>
      <w:pPr>
        <w:ind w:left="660" w:hanging="328"/>
        <w:spacing w:after="0" w:line="256"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Owned &amp; Host store brands - Our owned brands consist of our America’s Best and Eyeglass World operating segments. In America’s Best stores, vision care services are provided by optometrists employed either by us or by independent professional corporations. Eyeglass World locations offer eye exams, primarily provided by independent optometrists, and have on-site laboratories. Our Host operating segments consist of Military and Fred Meyer. These brands provide eye exams principally by independent optometrists in nearly all locations. We have aggregated our America’s Best, Eyeglass World, Military and Fred Meyer operating segments into a single reportable segment due to similar economic characteristics and similarity of the nature of products and services, production processes, class of customers, regulatory environment and distribution methods of those brands.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to the single reportable segment identified above, we have two other operating segments: our dedicated e-commerce website and FirstSight. Our dedicated e-commerce website was previously managed by AC Lens and was transitioned to NVI in fiscal year 2024; the continuing operations for all periods presented reflect the results of this website. FirstSight sells single-service health plans in connection with the operations of America’s Best operations in California. The results of these two segments are presented separately from our reportable segment and do not meet the quantitative thresholds to be reportable segments.</w:t>
      </w:r>
    </w:p>
    <w:p>
      <w:pPr>
        <w:spacing w:after="0" w:line="7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 “corporate and other” category represents corporate overhead support expenses as well certain non-cash charges, including asset impairment, stock-based compensation expense, and the impact of certain events, gains, or losses excluded from the assessment of segment performance.</w:t>
      </w:r>
    </w:p>
    <w:p>
      <w:pPr>
        <w:spacing w:after="0" w:line="63"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Other adjustments to reportable segment results represent adjustments necessary for the presentation of consolidated financial results in accordance with U.S. GAAP, specifically effects of the change in unearned and deferred revenue during the period.</w:t>
      </w:r>
    </w:p>
    <w:p>
      <w:pPr>
        <w:spacing w:after="0" w:line="4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Our former Legacy reportable segment and the majority of our former AC Lens operations as well as related effects of unearned and deferred revenue are classified as discontinued operations. Refer to Part II. Item 8. Note 2. “Discontinued Operations” of the 2024 Annual Report on Form 10-K for information related to our discontinued operations.</w:t>
      </w:r>
    </w:p>
    <w:p>
      <w:pPr>
        <w:spacing w:after="0" w:line="6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 xml:space="preserve">The operating segments identified above are the business activities of the Company for which discrete financial information is available and for which operating results are regularly provided to, and reviewed by, our CODM to allocate resources and assess performance. The Company considers each of our brands to be an operating segment and has further concluded that presenting the results of our reportable segment provides meaningful information consistent with the objectives of ASC 280, </w:t>
      </w:r>
      <w:r>
        <w:rPr>
          <w:rFonts w:ascii="Arial" w:cs="Arial" w:eastAsia="Arial" w:hAnsi="Arial"/>
          <w:sz w:val="18"/>
          <w:szCs w:val="18"/>
          <w:i w:val="1"/>
          <w:iCs w:val="1"/>
          <w:color w:val="auto"/>
        </w:rPr>
        <w:t>Segment Reporting</w:t>
      </w:r>
      <w:r>
        <w:rPr>
          <w:rFonts w:ascii="Arial" w:cs="Arial" w:eastAsia="Arial" w:hAnsi="Arial"/>
          <w:sz w:val="18"/>
          <w:szCs w:val="18"/>
          <w:color w:val="auto"/>
        </w:rPr>
        <w:t>.</w:t>
      </w:r>
    </w:p>
    <w:p>
      <w:pPr>
        <w:spacing w:after="0" w:line="6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CODM uses segment EBITDA, calculated as net revenue, less costs applicable to revenue, less SG&amp;A expenses, to evaluate the performance, and make decisions about the allocation of resources to segments predominantly in the annual budget and forecasting process. The CODM considers budget-to-actual variances on a monthly and quarterly basis when making decisions about the allocation of resources to each segment. Consistent with what the CODM reviews, depreciation and amortization and interest expense (income), net are excluded from segment EBITDA.</w:t>
      </w:r>
    </w:p>
    <w:p>
      <w:pPr>
        <w:spacing w:after="0" w:line="71" w:lineRule="exact"/>
        <w:rPr>
          <w:sz w:val="20"/>
          <w:szCs w:val="20"/>
          <w:color w:val="auto"/>
        </w:rPr>
      </w:pPr>
    </w:p>
    <w:p>
      <w:pPr>
        <w:jc w:val="both"/>
        <w:ind w:right="580"/>
        <w:spacing w:after="0" w:line="268" w:lineRule="auto"/>
        <w:rPr>
          <w:sz w:val="20"/>
          <w:szCs w:val="20"/>
          <w:color w:val="auto"/>
        </w:rPr>
      </w:pPr>
      <w:r>
        <w:rPr>
          <w:rFonts w:ascii="Arial" w:cs="Arial" w:eastAsia="Arial" w:hAnsi="Arial"/>
          <w:sz w:val="18"/>
          <w:szCs w:val="18"/>
          <w:color w:val="auto"/>
        </w:rPr>
        <w:t>There are no differences between the measurement of our reportable segment’s assets and consolidated assets. There have been no changes from prior periods in the measurement methods used to determine reportable segment profit or loss, and there have been no asymmetrical allocations to segments.</w:t>
      </w:r>
    </w:p>
    <w:p>
      <w:pPr>
        <w:spacing w:after="0" w:line="6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Reportable segment information is presented on the same basis as our consolidated financial statements, except for net revenue and associated costs applicable to revenue, which are presented on a cash basis, including point of sales for managed care payors and excluding the effects of unearned and deferred revenue, consistent with what the CODM regularly reviews. Asset information is not included in the following summary since the CODM does not regularly review such information for the reportable segment.</w:t>
      </w:r>
    </w:p>
    <w:p>
      <w:pPr>
        <w:spacing w:after="0" w:line="68"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The following table is a summary of certain financial data for our Owned &amp; Host reportable segment, and other categories, and includes a reconciliation to the Company’s consolidated earnings (loss) from continuing operations before income taxes.</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8" w:name="page19"/>
    <w:bookmarkEnd w:id="18"/>
    <w:p>
      <w:pPr>
        <w:spacing w:after="0"/>
        <w:rPr>
          <w:sz w:val="20"/>
          <w:szCs w:val="20"/>
          <w:color w:val="auto"/>
        </w:rPr>
      </w:pPr>
      <w:r>
        <w:rPr>
          <w:rFonts w:ascii="Arial" w:cs="Arial" w:eastAsia="Arial" w:hAnsi="Arial"/>
          <w:sz w:val="17"/>
          <w:szCs w:val="17"/>
          <w:u w:val="single" w:color="auto"/>
          <w:color w:val="0000FF"/>
        </w:rPr>
        <w:t>Table of Contents</w:t>
      </w:r>
    </w:p>
    <w:p>
      <w:pPr>
        <w:sectPr>
          <w:pgSz w:w="11900" w:h="16838" w:orient="portrait"/>
          <w:cols w:equalWidth="0" w:num="1">
            <w:col w:w="10820"/>
          </w:cols>
          <w:pgMar w:left="320" w:top="122" w:right="759" w:bottom="1440" w:gutter="0" w:footer="0" w:header="0"/>
        </w:sectPr>
      </w:pPr>
    </w:p>
    <w:p>
      <w:pPr>
        <w:spacing w:after="0" w:line="200" w:lineRule="exact"/>
        <w:rPr>
          <w:sz w:val="20"/>
          <w:szCs w:val="20"/>
          <w:color w:val="auto"/>
        </w:rPr>
      </w:pPr>
    </w:p>
    <w:p>
      <w:pPr>
        <w:spacing w:after="0" w:line="292" w:lineRule="exact"/>
        <w:rPr>
          <w:sz w:val="20"/>
          <w:szCs w:val="20"/>
          <w:color w:val="auto"/>
        </w:rPr>
      </w:pPr>
    </w:p>
    <w:p>
      <w:pPr>
        <w:jc w:val="center"/>
        <w:ind w:left="5400"/>
        <w:spacing w:after="0"/>
        <w:rPr>
          <w:sz w:val="20"/>
          <w:szCs w:val="20"/>
          <w:color w:val="auto"/>
        </w:rPr>
      </w:pPr>
      <w:r>
        <w:rPr>
          <w:rFonts w:ascii="Arial" w:cs="Arial" w:eastAsia="Arial" w:hAnsi="Arial"/>
          <w:sz w:val="18"/>
          <w:szCs w:val="18"/>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17780</wp:posOffset>
            </wp:positionV>
            <wp:extent cx="17145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6" w:lineRule="exact"/>
        <w:rPr>
          <w:sz w:val="20"/>
          <w:szCs w:val="20"/>
          <w:color w:val="auto"/>
        </w:rPr>
      </w:pPr>
    </w:p>
    <w:p>
      <w:pPr>
        <w:jc w:val="center"/>
        <w:ind w:left="5400"/>
        <w:spacing w:after="0"/>
        <w:tabs>
          <w:tab w:leader="none" w:pos="240" w:val="left"/>
        </w:tabs>
        <w:rPr>
          <w:sz w:val="20"/>
          <w:szCs w:val="20"/>
          <w:color w:val="auto"/>
        </w:rPr>
      </w:pPr>
      <w:r>
        <w:rPr>
          <w:rFonts w:ascii="Arial" w:cs="Arial" w:eastAsia="Arial" w:hAnsi="Arial"/>
          <w:sz w:val="18"/>
          <w:szCs w:val="18"/>
          <w:color w:val="auto"/>
        </w:rPr>
        <w:t>June 28, 2025</w:t>
      </w:r>
      <w:r>
        <w:rPr>
          <w:sz w:val="20"/>
          <w:szCs w:val="20"/>
          <w:color w:val="auto"/>
        </w:rPr>
        <w:tab/>
      </w:r>
      <w:r>
        <w:rPr>
          <w:rFonts w:ascii="Arial" w:cs="Arial" w:eastAsia="Arial" w:hAnsi="Arial"/>
          <w:sz w:val="17"/>
          <w:szCs w:val="17"/>
          <w:color w:val="auto"/>
        </w:rPr>
        <w:t>June 29,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17780</wp:posOffset>
            </wp:positionV>
            <wp:extent cx="17227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16" w:lineRule="exact"/>
        <w:rPr>
          <w:sz w:val="20"/>
          <w:szCs w:val="20"/>
          <w:color w:val="auto"/>
        </w:rPr>
      </w:pPr>
    </w:p>
    <w:p>
      <w:pPr>
        <w:jc w:val="center"/>
        <w:ind w:right="80"/>
        <w:spacing w:after="0"/>
        <w:tabs>
          <w:tab w:leader="none" w:pos="240" w:val="left"/>
        </w:tabs>
        <w:rPr>
          <w:sz w:val="20"/>
          <w:szCs w:val="20"/>
          <w:color w:val="auto"/>
        </w:rPr>
      </w:pPr>
      <w:r>
        <w:rPr>
          <w:rFonts w:ascii="Arial" w:cs="Arial" w:eastAsia="Arial" w:hAnsi="Arial"/>
          <w:sz w:val="18"/>
          <w:szCs w:val="18"/>
          <w:color w:val="auto"/>
        </w:rPr>
        <w:t>June 28, 2025</w:t>
      </w:r>
      <w:r>
        <w:rPr>
          <w:sz w:val="20"/>
          <w:szCs w:val="20"/>
          <w:color w:val="auto"/>
        </w:rPr>
        <w:tab/>
      </w:r>
      <w:r>
        <w:rPr>
          <w:rFonts w:ascii="Arial" w:cs="Arial" w:eastAsia="Arial" w:hAnsi="Arial"/>
          <w:sz w:val="17"/>
          <w:szCs w:val="17"/>
          <w:color w:val="auto"/>
        </w:rPr>
        <w:t>June 29, 2024</w:t>
      </w:r>
    </w:p>
    <w:p>
      <w:pPr>
        <w:spacing w:after="0" w:line="28" w:lineRule="exact"/>
        <w:rPr>
          <w:sz w:val="20"/>
          <w:szCs w:val="20"/>
          <w:color w:val="auto"/>
        </w:rPr>
      </w:pPr>
    </w:p>
    <w:p>
      <w:pPr>
        <w:sectPr>
          <w:pgSz w:w="11900" w:h="16838" w:orient="portrait"/>
          <w:cols w:equalWidth="0" w:num="2">
            <w:col w:w="7940" w:space="260"/>
            <w:col w:w="2620"/>
          </w:cols>
          <w:pgMar w:left="320" w:top="122" w:right="75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53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Owned &amp; Host revenue:</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5320" w:type="dxa"/>
            <w:vAlign w:val="bottom"/>
          </w:tcPr>
          <w:p>
            <w:pPr>
              <w:ind w:left="140"/>
              <w:spacing w:after="0"/>
              <w:rPr>
                <w:sz w:val="20"/>
                <w:szCs w:val="20"/>
                <w:color w:val="auto"/>
              </w:rPr>
            </w:pPr>
            <w:r>
              <w:rPr>
                <w:rFonts w:ascii="Arial" w:cs="Arial" w:eastAsia="Arial" w:hAnsi="Arial"/>
                <w:sz w:val="18"/>
                <w:szCs w:val="18"/>
                <w:color w:val="auto"/>
              </w:rPr>
              <w:t>Net product sales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381,704</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349,311</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796,818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729,907</w:t>
            </w:r>
          </w:p>
        </w:tc>
      </w:tr>
      <w:tr>
        <w:trPr>
          <w:trHeight w:val="229"/>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sales of services and plans</w:t>
            </w: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92,448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90,174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192,315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186,429</w:t>
            </w:r>
          </w:p>
        </w:tc>
      </w:tr>
      <w:tr>
        <w:trPr>
          <w:trHeight w:val="223"/>
        </w:trPr>
        <w:tc>
          <w:tcPr>
            <w:tcW w:w="5320" w:type="dxa"/>
            <w:vAlign w:val="bottom"/>
          </w:tcPr>
          <w:p>
            <w:pPr>
              <w:ind w:left="140"/>
              <w:spacing w:after="0"/>
              <w:rPr>
                <w:sz w:val="20"/>
                <w:szCs w:val="20"/>
                <w:color w:val="auto"/>
              </w:rPr>
            </w:pPr>
            <w:r>
              <w:rPr>
                <w:rFonts w:ascii="Arial" w:cs="Arial" w:eastAsia="Arial" w:hAnsi="Arial"/>
                <w:sz w:val="18"/>
                <w:szCs w:val="18"/>
                <w:color w:val="auto"/>
              </w:rPr>
              <w:t>Total Owned &amp; Host revenue</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474,152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439,485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989,133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916,336</w:t>
            </w:r>
          </w:p>
        </w:tc>
      </w:tr>
      <w:tr>
        <w:trPr>
          <w:trHeight w:val="229"/>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176"/>
        </w:trPr>
        <w:tc>
          <w:tcPr>
            <w:tcW w:w="5320" w:type="dxa"/>
            <w:vAlign w:val="bottom"/>
          </w:tcPr>
          <w:p>
            <w:pPr>
              <w:ind w:left="20"/>
              <w:spacing w:after="0" w:line="176" w:lineRule="exact"/>
              <w:rPr>
                <w:sz w:val="20"/>
                <w:szCs w:val="20"/>
                <w:color w:val="auto"/>
              </w:rPr>
            </w:pPr>
            <w:r>
              <w:rPr>
                <w:rFonts w:ascii="Arial" w:cs="Arial" w:eastAsia="Arial" w:hAnsi="Arial"/>
                <w:sz w:val="18"/>
                <w:szCs w:val="18"/>
                <w:color w:val="auto"/>
              </w:rPr>
              <w:t>Owned  &amp;  Host  costs  applicable  to  revenue  (exclusive  of</w:t>
            </w: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41"/>
        </w:trPr>
        <w:tc>
          <w:tcPr>
            <w:tcW w:w="53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2"/>
        </w:trPr>
        <w:tc>
          <w:tcPr>
            <w:tcW w:w="5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Cost of products</w:t>
            </w:r>
          </w:p>
        </w:tc>
        <w:tc>
          <w:tcPr>
            <w:tcW w:w="3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107,887</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103,688</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221,747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211,031</w:t>
            </w:r>
          </w:p>
        </w:tc>
      </w:tr>
      <w:tr>
        <w:trPr>
          <w:trHeight w:val="229"/>
        </w:trPr>
        <w:tc>
          <w:tcPr>
            <w:tcW w:w="5320" w:type="dxa"/>
            <w:vAlign w:val="bottom"/>
          </w:tcPr>
          <w:p>
            <w:pPr>
              <w:ind w:left="240"/>
              <w:spacing w:after="0"/>
              <w:rPr>
                <w:sz w:val="20"/>
                <w:szCs w:val="20"/>
                <w:color w:val="auto"/>
              </w:rPr>
            </w:pPr>
            <w:r>
              <w:rPr>
                <w:rFonts w:ascii="Arial" w:cs="Arial" w:eastAsia="Arial" w:hAnsi="Arial"/>
                <w:sz w:val="18"/>
                <w:szCs w:val="18"/>
                <w:color w:val="auto"/>
              </w:rPr>
              <w:t>Cost of services and plans</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85,597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82,322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173,868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164,664</w:t>
            </w:r>
          </w:p>
        </w:tc>
      </w:tr>
      <w:tr>
        <w:trPr>
          <w:trHeight w:val="229"/>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Owned &amp; Host SG&amp;A</w:t>
            </w: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180,873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174,078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369,044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353,701</w:t>
            </w:r>
          </w:p>
        </w:tc>
      </w:tr>
      <w:tr>
        <w:trPr>
          <w:trHeight w:val="223"/>
        </w:trPr>
        <w:tc>
          <w:tcPr>
            <w:tcW w:w="5320" w:type="dxa"/>
            <w:vAlign w:val="bottom"/>
          </w:tcPr>
          <w:p>
            <w:pPr>
              <w:ind w:left="20"/>
              <w:spacing w:after="0"/>
              <w:rPr>
                <w:sz w:val="20"/>
                <w:szCs w:val="20"/>
                <w:color w:val="auto"/>
              </w:rPr>
            </w:pPr>
            <w:r>
              <w:rPr>
                <w:rFonts w:ascii="Arial" w:cs="Arial" w:eastAsia="Arial" w:hAnsi="Arial"/>
                <w:sz w:val="18"/>
                <w:szCs w:val="18"/>
                <w:color w:val="auto"/>
              </w:rPr>
              <w:t>Owned &amp; Host segment EBITDA</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99,795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79,397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224,474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186,940</w:t>
            </w:r>
          </w:p>
        </w:tc>
      </w:tr>
      <w:tr>
        <w:trPr>
          <w:trHeight w:val="229"/>
        </w:trPr>
        <w:tc>
          <w:tcPr>
            <w:tcW w:w="53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segments EBITDA </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Corporate and other</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(64,947)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(58,692)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(131,549)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(117,340)</w:t>
            </w:r>
          </w:p>
        </w:tc>
      </w:tr>
      <w:tr>
        <w:trPr>
          <w:trHeight w:val="229"/>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Effects of unearned and deferred revenue</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w:t>
            </w:r>
          </w:p>
        </w:tc>
      </w:tr>
      <w:tr>
        <w:trPr>
          <w:trHeight w:val="229"/>
        </w:trPr>
        <w:tc>
          <w:tcPr>
            <w:tcW w:w="53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(22,536)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(22,692)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(45,499)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(45,913)</w:t>
            </w: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(7,452)</w:t>
            </w:r>
          </w:p>
        </w:tc>
      </w:tr>
      <w:tr>
        <w:trPr>
          <w:trHeight w:val="223"/>
        </w:trPr>
        <w:tc>
          <w:tcPr>
            <w:tcW w:w="5320" w:type="dxa"/>
            <w:vAlign w:val="bottom"/>
          </w:tcPr>
          <w:p>
            <w:pPr>
              <w:ind w:left="20"/>
              <w:spacing w:after="0"/>
              <w:rPr>
                <w:sz w:val="20"/>
                <w:szCs w:val="20"/>
                <w:color w:val="auto"/>
              </w:rPr>
            </w:pPr>
            <w:r>
              <w:rPr>
                <w:rFonts w:ascii="Arial" w:cs="Arial" w:eastAsia="Arial" w:hAnsi="Arial"/>
                <w:sz w:val="18"/>
                <w:szCs w:val="18"/>
                <w:color w:val="auto"/>
              </w:rPr>
              <w:t>Earnings (loss) from continuing operations before income taxes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(2,605)</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33,804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16,581</w:t>
            </w:r>
          </w:p>
        </w:tc>
      </w:tr>
      <w:tr>
        <w:trPr>
          <w:trHeight w:val="21"/>
        </w:trPr>
        <w:tc>
          <w:tcPr>
            <w:tcW w:w="5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(1) Includes results related to our dedicated e-commerce website and FirstSight.</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920" w:type="dxa"/>
            <w:vAlign w:val="bottom"/>
          </w:tcPr>
          <w:p>
            <w:pPr>
              <w:spacing w:after="0"/>
              <w:rPr>
                <w:sz w:val="20"/>
                <w:szCs w:val="20"/>
                <w:color w:val="auto"/>
              </w:rPr>
            </w:pPr>
            <w:r>
              <w:rPr>
                <w:rFonts w:ascii="Arial" w:cs="Arial" w:eastAsia="Arial" w:hAnsi="Arial"/>
                <w:sz w:val="18"/>
                <w:szCs w:val="18"/>
                <w:color w:val="auto"/>
              </w:rPr>
              <w:t>The following table presents a reconciliation of revenue:</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60"/>
        </w:trPr>
        <w:tc>
          <w:tcPr>
            <w:tcW w:w="4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20" w:type="dxa"/>
            <w:vAlign w:val="bottom"/>
            <w:gridSpan w:val="5"/>
          </w:tcPr>
          <w:p>
            <w:pPr>
              <w:ind w:left="180"/>
              <w:spacing w:after="0"/>
              <w:rPr>
                <w:sz w:val="20"/>
                <w:szCs w:val="20"/>
                <w:color w:val="auto"/>
              </w:rPr>
            </w:pPr>
            <w:r>
              <w:rPr>
                <w:rFonts w:ascii="Arial" w:cs="Arial" w:eastAsia="Arial" w:hAnsi="Arial"/>
                <w:sz w:val="18"/>
                <w:szCs w:val="18"/>
                <w:color w:val="auto"/>
              </w:rPr>
              <w:t>Three Months Ended</w:t>
            </w:r>
          </w:p>
        </w:tc>
        <w:tc>
          <w:tcPr>
            <w:tcW w:w="340" w:type="dxa"/>
            <w:vAlign w:val="bottom"/>
          </w:tcPr>
          <w:p>
            <w:pPr>
              <w:spacing w:after="0"/>
              <w:rPr>
                <w:sz w:val="24"/>
                <w:szCs w:val="24"/>
                <w:color w:val="auto"/>
              </w:rPr>
            </w:pPr>
          </w:p>
        </w:tc>
        <w:tc>
          <w:tcPr>
            <w:tcW w:w="2040" w:type="dxa"/>
            <w:vAlign w:val="bottom"/>
            <w:gridSpan w:val="3"/>
          </w:tcPr>
          <w:p>
            <w:pPr>
              <w:jc w:val="center"/>
              <w:ind w:left="370"/>
              <w:spacing w:after="0"/>
              <w:rPr>
                <w:sz w:val="20"/>
                <w:szCs w:val="20"/>
                <w:color w:val="auto"/>
              </w:rPr>
            </w:pPr>
            <w:r>
              <w:rPr>
                <w:rFonts w:ascii="Arial" w:cs="Arial" w:eastAsia="Arial" w:hAnsi="Arial"/>
                <w:sz w:val="18"/>
                <w:szCs w:val="18"/>
                <w:color w:val="auto"/>
                <w:w w:val="99"/>
              </w:rPr>
              <w:t>Six Months Ended</w:t>
            </w:r>
          </w:p>
        </w:tc>
        <w:tc>
          <w:tcPr>
            <w:tcW w:w="800" w:type="dxa"/>
            <w:vAlign w:val="bottom"/>
          </w:tcPr>
          <w:p>
            <w:pPr>
              <w:spacing w:after="0"/>
              <w:rPr>
                <w:sz w:val="24"/>
                <w:szCs w:val="24"/>
                <w:color w:val="auto"/>
              </w:rPr>
            </w:pP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36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color w:val="auto"/>
              </w:rPr>
              <w:t>June 28, 2025</w:t>
            </w:r>
          </w:p>
        </w:tc>
        <w:tc>
          <w:tcPr>
            <w:tcW w:w="12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June 29, 2024</w:t>
            </w:r>
          </w:p>
        </w:tc>
        <w:tc>
          <w:tcPr>
            <w:tcW w:w="80" w:type="dxa"/>
            <w:vAlign w:val="bottom"/>
          </w:tcPr>
          <w:p>
            <w:pPr>
              <w:spacing w:after="0"/>
              <w:rPr>
                <w:sz w:val="19"/>
                <w:szCs w:val="19"/>
                <w:color w:val="auto"/>
              </w:rPr>
            </w:pPr>
          </w:p>
        </w:tc>
        <w:tc>
          <w:tcPr>
            <w:tcW w:w="12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June 28, 2025</w:t>
            </w:r>
          </w:p>
        </w:tc>
        <w:tc>
          <w:tcPr>
            <w:tcW w:w="6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June 29, 2024</w:t>
            </w:r>
          </w:p>
        </w:tc>
      </w:tr>
      <w:tr>
        <w:trPr>
          <w:trHeight w:val="210"/>
        </w:trPr>
        <w:tc>
          <w:tcPr>
            <w:tcW w:w="4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Owned &amp; Host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474,152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439,485</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989,133</w:t>
            </w:r>
          </w:p>
        </w:tc>
        <w:tc>
          <w:tcPr>
            <w:tcW w:w="64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916,336</w:t>
            </w: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segments revenue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16,344</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16,344</w:t>
            </w:r>
          </w:p>
        </w:tc>
      </w:tr>
      <w:tr>
        <w:trPr>
          <w:trHeight w:val="229"/>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Effects of unearned and deferred revenue</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(3,739)</w:t>
            </w:r>
          </w:p>
        </w:tc>
        <w:tc>
          <w:tcPr>
            <w:tcW w:w="6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1,847</w:t>
            </w:r>
          </w:p>
        </w:tc>
      </w:tr>
      <w:tr>
        <w:trPr>
          <w:trHeight w:val="248"/>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consolidated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486,423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451,733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996,747</w:t>
            </w:r>
          </w:p>
        </w:tc>
        <w:tc>
          <w:tcPr>
            <w:tcW w:w="6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934,527</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22" w:right="75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(Loss) Per Share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numerators and denominators of the basic and diluted earnings / (loss) per share (“EPS”) calculations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80" w:type="dxa"/>
            <w:vAlign w:val="bottom"/>
            <w:gridSpan w:val="5"/>
          </w:tcPr>
          <w:p>
            <w:pPr>
              <w:ind w:left="540"/>
              <w:spacing w:after="0"/>
              <w:rPr>
                <w:sz w:val="20"/>
                <w:szCs w:val="20"/>
                <w:color w:val="auto"/>
              </w:rPr>
            </w:pPr>
            <w:r>
              <w:rPr>
                <w:rFonts w:ascii="Arial" w:cs="Arial" w:eastAsia="Arial" w:hAnsi="Arial"/>
                <w:sz w:val="18"/>
                <w:szCs w:val="18"/>
                <w:color w:val="auto"/>
              </w:rPr>
              <w:t>Three Months Ended</w:t>
            </w:r>
          </w:p>
        </w:tc>
        <w:tc>
          <w:tcPr>
            <w:tcW w:w="140" w:type="dxa"/>
            <w:vAlign w:val="bottom"/>
          </w:tcPr>
          <w:p>
            <w:pPr>
              <w:spacing w:after="0"/>
              <w:rPr>
                <w:sz w:val="20"/>
                <w:szCs w:val="20"/>
                <w:color w:val="auto"/>
              </w:rPr>
            </w:pPr>
          </w:p>
        </w:tc>
        <w:tc>
          <w:tcPr>
            <w:tcW w:w="3360" w:type="dxa"/>
            <w:vAlign w:val="bottom"/>
            <w:gridSpan w:val="5"/>
          </w:tcPr>
          <w:p>
            <w:pPr>
              <w:ind w:left="64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Arial" w:cs="Arial" w:eastAsia="Arial" w:hAnsi="Arial"/>
                <w:sz w:val="18"/>
                <w:szCs w:val="18"/>
                <w:i w:val="1"/>
                <w:iCs w:val="1"/>
                <w:color w:val="auto"/>
              </w:rPr>
              <w:t>In thousands, except per share amounts</w:t>
            </w: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June 28, 2025</w:t>
            </w: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June 29, 2024</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June 28, 2025</w:t>
            </w: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June 29, 2024</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140"/>
              <w:spacing w:after="0"/>
              <w:rPr>
                <w:sz w:val="20"/>
                <w:szCs w:val="20"/>
                <w:color w:val="auto"/>
              </w:rPr>
            </w:pPr>
            <w:r>
              <w:rPr>
                <w:rFonts w:ascii="Arial" w:cs="Arial" w:eastAsia="Arial" w:hAnsi="Arial"/>
                <w:sz w:val="18"/>
                <w:szCs w:val="18"/>
                <w:color w:val="auto"/>
              </w:rPr>
              <w:t>Income (loss) from continuing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8,725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22,911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10,712</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from discontinued operations, net of tax</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8,725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22,911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8,560</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shares outstanding, Basic</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78,480</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140"/>
              <w:spacing w:after="0"/>
              <w:rPr>
                <w:sz w:val="20"/>
                <w:szCs w:val="20"/>
                <w:color w:val="auto"/>
              </w:rPr>
            </w:pPr>
            <w:r>
              <w:rPr>
                <w:rFonts w:ascii="Arial" w:cs="Arial" w:eastAsia="Arial" w:hAnsi="Arial"/>
                <w:sz w:val="18"/>
                <w:szCs w:val="18"/>
                <w:color w:val="auto"/>
              </w:rPr>
              <w:t>Effect of dilutive securities:</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options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220"/>
              <w:spacing w:after="0"/>
              <w:rPr>
                <w:sz w:val="20"/>
                <w:szCs w:val="20"/>
                <w:color w:val="auto"/>
              </w:rPr>
            </w:pPr>
            <w:r>
              <w:rPr>
                <w:rFonts w:ascii="Arial" w:cs="Arial" w:eastAsia="Arial" w:hAnsi="Arial"/>
                <w:sz w:val="18"/>
                <w:szCs w:val="18"/>
                <w:color w:val="auto"/>
              </w:rPr>
              <w:t>Restricted stock units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253</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Weighted average shares outstanding, Diluted</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78,774</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(loss) per share:</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140"/>
              <w:spacing w:after="0"/>
              <w:rPr>
                <w:sz w:val="20"/>
                <w:szCs w:val="20"/>
                <w:color w:val="auto"/>
              </w:rPr>
            </w:pPr>
            <w:r>
              <w:rPr>
                <w:rFonts w:ascii="Arial" w:cs="Arial" w:eastAsia="Arial" w:hAnsi="Arial"/>
                <w:sz w:val="18"/>
                <w:szCs w:val="18"/>
                <w:color w:val="auto"/>
              </w:rPr>
              <w:t>Continuing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0.14</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Discontinued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b w:val="1"/>
                <w:bCs w:val="1"/>
                <w:color w:val="auto"/>
              </w:rPr>
              <w:t>Diluted earnings (loss) per share:</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Continuing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140"/>
              <w:spacing w:after="0"/>
              <w:rPr>
                <w:sz w:val="20"/>
                <w:szCs w:val="20"/>
                <w:color w:val="auto"/>
              </w:rPr>
            </w:pPr>
            <w:r>
              <w:rPr>
                <w:rFonts w:ascii="Arial" w:cs="Arial" w:eastAsia="Arial" w:hAnsi="Arial"/>
                <w:sz w:val="18"/>
                <w:szCs w:val="18"/>
                <w:color w:val="auto"/>
              </w:rPr>
              <w:t>Discontinued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(0.03)</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rPr>
              <w:t>Anti-dilutive securities excluded from diluted weighted</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6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11,385</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1,112</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11,074</w:t>
            </w: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620" w:type="dxa"/>
            <w:vAlign w:val="bottom"/>
          </w:tcPr>
          <w:p>
            <w:pPr>
              <w:ind w:left="20"/>
              <w:spacing w:after="0"/>
              <w:rPr>
                <w:sz w:val="20"/>
                <w:szCs w:val="20"/>
                <w:color w:val="auto"/>
              </w:rPr>
            </w:pPr>
            <w:r>
              <w:rPr>
                <w:rFonts w:ascii="Arial" w:cs="Arial" w:eastAsia="Arial" w:hAnsi="Arial"/>
                <w:sz w:val="18"/>
                <w:szCs w:val="18"/>
                <w:color w:val="auto"/>
              </w:rPr>
              <w:t>average common shares</w:t>
            </w:r>
          </w:p>
        </w:tc>
        <w:tc>
          <w:tcPr>
            <w:tcW w:w="140" w:type="dxa"/>
            <w:vAlign w:val="bottom"/>
          </w:tcPr>
          <w:p>
            <w:pPr>
              <w:spacing w:after="0"/>
              <w:rPr>
                <w:sz w:val="21"/>
                <w:szCs w:val="21"/>
                <w:color w:val="auto"/>
              </w:rPr>
            </w:pPr>
          </w:p>
        </w:tc>
        <w:tc>
          <w:tcPr>
            <w:tcW w:w="13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vMerge w:val="continue"/>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56"/>
        </w:trPr>
        <w:tc>
          <w:tcPr>
            <w:tcW w:w="4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ind w:right="27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6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6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The following contains management’s discussion and analysis of our financial condition and results of operations and should be read together with the unaudited condensed consolidated financial statements and the related notes thereto included elsewhere in this Form 10-Q (this “Form 10-Q”) and the audited consolidated financial statements and “Management’s Discussion and Analysis of Financial Condition and Results of Operations” included in our Annual Report on Form 10-K filed with the Securities and Exchange Commission (the “SEC”) on February 26, 2025 (the “2024 Annual Report on Form 10-K.”) This discussion contains forward-looking statements that reflect our plans, estimates and beliefs as of the date hereof and we undertake no obligation to publicly update or revise any forward-looking statement as a result of new information, future events or otherwise, except as required by law. These forward-looking statements involve numerous risks and uncertainties, including, but not limited to, those described in the “Risk Factors” section of the 2024 Annual Report on Form 10-K, as such risk factors may be updated from time to time in our periodic filings with the SEC. Actual results may differ materially from those contained in any forward-looking statements. You should carefully read “Special Note Regarding Forward-Looking Statements” in this Form 10-Q.</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are one of the largest optical retailers in the U.S. and a leader in the value segment of the U.S. optical retail industry. We believe that vision is central to quality of life and that people deserve to see their best to live their best, regardless of their budget. Our mission is to make quality eye care and eyewear affordable and accessible to all Americans. We achieve this by providing eye exams, eyeglasses and contact lenses to value-seeking consumers. We deliver exceptional value and convenience to our customers, with attractive price points that provide value for a range of consumers. We reach our customers through a diverse portfolio of 1,240 retail stores across four brands and associated omni-channel consumer websites as of June 28, 2025.</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 and Segment Information</w:t>
      </w:r>
    </w:p>
    <w:p>
      <w:pPr>
        <w:spacing w:after="0" w:line="117"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As of June 28, 2025, our operations consisted of one reportable segment. During fiscal year 2024, our Walmart store operations, including our former Legacy reportable segment and components of our AC Lens operating segment met the requirements to be classified as discontinued operations. Refer to Part II. Item 8. Note 2. “Discontinued Operations” of the 2024 Annual Report on Form 10-K for more information on discontinued operations.</w:t>
      </w:r>
    </w:p>
    <w:p>
      <w:pPr>
        <w:spacing w:after="0" w:line="2" w:lineRule="exact"/>
        <w:rPr>
          <w:sz w:val="20"/>
          <w:szCs w:val="20"/>
          <w:color w:val="auto"/>
        </w:rPr>
      </w:pPr>
    </w:p>
    <w:p>
      <w:pPr>
        <w:ind w:left="660" w:right="240" w:hanging="328"/>
        <w:spacing w:after="0" w:line="275" w:lineRule="auto"/>
        <w:tabs>
          <w:tab w:leader="none" w:pos="655" w:val="left"/>
        </w:tabs>
        <w:numPr>
          <w:ilvl w:val="0"/>
          <w:numId w:val="10"/>
        </w:numPr>
        <w:rPr>
          <w:rFonts w:ascii="Arial" w:cs="Arial" w:eastAsia="Arial" w:hAnsi="Arial"/>
          <w:sz w:val="17"/>
          <w:szCs w:val="17"/>
          <w:color w:val="auto"/>
        </w:rPr>
      </w:pPr>
      <w:r>
        <w:rPr>
          <w:rFonts w:ascii="Arial" w:cs="Arial" w:eastAsia="Arial" w:hAnsi="Arial"/>
          <w:sz w:val="17"/>
          <w:szCs w:val="17"/>
          <w:color w:val="auto"/>
        </w:rPr>
        <w:t>Owned &amp; Host - As of June 28, 2025, our owned brands consisted of 1,045 America’s Best Contacts and Eyeglasses (“America’s Best”) retail stores and 122 Eyeglass World retail stores. Our Host brands consisted of 53 Vista Optical locations on select military bases and 20 Vista Optical locations within select Fred Meyer stores as of June 28, 2025. All brands utilize our centralized laboratories. This segment also includes sales from our America’s Best, Eyeglass World, and Military omni-channel websites.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results also include the following:</w:t>
      </w:r>
    </w:p>
    <w:p>
      <w:pPr>
        <w:spacing w:after="0" w:line="117" w:lineRule="exact"/>
        <w:rPr>
          <w:sz w:val="20"/>
          <w:szCs w:val="20"/>
          <w:color w:val="auto"/>
        </w:rPr>
      </w:pPr>
    </w:p>
    <w:p>
      <w:pPr>
        <w:ind w:left="660" w:hanging="328"/>
        <w:spacing w:after="0" w:line="259"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Results of other operating segments — Our dedicated e-commerce website, which was previously managed by AC Lens and was transitioned to NVI. Our e-commerce website sells contact lenses and optical accessory products to retail customers, and recognizes revenue when products have been delivered to the customer. Managed care business conducted by FirstSight, our wholly-owned subsidiary that is licensed as a single-service health plan under California law, which issues individual vision plans in connection with our America’s Best operations in California.</w:t>
      </w:r>
    </w:p>
    <w:p>
      <w:pPr>
        <w:spacing w:after="0" w:line="71" w:lineRule="exact"/>
        <w:rPr>
          <w:rFonts w:ascii="Arial" w:cs="Arial" w:eastAsia="Arial" w:hAnsi="Arial"/>
          <w:sz w:val="18"/>
          <w:szCs w:val="18"/>
          <w:color w:val="auto"/>
        </w:rPr>
      </w:pPr>
    </w:p>
    <w:p>
      <w:pPr>
        <w:ind w:left="660" w:right="180" w:hanging="328"/>
        <w:spacing w:after="0" w:line="278" w:lineRule="auto"/>
        <w:tabs>
          <w:tab w:leader="none" w:pos="6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Corporate and other — Our corporate and other category represents unallocated corporate overhead expenses, which are a component of selling, general and administrative expenses and are comprised of various home office expenses such as payroll, occupancy costs and consulting and professional fees. Corporate overhead expenses also include field services for our four retail brands. Other expenses included in this category include certain non-cash charges, including asset impairment, stock-based compensation expense, and the impact of certain events, gains, or losses excluded from the assessment of segment performance.</w:t>
      </w:r>
    </w:p>
    <w:p>
      <w:pPr>
        <w:spacing w:after="0" w:line="55" w:lineRule="exact"/>
        <w:rPr>
          <w:rFonts w:ascii="Arial" w:cs="Arial" w:eastAsia="Arial" w:hAnsi="Arial"/>
          <w:sz w:val="17"/>
          <w:szCs w:val="17"/>
          <w:color w:val="auto"/>
        </w:rPr>
      </w:pPr>
    </w:p>
    <w:p>
      <w:pPr>
        <w:ind w:left="660" w:right="60" w:hanging="328"/>
        <w:spacing w:after="0" w:line="255"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Effects of unearned and deferred revenue — Reportable segment information is presented on the same basis as our consolidated financial statements, except reportable segment sales which are presented on a cash basis, including point of sales for managed care payors and excluding the effects of unearned and deferred revenue, consistent with what our chief operating decision maker (“CODM”) regularly reviews. We present the effects of unearned and deferred revenues separately from our reportable segment information. See Note 9. “Segment Reporting” in our condensed consolidated financial statements. Deferred revenue represents the timing difference of when we collect the cash from the customer and when services related to product protection plans and eye care club memberships are performed. Increases or decreases in deferred revenue during the reporting period represent cash collections in excess of, or below the recognition of, previous deferrals. Unearned revenue</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left="660" w:right="40"/>
        <w:spacing w:after="0" w:line="287" w:lineRule="auto"/>
        <w:rPr>
          <w:sz w:val="20"/>
          <w:szCs w:val="20"/>
          <w:color w:val="auto"/>
        </w:rPr>
      </w:pPr>
      <w:r>
        <w:rPr>
          <w:rFonts w:ascii="Arial" w:cs="Arial" w:eastAsia="Arial" w:hAnsi="Arial"/>
          <w:sz w:val="18"/>
          <w:szCs w:val="18"/>
          <w:color w:val="auto"/>
        </w:rPr>
        <w:t>represents the timing difference of when we collect cash from the customer and delivery/customer acceptance, and includes sales of prescription eyewear during approximately the last seven to ten days of the reporting period.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Other Factors Affecting Our Business</w:t>
      </w:r>
    </w:p>
    <w:p>
      <w:pPr>
        <w:spacing w:after="0" w:line="11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continue to focus on expanding our target demographic, implementing new pricing architecture, enhancing the customer and patient experience, and optimizing cost structure, which are initiatives designed to strengthen our core business, improve our results of operations, and drive long-term shareholder value.</w:t>
      </w:r>
    </w:p>
    <w:p>
      <w:pPr>
        <w:spacing w:after="0" w:line="6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overall economic environment continues to be uncertain and macroeconomic factors that may affect customer spending patterns, and thereby our results of operations, include trade restrictions such as sanctions, tariffs, reciprocal and retaliatory tariffs, and other tariff-related measures; inflation; employment rates; business conditions; changes in the housing market; the availability of credit; interest rates; tax rates and policies; fuel and energy costs; and overall consumer confidence in future economic conditions, as well as global political, socio-economic, cultural, and geopolitical uncertainty.</w:t>
      </w:r>
    </w:p>
    <w:p>
      <w:pPr>
        <w:spacing w:after="0" w:line="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United States has recently announced changes to U.S. trade policy, including increasing tariffs on imports, in some cases significantly, and potentially negotiating, or terminating existing, trade agreements. For example, on April 2, 2025, the United States announced a new universal baseline tariff of 10%, plus an additional country-specific tariff for select trading partners, on all U.S. imports. These actions, and retaliatory tariffs imposed by other countries on U.S. exports, have led to significant volatility and uncertainty in global markets, which is continuing. Additionally, the U.S. government has announced and rescinded multiple tariffs on several foreign jurisdictions, which has increased uncertainty regarding the ultimate effect of the tariffs on economic conditions. Less than 10% of our costs applicable to revenue are directly subject to tariffs from China. In Mexico, where our exposure relates to our outsourcing relationship with our third-party laboratory, we have mitigation plans in place and we estimate that less than one percent of our costs applicable to revenue are subject to tariffs in Mexico. We are continuing to evaluate these developments, including resulting impacts on our supply chain, commodity costs, and consumer spending, and our ability to offset a portion of these costs to mitigate the impact on our business, consolidated results of operations, and financial condition.</w:t>
      </w:r>
    </w:p>
    <w:p>
      <w:pPr>
        <w:spacing w:after="0" w:line="7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Inflation has resulted in increased costs and greater profitability pressure. We have experienced wage rate pressure and increases in raw materials prices, which we expect to continue. Inflationary pressures, including elevated wages, consumer confidence and preferences and increased raw material costs could impact our profitability and lead us to attempt to offset such increases through various pricing actions. We have historically employed a simple low price/high value strategy and seek to balance our pricing and growth in a way that consistently delivers savings to our customers. From time to time, and increasingly in connection with our new transformation initiatives, we may take pricing actions and introduce limited-time promotions or new offers designed to increase traffic, awareness and sales. Several factors may impact the level of success of such actions and promotions, including consumer sentiment, macroeconomic conditions and marketing effectiveness, and as a result, if they do not meet our expectations, they could negatively impact our margins and profitability.</w:t>
      </w:r>
    </w:p>
    <w:p>
      <w:pPr>
        <w:spacing w:after="0" w:line="7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Additionally, our ability to continue to attract and retain qualified vision care professionals impacts exam capacity and our operations. We believe factors such as an increasingly challenging recruiting market (in particular for new graduates), preferences for adjusted work schedules, and the demand for optometrists exceeding supply in certain areas have caused constraints in vision care professional availability, and therefore exam capacity, which are continuing. As a result, recruiting and retaining optometrists has become more challenging and the costs to employ or retain optometrists have increased and may increase further, potentially materially. Further, a limited number of professional corporations or similar entities provide for the vision care services at a number of our retail locations, exposing us to some concentration risk. A material change in our relationship with vision care professionals, whether resulting from constraints in exam capacity, a dispute with an eye care practitioner or a group of eye care practitioners controlling multiple practice locations, a government or regulatory authority challenging our operating structure or our relationship with vision care professionals, or other changes to applicable laws or regulations (or interpretations of the same), or the loss of these relationships, could impair our ability to provide services to our customers, cause our customers to go elsewhere for their optical needs, or result in legal sanctions against us. From time to time, we may elect to make strategic changes to our doctor model or otherwise make changes to our relationships with one or more of these practices, which could also lead to any of these risks.</w:t>
      </w:r>
    </w:p>
    <w:p>
      <w:pPr>
        <w:spacing w:after="0" w:line="79" w:lineRule="exact"/>
        <w:rPr>
          <w:sz w:val="20"/>
          <w:szCs w:val="20"/>
          <w:color w:val="auto"/>
        </w:rPr>
      </w:pPr>
    </w:p>
    <w:p>
      <w:pPr>
        <w:jc w:val="both"/>
        <w:ind w:right="500"/>
        <w:spacing w:after="0" w:line="259" w:lineRule="auto"/>
        <w:rPr>
          <w:sz w:val="20"/>
          <w:szCs w:val="20"/>
          <w:color w:val="auto"/>
        </w:rPr>
      </w:pPr>
      <w:r>
        <w:rPr>
          <w:rFonts w:ascii="Arial" w:cs="Arial" w:eastAsia="Arial" w:hAnsi="Arial"/>
          <w:sz w:val="18"/>
          <w:szCs w:val="18"/>
          <w:color w:val="auto"/>
        </w:rPr>
        <w:t>Historically, our business has experienced seasonality in the first half of the year that we believe is primarily attributable to the timing of customers’ income tax refunds and health insurance start/reset periods. We believe that many customers in our target market of value-seeking consumers may rely on tax refunds to pay for eyewear and eye care. A delay in the issuance of tax refunds or changes in the amount of tax refunds can, accordingly, have a negative impact on our quarterly financial results in the first half of the year. Consumer behavior with respect to the utilization of tax refund proceeds is also subject to change.</w:t>
      </w:r>
    </w:p>
    <w:p>
      <w:pPr>
        <w:spacing w:after="0" w:line="71"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Refer to Part I, Item 1A. “Risk Factors” in the Company’s 2024 Annual Report on Form 10-K for a more complete discussion of the risk factors we face.</w:t>
      </w: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11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We consider a variety of financial and operating measures in assessing the performance of our business. The key measures we use to determine how our consolidated business and operating segments are performing are net revenue, costs applicable to revenue, and selling, general, and administrative expenses. In addition, we also review store growth, Adjusted Comparable Store Sales Growth, Adjusted Operating Income, Adjusted Operating Margin, Adjusted EBITDA, Adjusted EBITDA Margin and Adjusted Diluted EPS.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w:t>
      </w:r>
    </w:p>
    <w:p>
      <w:pPr>
        <w:spacing w:after="0" w:line="11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report as net revenue amounts generated in transactions with retail customers who are the end users of our products, services and plans. Comparable store sales growth and new store openings are key drivers of net revenue and are discussed below. Also, the timing of unearned revenue can affect revenue recognized in a particular period.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Applicable to Revenue</w:t>
      </w:r>
    </w:p>
    <w:p>
      <w:pPr>
        <w:spacing w:after="0" w:line="11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Customer tastes and preferences, product mix, changes in technology, significant increases or slowdowns in production, and other factors impact costs applicable to revenue. The components of our costs applicable to revenue may not be comparable to other retailers.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5"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SG&amp;A expenses generally fluctuate consistently with revenue due to the variable store, field office and corporate support costs; however, some fixed costs may decrease as a percentage of net revenue as our net revenues grow over time.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Store Openings</w:t>
      </w:r>
    </w:p>
    <w:p>
      <w:pPr>
        <w:spacing w:after="0" w:line="11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total number of new stores per year and the timing of store openings has had an impact, and we expect will continue to have an impact, on our results. We plan to open approximately 32 new stores in fiscal year 2025 to allow us to invest capital in existing operations to enhance the overall store experience. We are continuing to monitor and determine our plans for future new store openings at a level appropriate for incremental free cash flow generation.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Comparable Store Sales Growth</w:t>
      </w:r>
    </w:p>
    <w:p>
      <w:pPr>
        <w:spacing w:after="0" w:line="11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measure Adjusted Comparable Store Sales Growth as the increase or decrease in sales recorded by the comparable store base in any reporting period, compared to sales recorded by the comparable store base in the prior reporting period, which we calculate as follows: (i) sales are recorded on a cash basis (i.e., when the order is placed and paid for or submitted to a managed care payor, compared to when the order is delivered), utilizing cash basis point of sale information from stores; (ii) stores are added to the calculation during the 13th full fiscal month following the store’s opening; (iii) closed stores are removed from the calculation for time periods that are not comparable; (iv) sales from partial months of operation are excluded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our adjusted comparable store sales may not be comparable to similar data made available by other retailers.</w:t>
      </w:r>
    </w:p>
    <w:p>
      <w:pPr>
        <w:spacing w:after="0" w:line="74"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Adjusted Comparable Store Sales Growth is a non-GAAP financial measure, which we believe is useful because it provides timely and accurate information relating to the two core metrics of retail sales: number of transactions and value of transactions. We use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Stores Sales Growth to be meaningful.</w:t>
      </w:r>
    </w:p>
    <w:p>
      <w:pPr>
        <w:spacing w:after="0" w:line="76" w:lineRule="exact"/>
        <w:rPr>
          <w:sz w:val="20"/>
          <w:szCs w:val="20"/>
          <w:color w:val="auto"/>
        </w:rPr>
      </w:pPr>
    </w:p>
    <w:p>
      <w:pPr>
        <w:ind w:right="340"/>
        <w:spacing w:after="0" w:line="285" w:lineRule="auto"/>
        <w:rPr>
          <w:sz w:val="20"/>
          <w:szCs w:val="20"/>
          <w:color w:val="auto"/>
        </w:rPr>
      </w:pPr>
      <w:r>
        <w:rPr>
          <w:rFonts w:ascii="Arial" w:cs="Arial" w:eastAsia="Arial" w:hAnsi="Arial"/>
          <w:sz w:val="18"/>
          <w:szCs w:val="18"/>
          <w:i w:val="1"/>
          <w:iCs w:val="1"/>
          <w:color w:val="auto"/>
        </w:rPr>
        <w:t>Adjusted Operating Income, Adjusted Operating Margin, EBITDA, Adjusted EBITDA, Adjusted EBITDA Margin and Adjusted Diluted EPS (collectively, the “Company Non-GAAP Measures”)</w:t>
      </w:r>
    </w:p>
    <w:p>
      <w:pPr>
        <w:spacing w:after="0" w:line="4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Non-GAAP Measures are key measures used by management to assess our financial performance. The Company Non-GAAP Measures are also frequently used by analysts, investors and other interested parties. We use the Company Non-GAAP Measures to supplement U.S. GAAP measures of performance to evaluate the effectiveness of our business strategies, to make budgeting decisions, to establish discretionary annual incentive compensation and to compare our performance against that of other peer companies using similar measures. See “Non-GAAP Financial Measures” for definitions of the Company Non-GAAP Measures and for additional information.</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following table summarizes key components of our results of operations for the periods indicated, both in dollars and as a percentage of our net revenue.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3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 except earnings per share, percentage and store</w:t>
            </w:r>
          </w:p>
        </w:tc>
        <w:tc>
          <w:tcPr>
            <w:tcW w:w="1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color w:val="auto"/>
              </w:rPr>
              <w:t>Three Months Ended</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155"/>
        </w:trPr>
        <w:tc>
          <w:tcPr>
            <w:tcW w:w="53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vMerge w:val="restart"/>
          </w:tcPr>
          <w:p>
            <w:pPr>
              <w:ind w:left="20"/>
              <w:spacing w:after="0"/>
              <w:rPr>
                <w:sz w:val="20"/>
                <w:szCs w:val="20"/>
                <w:color w:val="auto"/>
              </w:rPr>
            </w:pPr>
            <w:r>
              <w:rPr>
                <w:rFonts w:ascii="Arial" w:cs="Arial" w:eastAsia="Arial" w:hAnsi="Arial"/>
                <w:sz w:val="18"/>
                <w:szCs w:val="18"/>
                <w:color w:val="auto"/>
              </w:rPr>
              <w:t>June 28, 2025</w:t>
            </w:r>
          </w:p>
        </w:tc>
        <w:tc>
          <w:tcPr>
            <w:tcW w:w="120" w:type="dxa"/>
            <w:vAlign w:val="bottom"/>
          </w:tcPr>
          <w:p>
            <w:pPr>
              <w:spacing w:after="0"/>
              <w:rPr>
                <w:sz w:val="13"/>
                <w:szCs w:val="13"/>
                <w:color w:val="auto"/>
              </w:rPr>
            </w:pPr>
          </w:p>
        </w:tc>
        <w:tc>
          <w:tcPr>
            <w:tcW w:w="1360" w:type="dxa"/>
            <w:vAlign w:val="bottom"/>
            <w:gridSpan w:val="2"/>
            <w:vMerge w:val="restart"/>
          </w:tcPr>
          <w:p>
            <w:pPr>
              <w:spacing w:after="0"/>
              <w:rPr>
                <w:sz w:val="20"/>
                <w:szCs w:val="20"/>
                <w:color w:val="auto"/>
              </w:rPr>
            </w:pPr>
            <w:r>
              <w:rPr>
                <w:rFonts w:ascii="Arial" w:cs="Arial" w:eastAsia="Arial" w:hAnsi="Arial"/>
                <w:sz w:val="18"/>
                <w:szCs w:val="18"/>
                <w:color w:val="auto"/>
              </w:rPr>
              <w:t>June 29, 2024</w:t>
            </w:r>
          </w:p>
        </w:tc>
        <w:tc>
          <w:tcPr>
            <w:tcW w:w="140" w:type="dxa"/>
            <w:vAlign w:val="bottom"/>
          </w:tcPr>
          <w:p>
            <w:pPr>
              <w:spacing w:after="0"/>
              <w:rPr>
                <w:sz w:val="13"/>
                <w:szCs w:val="13"/>
                <w:color w:val="auto"/>
              </w:rPr>
            </w:pPr>
          </w:p>
        </w:tc>
        <w:tc>
          <w:tcPr>
            <w:tcW w:w="1400" w:type="dxa"/>
            <w:vAlign w:val="bottom"/>
            <w:gridSpan w:val="2"/>
            <w:vMerge w:val="restart"/>
          </w:tcPr>
          <w:p>
            <w:pPr>
              <w:spacing w:after="0"/>
              <w:rPr>
                <w:sz w:val="20"/>
                <w:szCs w:val="20"/>
                <w:color w:val="auto"/>
              </w:rPr>
            </w:pPr>
            <w:r>
              <w:rPr>
                <w:rFonts w:ascii="Arial" w:cs="Arial" w:eastAsia="Arial" w:hAnsi="Arial"/>
                <w:sz w:val="18"/>
                <w:szCs w:val="18"/>
                <w:color w:val="auto"/>
              </w:rPr>
              <w:t>June 28, 2025</w:t>
            </w:r>
          </w:p>
        </w:tc>
        <w:tc>
          <w:tcPr>
            <w:tcW w:w="120" w:type="dxa"/>
            <w:vAlign w:val="bottom"/>
          </w:tcPr>
          <w:p>
            <w:pPr>
              <w:spacing w:after="0"/>
              <w:rPr>
                <w:sz w:val="13"/>
                <w:szCs w:val="13"/>
                <w:color w:val="auto"/>
              </w:rPr>
            </w:pPr>
          </w:p>
        </w:tc>
        <w:tc>
          <w:tcPr>
            <w:tcW w:w="1260" w:type="dxa"/>
            <w:vAlign w:val="bottom"/>
            <w:vMerge w:val="restart"/>
          </w:tcPr>
          <w:p>
            <w:pPr>
              <w:jc w:val="right"/>
              <w:ind w:right="30"/>
              <w:spacing w:after="0"/>
              <w:rPr>
                <w:sz w:val="20"/>
                <w:szCs w:val="20"/>
                <w:color w:val="auto"/>
              </w:rPr>
            </w:pPr>
            <w:r>
              <w:rPr>
                <w:rFonts w:ascii="Arial" w:cs="Arial" w:eastAsia="Arial" w:hAnsi="Arial"/>
                <w:sz w:val="18"/>
                <w:szCs w:val="18"/>
                <w:color w:val="auto"/>
                <w:w w:val="98"/>
              </w:rPr>
              <w:t>June 29, 2024</w:t>
            </w: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i w:val="1"/>
                <w:iCs w:val="1"/>
                <w:color w:val="auto"/>
              </w:rPr>
              <w:t>data</w:t>
            </w:r>
          </w:p>
        </w:tc>
        <w:tc>
          <w:tcPr>
            <w:tcW w:w="120" w:type="dxa"/>
            <w:vAlign w:val="bottom"/>
          </w:tcPr>
          <w:p>
            <w:pPr>
              <w:spacing w:after="0"/>
              <w:rPr>
                <w:sz w:val="21"/>
                <w:szCs w:val="21"/>
                <w:color w:val="auto"/>
              </w:rPr>
            </w:pPr>
          </w:p>
        </w:tc>
        <w:tc>
          <w:tcPr>
            <w:tcW w:w="14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20"/>
              <w:spacing w:after="0"/>
              <w:rPr>
                <w:sz w:val="20"/>
                <w:szCs w:val="20"/>
                <w:color w:val="auto"/>
              </w:rPr>
            </w:pPr>
            <w:r>
              <w:rPr>
                <w:rFonts w:ascii="Arial" w:cs="Arial" w:eastAsia="Arial" w:hAnsi="Arial"/>
                <w:sz w:val="18"/>
                <w:szCs w:val="18"/>
                <w:color w:val="auto"/>
              </w:rPr>
              <w:t>Net product sales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394,589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361,967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807,354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750,050</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sales of services and plans</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91,834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89,766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189,393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184,477</w:t>
            </w:r>
          </w:p>
        </w:tc>
        <w:tc>
          <w:tcPr>
            <w:tcW w:w="0" w:type="dxa"/>
            <w:vAlign w:val="bottom"/>
          </w:tcPr>
          <w:p>
            <w:pPr>
              <w:spacing w:after="0"/>
              <w:rPr>
                <w:sz w:val="1"/>
                <w:szCs w:val="1"/>
                <w:color w:val="auto"/>
              </w:rPr>
            </w:pPr>
          </w:p>
        </w:tc>
      </w:tr>
      <w:tr>
        <w:trPr>
          <w:trHeight w:val="223"/>
        </w:trPr>
        <w:tc>
          <w:tcPr>
            <w:tcW w:w="5320" w:type="dxa"/>
            <w:vAlign w:val="bottom"/>
          </w:tcPr>
          <w:p>
            <w:pPr>
              <w:ind w:left="360"/>
              <w:spacing w:after="0"/>
              <w:rPr>
                <w:sz w:val="20"/>
                <w:szCs w:val="20"/>
                <w:color w:val="auto"/>
              </w:rPr>
            </w:pPr>
            <w:r>
              <w:rPr>
                <w:rFonts w:ascii="Arial" w:cs="Arial" w:eastAsia="Arial" w:hAnsi="Arial"/>
                <w:sz w:val="18"/>
                <w:szCs w:val="18"/>
                <w:color w:val="auto"/>
              </w:rPr>
              <w:t>Total net revenue</w:t>
            </w:r>
          </w:p>
        </w:tc>
        <w:tc>
          <w:tcPr>
            <w:tcW w:w="120" w:type="dxa"/>
            <w:vAlign w:val="bottom"/>
          </w:tcPr>
          <w:p>
            <w:pPr>
              <w:spacing w:after="0"/>
              <w:rPr>
                <w:sz w:val="19"/>
                <w:szCs w:val="19"/>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486,423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451,733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996,747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934,527</w:t>
            </w:r>
          </w:p>
        </w:tc>
        <w:tc>
          <w:tcPr>
            <w:tcW w:w="0" w:type="dxa"/>
            <w:vAlign w:val="bottom"/>
          </w:tcPr>
          <w:p>
            <w:pPr>
              <w:spacing w:after="0"/>
              <w:rPr>
                <w:sz w:val="1"/>
                <w:szCs w:val="1"/>
                <w:color w:val="auto"/>
              </w:rPr>
            </w:pPr>
          </w:p>
        </w:tc>
      </w:tr>
      <w:tr>
        <w:trPr>
          <w:trHeight w:val="175"/>
        </w:trPr>
        <w:tc>
          <w:tcPr>
            <w:tcW w:w="5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Costs applicable to revenue (exclusive of depreciation and</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amortization):</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220"/>
              <w:spacing w:after="0"/>
              <w:rPr>
                <w:sz w:val="20"/>
                <w:szCs w:val="20"/>
                <w:color w:val="auto"/>
              </w:rPr>
            </w:pPr>
            <w:r>
              <w:rPr>
                <w:rFonts w:ascii="Arial" w:cs="Arial" w:eastAsia="Arial" w:hAnsi="Arial"/>
                <w:sz w:val="18"/>
                <w:szCs w:val="18"/>
                <w:color w:val="auto"/>
              </w:rPr>
              <w:t>Products</w:t>
            </w:r>
          </w:p>
        </w:tc>
        <w:tc>
          <w:tcPr>
            <w:tcW w:w="120" w:type="dxa"/>
            <w:vAlign w:val="bottom"/>
          </w:tcPr>
          <w:p>
            <w:pPr>
              <w:spacing w:after="0"/>
              <w:rPr>
                <w:sz w:val="19"/>
                <w:szCs w:val="19"/>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114,686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111,213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231,600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224,417</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Services and plans</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85,685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82,367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173,961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164,709</w:t>
            </w:r>
          </w:p>
        </w:tc>
        <w:tc>
          <w:tcPr>
            <w:tcW w:w="0" w:type="dxa"/>
            <w:vAlign w:val="bottom"/>
          </w:tcPr>
          <w:p>
            <w:pPr>
              <w:spacing w:after="0"/>
              <w:rPr>
                <w:sz w:val="1"/>
                <w:szCs w:val="1"/>
                <w:color w:val="auto"/>
              </w:rPr>
            </w:pPr>
          </w:p>
        </w:tc>
      </w:tr>
      <w:tr>
        <w:trPr>
          <w:trHeight w:val="223"/>
        </w:trPr>
        <w:tc>
          <w:tcPr>
            <w:tcW w:w="5320" w:type="dxa"/>
            <w:vAlign w:val="bottom"/>
          </w:tcPr>
          <w:p>
            <w:pPr>
              <w:ind w:left="360"/>
              <w:spacing w:after="0"/>
              <w:rPr>
                <w:sz w:val="20"/>
                <w:szCs w:val="20"/>
                <w:color w:val="auto"/>
              </w:rPr>
            </w:pPr>
            <w:r>
              <w:rPr>
                <w:rFonts w:ascii="Arial" w:cs="Arial" w:eastAsia="Arial" w:hAnsi="Arial"/>
                <w:sz w:val="18"/>
                <w:szCs w:val="18"/>
                <w:color w:val="auto"/>
              </w:rPr>
              <w:t>Total costs applicable to revenue</w:t>
            </w:r>
          </w:p>
        </w:tc>
        <w:tc>
          <w:tcPr>
            <w:tcW w:w="120" w:type="dxa"/>
            <w:vAlign w:val="bottom"/>
          </w:tcPr>
          <w:p>
            <w:pPr>
              <w:spacing w:after="0"/>
              <w:rPr>
                <w:sz w:val="19"/>
                <w:szCs w:val="19"/>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200,371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193,580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405,561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389,126</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22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19"/>
                <w:szCs w:val="19"/>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247,167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231,353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502,699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471,481</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22,536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22,692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45,499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45,913</w:t>
            </w:r>
          </w:p>
        </w:tc>
        <w:tc>
          <w:tcPr>
            <w:tcW w:w="0" w:type="dxa"/>
            <w:vAlign w:val="bottom"/>
          </w:tcPr>
          <w:p>
            <w:pPr>
              <w:spacing w:after="0"/>
              <w:rPr>
                <w:sz w:val="1"/>
                <w:szCs w:val="1"/>
                <w:color w:val="auto"/>
              </w:rPr>
            </w:pPr>
          </w:p>
        </w:tc>
      </w:tr>
      <w:tr>
        <w:trPr>
          <w:trHeight w:val="230"/>
        </w:trPr>
        <w:tc>
          <w:tcPr>
            <w:tcW w:w="5320" w:type="dxa"/>
            <w:vAlign w:val="bottom"/>
          </w:tcPr>
          <w:p>
            <w:pPr>
              <w:ind w:left="220"/>
              <w:spacing w:after="0"/>
              <w:rPr>
                <w:sz w:val="20"/>
                <w:szCs w:val="20"/>
                <w:color w:val="auto"/>
              </w:rPr>
            </w:pPr>
            <w:r>
              <w:rPr>
                <w:rFonts w:ascii="Arial" w:cs="Arial" w:eastAsia="Arial" w:hAnsi="Arial"/>
                <w:sz w:val="18"/>
                <w:szCs w:val="18"/>
                <w:color w:val="auto"/>
              </w:rPr>
              <w:t>Asset impairment</w:t>
            </w:r>
          </w:p>
        </w:tc>
        <w:tc>
          <w:tcPr>
            <w:tcW w:w="12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3,519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3,975</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expense (income), net</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269,603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257,562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548,600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521,368</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16,449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42,586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24,033</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expense, net</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4,210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3,196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8,782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7,452</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from continuing operations before income taxes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12,239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33,804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16,581</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provision (benefit)</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3,514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(1,564)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10,893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5,869</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continuing operations</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8,725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(1,041)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22,911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10,712</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from discontinued operations, net of tax (See Note 2)</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(2,084)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(2,152)</w:t>
            </w:r>
          </w:p>
        </w:tc>
        <w:tc>
          <w:tcPr>
            <w:tcW w:w="0" w:type="dxa"/>
            <w:vAlign w:val="bottom"/>
          </w:tcPr>
          <w:p>
            <w:pPr>
              <w:spacing w:after="0"/>
              <w:rPr>
                <w:sz w:val="1"/>
                <w:szCs w:val="1"/>
                <w:color w:val="auto"/>
              </w:rPr>
            </w:pP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8,725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22,911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8,560</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operating data:</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Number of stores open at end of period</w:t>
            </w:r>
          </w:p>
        </w:tc>
        <w:tc>
          <w:tcPr>
            <w:tcW w:w="120" w:type="dxa"/>
            <w:vAlign w:val="bottom"/>
          </w:tcPr>
          <w:p>
            <w:pPr>
              <w:spacing w:after="0"/>
              <w:rPr>
                <w:sz w:val="19"/>
                <w:szCs w:val="19"/>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stores opened during the period</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5320" w:type="dxa"/>
            <w:vAlign w:val="bottom"/>
          </w:tcPr>
          <w:p>
            <w:pPr>
              <w:ind w:left="20"/>
              <w:spacing w:after="0"/>
              <w:rPr>
                <w:sz w:val="20"/>
                <w:szCs w:val="20"/>
                <w:color w:val="auto"/>
              </w:rPr>
            </w:pPr>
            <w:r>
              <w:rPr>
                <w:rFonts w:ascii="Arial" w:cs="Arial" w:eastAsia="Arial" w:hAnsi="Arial"/>
                <w:sz w:val="18"/>
                <w:szCs w:val="18"/>
                <w:color w:val="auto"/>
              </w:rPr>
              <w:t>Adjusted Operating Income from continuing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23,801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14,073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65,076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47,967</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(loss) per share from continuing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Adjusted Diluted EPS from continuing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from continuing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46,168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36,383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110,237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93,117</w:t>
            </w:r>
          </w:p>
        </w:tc>
        <w:tc>
          <w:tcPr>
            <w:tcW w:w="0" w:type="dxa"/>
            <w:vAlign w:val="bottom"/>
          </w:tcPr>
          <w:p>
            <w:pPr>
              <w:spacing w:after="0"/>
              <w:rPr>
                <w:sz w:val="1"/>
                <w:szCs w:val="1"/>
                <w:color w:val="auto"/>
              </w:rPr>
            </w:pPr>
          </w:p>
        </w:tc>
      </w:tr>
      <w:tr>
        <w:trPr>
          <w:trHeight w:val="270"/>
        </w:trPr>
        <w:tc>
          <w:tcPr>
            <w:tcW w:w="5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Percentage of net revenue:</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Total costs applicable to revenue</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41.2 %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42.9 %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40.7 %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41.6 %</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50.5 %</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55.4 %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57.0 %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55.0 %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55.8 %</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continuing operations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Adjusted Operating Income from continuing operations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from continuing operations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746"/>
        </w:trPr>
        <w:tc>
          <w:tcPr>
            <w:tcW w:w="5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ind w:right="9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3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28, 2025 compared to Three Months Ended June 29, 2024</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Certain components of our operations met the requirements to be classified as discontinued operations. Refer to Note 2. “Discontinued Operations” in Part II. of the 2024 Annual Report on Form 10-K for information related to our discontinued operations. Unless otherwise noted, the discussion of U.S. GAAP results below is based on results from continuing operations.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presents, by segment and by brand, comparable store sales growth, stores open at the end of the period and net revenue from continuing operations for the three months ended June 28, 2025 compared to the three months ended June 29, 2024.</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9"/>
              </w:rPr>
              <w:t>Comparable store sales</w:t>
            </w:r>
          </w:p>
        </w:tc>
        <w:tc>
          <w:tcPr>
            <w:tcW w:w="178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Stores open at end</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60" w:type="dxa"/>
            <w:vAlign w:val="bottom"/>
            <w:gridSpan w:val="4"/>
          </w:tcPr>
          <w:p>
            <w:pPr>
              <w:jc w:val="center"/>
              <w:ind w:right="120"/>
              <w:spacing w:after="0" w:line="176" w:lineRule="exact"/>
              <w:rPr>
                <w:sz w:val="20"/>
                <w:szCs w:val="20"/>
                <w:color w:val="auto"/>
              </w:rPr>
            </w:pPr>
            <w:r>
              <w:rPr>
                <w:rFonts w:ascii="Arial" w:cs="Arial" w:eastAsia="Arial" w:hAnsi="Arial"/>
                <w:sz w:val="18"/>
                <w:szCs w:val="18"/>
                <w:b w:val="1"/>
                <w:bCs w:val="1"/>
                <w:color w:val="auto"/>
                <w:w w:val="99"/>
              </w:rPr>
              <w:t>growth from continuing</w:t>
            </w:r>
          </w:p>
        </w:tc>
        <w:tc>
          <w:tcPr>
            <w:tcW w:w="1780" w:type="dxa"/>
            <w:vAlign w:val="bottom"/>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20" w:type="dxa"/>
            <w:vAlign w:val="bottom"/>
            <w:gridSpan w:val="4"/>
            <w:vMerge w:val="restart"/>
          </w:tcPr>
          <w:p>
            <w:pPr>
              <w:jc w:val="right"/>
              <w:ind w:right="370"/>
              <w:spacing w:after="0"/>
              <w:rPr>
                <w:sz w:val="20"/>
                <w:szCs w:val="20"/>
                <w:color w:val="auto"/>
              </w:rPr>
            </w:pPr>
            <w:r>
              <w:rPr>
                <w:rFonts w:ascii="Arial" w:cs="Arial" w:eastAsia="Arial" w:hAnsi="Arial"/>
                <w:sz w:val="18"/>
                <w:szCs w:val="18"/>
                <w:b w:val="1"/>
                <w:bCs w:val="1"/>
                <w:color w:val="auto"/>
              </w:rPr>
              <w:t>Net revenue</w:t>
            </w:r>
            <w:r>
              <w:rPr>
                <w:rFonts w:ascii="Arial" w:cs="Arial" w:eastAsia="Arial" w:hAnsi="Arial"/>
                <w:sz w:val="23"/>
                <w:szCs w:val="23"/>
                <w:b w:val="1"/>
                <w:bCs w:val="1"/>
                <w:color w:val="auto"/>
                <w:vertAlign w:val="superscript"/>
              </w:rPr>
              <w:t>(1)(2)</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60" w:type="dxa"/>
            <w:vAlign w:val="bottom"/>
            <w:gridSpan w:val="4"/>
          </w:tcPr>
          <w:p>
            <w:pPr>
              <w:jc w:val="center"/>
              <w:ind w:right="120"/>
              <w:spacing w:after="0" w:line="243" w:lineRule="exact"/>
              <w:rPr>
                <w:sz w:val="20"/>
                <w:szCs w:val="20"/>
                <w:color w:val="auto"/>
              </w:rPr>
            </w:pPr>
            <w:r>
              <w:rPr>
                <w:rFonts w:ascii="Arial" w:cs="Arial" w:eastAsia="Arial" w:hAnsi="Arial"/>
                <w:sz w:val="18"/>
                <w:szCs w:val="18"/>
                <w:b w:val="1"/>
                <w:bCs w:val="1"/>
                <w:color w:val="auto"/>
                <w:w w:val="95"/>
              </w:rPr>
              <w:t>operations</w:t>
            </w:r>
            <w:r>
              <w:rPr>
                <w:rFonts w:ascii="Arial" w:cs="Arial" w:eastAsia="Arial" w:hAnsi="Arial"/>
                <w:sz w:val="23"/>
                <w:szCs w:val="23"/>
                <w:b w:val="1"/>
                <w:bCs w:val="1"/>
                <w:color w:val="auto"/>
                <w:w w:val="95"/>
                <w:vertAlign w:val="superscript"/>
              </w:rPr>
              <w:t>(1)</w:t>
            </w:r>
          </w:p>
        </w:tc>
        <w:tc>
          <w:tcPr>
            <w:tcW w:w="1780" w:type="dxa"/>
            <w:vAlign w:val="bottom"/>
            <w:gridSpan w:val="4"/>
          </w:tcPr>
          <w:p>
            <w:pPr>
              <w:ind w:left="460"/>
              <w:spacing w:after="0"/>
              <w:rPr>
                <w:sz w:val="20"/>
                <w:szCs w:val="20"/>
                <w:color w:val="auto"/>
              </w:rPr>
            </w:pPr>
            <w:r>
              <w:rPr>
                <w:rFonts w:ascii="Arial" w:cs="Arial" w:eastAsia="Arial" w:hAnsi="Arial"/>
                <w:sz w:val="18"/>
                <w:szCs w:val="18"/>
                <w:b w:val="1"/>
                <w:bCs w:val="1"/>
                <w:color w:val="auto"/>
              </w:rPr>
              <w:t>of period</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20" w:type="dxa"/>
            <w:vAlign w:val="bottom"/>
            <w:gridSpan w:val="4"/>
            <w:vMerge w:val="continue"/>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Borders>
              <w:top w:val="single" w:sz="8" w:color="auto"/>
            </w:tcBorders>
            <w:gridSpan w:val="2"/>
          </w:tcPr>
          <w:p>
            <w:pPr>
              <w:jc w:val="center"/>
              <w:ind w:right="100"/>
              <w:spacing w:after="0" w:line="169" w:lineRule="exact"/>
              <w:rPr>
                <w:sz w:val="20"/>
                <w:szCs w:val="20"/>
                <w:color w:val="auto"/>
              </w:rPr>
            </w:pPr>
            <w:r>
              <w:rPr>
                <w:rFonts w:ascii="Arial" w:cs="Arial" w:eastAsia="Arial" w:hAnsi="Arial"/>
                <w:sz w:val="18"/>
                <w:szCs w:val="18"/>
                <w:b w:val="1"/>
                <w:bCs w:val="1"/>
                <w:color w:val="auto"/>
              </w:rPr>
              <w:t>Three</w:t>
            </w:r>
          </w:p>
        </w:tc>
        <w:tc>
          <w:tcPr>
            <w:tcW w:w="10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7"/>
              </w:rPr>
              <w:t>Three</w:t>
            </w:r>
          </w:p>
        </w:tc>
        <w:tc>
          <w:tcPr>
            <w:tcW w:w="10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120"/>
              <w:spacing w:after="0" w:line="183" w:lineRule="exact"/>
              <w:rPr>
                <w:sz w:val="20"/>
                <w:szCs w:val="20"/>
                <w:color w:val="auto"/>
              </w:rPr>
            </w:pPr>
            <w:r>
              <w:rPr>
                <w:rFonts w:ascii="Arial" w:cs="Arial" w:eastAsia="Arial" w:hAnsi="Arial"/>
                <w:sz w:val="18"/>
                <w:szCs w:val="18"/>
                <w:b w:val="1"/>
                <w:bCs w:val="1"/>
                <w:color w:val="auto"/>
                <w:w w:val="99"/>
              </w:rPr>
              <w:t>Months</w:t>
            </w:r>
          </w:p>
        </w:tc>
        <w:tc>
          <w:tcPr>
            <w:tcW w:w="1140" w:type="dxa"/>
            <w:vAlign w:val="bottom"/>
            <w:gridSpan w:val="2"/>
          </w:tcPr>
          <w:p>
            <w:pPr>
              <w:jc w:val="center"/>
              <w:ind w:right="100"/>
              <w:spacing w:after="0" w:line="183" w:lineRule="exact"/>
              <w:rPr>
                <w:sz w:val="20"/>
                <w:szCs w:val="20"/>
                <w:color w:val="auto"/>
              </w:rPr>
            </w:pPr>
            <w:r>
              <w:rPr>
                <w:rFonts w:ascii="Arial" w:cs="Arial" w:eastAsia="Arial" w:hAnsi="Arial"/>
                <w:sz w:val="18"/>
                <w:szCs w:val="18"/>
                <w:b w:val="1"/>
                <w:bCs w:val="1"/>
                <w:color w:val="auto"/>
                <w:w w:val="99"/>
              </w:rPr>
              <w:t>Months</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20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In thousands, except percentage and</w:t>
            </w:r>
          </w:p>
        </w:tc>
        <w:tc>
          <w:tcPr>
            <w:tcW w:w="1120" w:type="dxa"/>
            <w:vAlign w:val="bottom"/>
            <w:gridSpan w:val="2"/>
          </w:tcPr>
          <w:p>
            <w:pPr>
              <w:jc w:val="center"/>
              <w:ind w:right="100"/>
              <w:spacing w:after="0" w:line="181" w:lineRule="exact"/>
              <w:rPr>
                <w:sz w:val="20"/>
                <w:szCs w:val="20"/>
                <w:color w:val="auto"/>
              </w:rPr>
            </w:pPr>
            <w:r>
              <w:rPr>
                <w:rFonts w:ascii="Arial" w:cs="Arial" w:eastAsia="Arial" w:hAnsi="Arial"/>
                <w:sz w:val="18"/>
                <w:szCs w:val="18"/>
                <w:b w:val="1"/>
                <w:bCs w:val="1"/>
                <w:color w:val="auto"/>
                <w:w w:val="98"/>
              </w:rPr>
              <w:t>Ended</w:t>
            </w:r>
          </w:p>
        </w:tc>
        <w:tc>
          <w:tcPr>
            <w:tcW w:w="1140" w:type="dxa"/>
            <w:vAlign w:val="bottom"/>
            <w:gridSpan w:val="2"/>
          </w:tcPr>
          <w:p>
            <w:pPr>
              <w:jc w:val="center"/>
              <w:ind w:right="100"/>
              <w:spacing w:after="0" w:line="181" w:lineRule="exact"/>
              <w:rPr>
                <w:sz w:val="20"/>
                <w:szCs w:val="20"/>
                <w:color w:val="auto"/>
              </w:rPr>
            </w:pPr>
            <w:r>
              <w:rPr>
                <w:rFonts w:ascii="Arial" w:cs="Arial" w:eastAsia="Arial" w:hAnsi="Arial"/>
                <w:sz w:val="18"/>
                <w:szCs w:val="18"/>
                <w:b w:val="1"/>
                <w:bCs w:val="1"/>
                <w:color w:val="auto"/>
              </w:rPr>
              <w:t>Ended</w:t>
            </w:r>
          </w:p>
        </w:tc>
        <w:tc>
          <w:tcPr>
            <w:tcW w:w="8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June 28,</w:t>
            </w:r>
          </w:p>
        </w:tc>
        <w:tc>
          <w:tcPr>
            <w:tcW w:w="9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June 29,</w:t>
            </w:r>
          </w:p>
        </w:tc>
        <w:tc>
          <w:tcPr>
            <w:tcW w:w="2060" w:type="dxa"/>
            <w:vAlign w:val="bottom"/>
            <w:gridSpan w:val="4"/>
            <w:vMerge w:val="restart"/>
          </w:tcPr>
          <w:p>
            <w:pPr>
              <w:jc w:val="center"/>
              <w:ind w:right="120"/>
              <w:spacing w:after="0"/>
              <w:rPr>
                <w:sz w:val="20"/>
                <w:szCs w:val="20"/>
                <w:color w:val="auto"/>
              </w:rPr>
            </w:pPr>
            <w:r>
              <w:rPr>
                <w:rFonts w:ascii="Arial" w:cs="Arial" w:eastAsia="Arial" w:hAnsi="Arial"/>
                <w:sz w:val="18"/>
                <w:szCs w:val="18"/>
                <w:b w:val="1"/>
                <w:bCs w:val="1"/>
                <w:color w:val="auto"/>
                <w:w w:val="99"/>
              </w:rPr>
              <w:t>Three Months Ended</w:t>
            </w:r>
          </w:p>
        </w:tc>
        <w:tc>
          <w:tcPr>
            <w:tcW w:w="188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75"/>
        </w:trPr>
        <w:tc>
          <w:tcPr>
            <w:tcW w:w="3200" w:type="dxa"/>
            <w:vAlign w:val="bottom"/>
            <w:gridSpan w:val="2"/>
            <w:vMerge w:val="continue"/>
          </w:tcPr>
          <w:p>
            <w:pPr>
              <w:spacing w:after="0"/>
              <w:rPr>
                <w:sz w:val="15"/>
                <w:szCs w:val="15"/>
                <w:color w:val="auto"/>
              </w:rPr>
            </w:pPr>
          </w:p>
        </w:tc>
        <w:tc>
          <w:tcPr>
            <w:tcW w:w="112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9"/>
              </w:rPr>
              <w:t>June 28,</w:t>
            </w:r>
          </w:p>
        </w:tc>
        <w:tc>
          <w:tcPr>
            <w:tcW w:w="114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June 29,</w:t>
            </w:r>
          </w:p>
        </w:tc>
        <w:tc>
          <w:tcPr>
            <w:tcW w:w="88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2060" w:type="dxa"/>
            <w:vAlign w:val="bottom"/>
            <w:gridSpan w:val="4"/>
            <w:vMerge w:val="continue"/>
          </w:tcPr>
          <w:p>
            <w:pPr>
              <w:spacing w:after="0"/>
              <w:rPr>
                <w:sz w:val="15"/>
                <w:szCs w:val="15"/>
                <w:color w:val="auto"/>
              </w:rPr>
            </w:pPr>
          </w:p>
        </w:tc>
        <w:tc>
          <w:tcPr>
            <w:tcW w:w="18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00" w:type="dxa"/>
            <w:vAlign w:val="bottom"/>
            <w:gridSpan w:val="2"/>
          </w:tcPr>
          <w:p>
            <w:pPr>
              <w:ind w:left="20"/>
              <w:spacing w:after="0"/>
              <w:rPr>
                <w:sz w:val="20"/>
                <w:szCs w:val="20"/>
                <w:color w:val="auto"/>
              </w:rPr>
            </w:pPr>
            <w:r>
              <w:rPr>
                <w:rFonts w:ascii="Arial" w:cs="Arial" w:eastAsia="Arial" w:hAnsi="Arial"/>
                <w:sz w:val="18"/>
                <w:szCs w:val="18"/>
                <w:i w:val="1"/>
                <w:iCs w:val="1"/>
                <w:color w:val="auto"/>
              </w:rPr>
              <w:t>store data</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9"/>
              </w:rPr>
              <w:t>2025</w:t>
            </w:r>
          </w:p>
        </w:tc>
        <w:tc>
          <w:tcPr>
            <w:tcW w:w="10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9"/>
              </w:rPr>
              <w:t>2024</w:t>
            </w:r>
          </w:p>
        </w:tc>
        <w:tc>
          <w:tcPr>
            <w:tcW w:w="100" w:type="dxa"/>
            <w:vAlign w:val="bottom"/>
          </w:tcPr>
          <w:p>
            <w:pPr>
              <w:spacing w:after="0"/>
              <w:rPr>
                <w:sz w:val="21"/>
                <w:szCs w:val="21"/>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21"/>
                <w:szCs w:val="21"/>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9"/>
              </w:rPr>
              <w:t>June 28, 2025</w:t>
            </w:r>
          </w:p>
        </w:tc>
        <w:tc>
          <w:tcPr>
            <w:tcW w:w="180" w:type="dxa"/>
            <w:vAlign w:val="bottom"/>
          </w:tcPr>
          <w:p>
            <w:pPr>
              <w:spacing w:after="0"/>
              <w:rPr>
                <w:sz w:val="21"/>
                <w:szCs w:val="21"/>
                <w:color w:val="auto"/>
              </w:rPr>
            </w:pPr>
          </w:p>
        </w:tc>
        <w:tc>
          <w:tcPr>
            <w:tcW w:w="170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June 29, 2024</w:t>
            </w:r>
          </w:p>
        </w:tc>
        <w:tc>
          <w:tcPr>
            <w:tcW w:w="0" w:type="dxa"/>
            <w:vAlign w:val="bottom"/>
          </w:tcPr>
          <w:p>
            <w:pPr>
              <w:spacing w:after="0"/>
              <w:rPr>
                <w:sz w:val="1"/>
                <w:szCs w:val="1"/>
                <w:color w:val="auto"/>
              </w:rPr>
            </w:pPr>
          </w:p>
        </w:tc>
      </w:tr>
      <w:tr>
        <w:trPr>
          <w:trHeight w:val="223"/>
        </w:trPr>
        <w:tc>
          <w:tcPr>
            <w:tcW w:w="3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Owned &amp; Host segment</w:t>
            </w: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gridSpan w:val="2"/>
          </w:tcPr>
          <w:p>
            <w:pPr>
              <w:ind w:left="20"/>
              <w:spacing w:after="0"/>
              <w:rPr>
                <w:sz w:val="20"/>
                <w:szCs w:val="20"/>
                <w:color w:val="auto"/>
              </w:rPr>
            </w:pPr>
            <w:r>
              <w:rPr>
                <w:rFonts w:ascii="Arial" w:cs="Arial" w:eastAsia="Arial" w:hAnsi="Arial"/>
                <w:sz w:val="18"/>
                <w:szCs w:val="18"/>
                <w:color w:val="auto"/>
              </w:rPr>
              <w:t>America’s Best</w:t>
            </w:r>
          </w:p>
        </w:tc>
        <w:tc>
          <w:tcPr>
            <w:tcW w:w="1020" w:type="dxa"/>
            <w:vAlign w:val="bottom"/>
          </w:tcPr>
          <w:p>
            <w:pPr>
              <w:jc w:val="right"/>
              <w:spacing w:after="0"/>
              <w:rPr>
                <w:sz w:val="20"/>
                <w:szCs w:val="20"/>
                <w:color w:val="auto"/>
              </w:rPr>
            </w:pPr>
            <w:r>
              <w:rPr>
                <w:rFonts w:ascii="Arial" w:cs="Arial" w:eastAsia="Arial" w:hAnsi="Arial"/>
                <w:sz w:val="18"/>
                <w:szCs w:val="18"/>
                <w:color w:val="auto"/>
              </w:rPr>
              <w:t>6.3 %</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416,775</w:t>
            </w:r>
          </w:p>
        </w:tc>
        <w:tc>
          <w:tcPr>
            <w:tcW w:w="860" w:type="dxa"/>
            <w:vAlign w:val="bottom"/>
          </w:tcPr>
          <w:p>
            <w:pPr>
              <w:jc w:val="right"/>
              <w:spacing w:after="0"/>
              <w:rPr>
                <w:sz w:val="20"/>
                <w:szCs w:val="20"/>
                <w:color w:val="auto"/>
              </w:rPr>
            </w:pPr>
            <w:r>
              <w:rPr>
                <w:rFonts w:ascii="Arial" w:cs="Arial" w:eastAsia="Arial" w:hAnsi="Arial"/>
                <w:sz w:val="18"/>
                <w:szCs w:val="18"/>
                <w:color w:val="auto"/>
              </w:rPr>
              <w:t>85.7 %</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381,647</w:t>
            </w:r>
          </w:p>
        </w:tc>
        <w:tc>
          <w:tcPr>
            <w:tcW w:w="840" w:type="dxa"/>
            <w:vAlign w:val="bottom"/>
          </w:tcPr>
          <w:p>
            <w:pPr>
              <w:jc w:val="right"/>
              <w:spacing w:after="0"/>
              <w:rPr>
                <w:sz w:val="20"/>
                <w:szCs w:val="20"/>
                <w:color w:val="auto"/>
              </w:rPr>
            </w:pPr>
            <w:r>
              <w:rPr>
                <w:rFonts w:ascii="Arial" w:cs="Arial" w:eastAsia="Arial" w:hAnsi="Arial"/>
                <w:sz w:val="18"/>
                <w:szCs w:val="18"/>
                <w:color w:val="auto"/>
              </w:rPr>
              <w:t>84.5 %</w:t>
            </w:r>
          </w:p>
        </w:tc>
        <w:tc>
          <w:tcPr>
            <w:tcW w:w="0" w:type="dxa"/>
            <w:vAlign w:val="bottom"/>
          </w:tcPr>
          <w:p>
            <w:pPr>
              <w:spacing w:after="0"/>
              <w:rPr>
                <w:sz w:val="1"/>
                <w:szCs w:val="1"/>
                <w:color w:val="auto"/>
              </w:rPr>
            </w:pPr>
          </w:p>
        </w:tc>
      </w:tr>
      <w:tr>
        <w:trPr>
          <w:trHeight w:val="229"/>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Eyeglass World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49,105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49,489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11.0 %</w:t>
            </w:r>
          </w:p>
        </w:tc>
        <w:tc>
          <w:tcPr>
            <w:tcW w:w="0" w:type="dxa"/>
            <w:vAlign w:val="bottom"/>
          </w:tcPr>
          <w:p>
            <w:pPr>
              <w:spacing w:after="0"/>
              <w:rPr>
                <w:sz w:val="1"/>
                <w:szCs w:val="1"/>
                <w:color w:val="auto"/>
              </w:rPr>
            </w:pPr>
          </w:p>
        </w:tc>
      </w:tr>
      <w:tr>
        <w:trPr>
          <w:trHeight w:val="230"/>
        </w:trPr>
        <w:tc>
          <w:tcPr>
            <w:tcW w:w="3200" w:type="dxa"/>
            <w:vAlign w:val="bottom"/>
            <w:gridSpan w:val="2"/>
          </w:tcPr>
          <w:p>
            <w:pPr>
              <w:ind w:left="20"/>
              <w:spacing w:after="0"/>
              <w:rPr>
                <w:sz w:val="20"/>
                <w:szCs w:val="20"/>
                <w:color w:val="auto"/>
              </w:rPr>
            </w:pPr>
            <w:r>
              <w:rPr>
                <w:rFonts w:ascii="Arial" w:cs="Arial" w:eastAsia="Arial" w:hAnsi="Arial"/>
                <w:sz w:val="18"/>
                <w:szCs w:val="18"/>
                <w:color w:val="auto"/>
              </w:rPr>
              <w:t>Military</w:t>
            </w:r>
          </w:p>
        </w:tc>
        <w:tc>
          <w:tcPr>
            <w:tcW w:w="1020" w:type="dxa"/>
            <w:vAlign w:val="bottom"/>
          </w:tcPr>
          <w:p>
            <w:pPr>
              <w:jc w:val="right"/>
              <w:spacing w:after="0"/>
              <w:rPr>
                <w:sz w:val="20"/>
                <w:szCs w:val="20"/>
                <w:color w:val="auto"/>
              </w:rPr>
            </w:pPr>
            <w:r>
              <w:rPr>
                <w:rFonts w:ascii="Arial" w:cs="Arial" w:eastAsia="Arial" w:hAnsi="Arial"/>
                <w:sz w:val="18"/>
                <w:szCs w:val="18"/>
                <w:color w:val="auto"/>
              </w:rPr>
              <w:t>4.4 %</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5,844</w:t>
            </w:r>
          </w:p>
        </w:tc>
        <w:tc>
          <w:tcPr>
            <w:tcW w:w="860" w:type="dxa"/>
            <w:vAlign w:val="bottom"/>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5,625</w:t>
            </w:r>
          </w:p>
        </w:tc>
        <w:tc>
          <w:tcPr>
            <w:tcW w:w="840" w:type="dxa"/>
            <w:vAlign w:val="bottom"/>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29"/>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Fred Meyer</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2,428</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2,724</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23"/>
        </w:trPr>
        <w:tc>
          <w:tcPr>
            <w:tcW w:w="3200" w:type="dxa"/>
            <w:vAlign w:val="bottom"/>
            <w:gridSpan w:val="2"/>
          </w:tcPr>
          <w:p>
            <w:pPr>
              <w:ind w:left="20"/>
              <w:spacing w:after="0"/>
              <w:rPr>
                <w:sz w:val="20"/>
                <w:szCs w:val="20"/>
                <w:color w:val="auto"/>
              </w:rPr>
            </w:pPr>
            <w:r>
              <w:rPr>
                <w:rFonts w:ascii="Arial" w:cs="Arial" w:eastAsia="Arial" w:hAnsi="Arial"/>
                <w:sz w:val="18"/>
                <w:szCs w:val="18"/>
                <w:color w:val="auto"/>
              </w:rPr>
              <w:t>Owned &amp; Host segment total</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1,216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474,152</w:t>
            </w:r>
          </w:p>
        </w:tc>
        <w:tc>
          <w:tcPr>
            <w:tcW w:w="860" w:type="dxa"/>
            <w:vAlign w:val="bottom"/>
          </w:tcPr>
          <w:p>
            <w:pPr>
              <w:jc w:val="right"/>
              <w:spacing w:after="0"/>
              <w:rPr>
                <w:sz w:val="20"/>
                <w:szCs w:val="20"/>
                <w:color w:val="auto"/>
              </w:rPr>
            </w:pPr>
            <w:r>
              <w:rPr>
                <w:rFonts w:ascii="Arial" w:cs="Arial" w:eastAsia="Arial" w:hAnsi="Arial"/>
                <w:sz w:val="18"/>
                <w:szCs w:val="18"/>
                <w:color w:val="auto"/>
              </w:rPr>
              <w:t>97.5 %</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439,485</w:t>
            </w:r>
          </w:p>
        </w:tc>
        <w:tc>
          <w:tcPr>
            <w:tcW w:w="840" w:type="dxa"/>
            <w:vAlign w:val="bottom"/>
          </w:tcPr>
          <w:p>
            <w:pPr>
              <w:jc w:val="right"/>
              <w:spacing w:after="0"/>
              <w:rPr>
                <w:sz w:val="20"/>
                <w:szCs w:val="20"/>
                <w:color w:val="auto"/>
              </w:rPr>
            </w:pPr>
            <w:r>
              <w:rPr>
                <w:rFonts w:ascii="Arial" w:cs="Arial" w:eastAsia="Arial" w:hAnsi="Arial"/>
                <w:sz w:val="18"/>
                <w:szCs w:val="18"/>
                <w:color w:val="auto"/>
              </w:rPr>
              <w:t>97.3 %</w:t>
            </w:r>
          </w:p>
        </w:tc>
        <w:tc>
          <w:tcPr>
            <w:tcW w:w="0" w:type="dxa"/>
            <w:vAlign w:val="bottom"/>
          </w:tcPr>
          <w:p>
            <w:pPr>
              <w:spacing w:after="0"/>
              <w:rPr>
                <w:sz w:val="1"/>
                <w:szCs w:val="1"/>
                <w:color w:val="auto"/>
              </w:rPr>
            </w:pPr>
          </w:p>
        </w:tc>
      </w:tr>
      <w:tr>
        <w:trPr>
          <w:trHeight w:val="229"/>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segments revenue</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5,719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8,099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176"/>
        </w:trPr>
        <w:tc>
          <w:tcPr>
            <w:tcW w:w="320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rPr>
              <w:t>Effects of unearned and deferred</w:t>
            </w:r>
          </w:p>
        </w:tc>
        <w:tc>
          <w:tcPr>
            <w:tcW w:w="11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 %</w:t>
            </w:r>
          </w:p>
        </w:tc>
        <w:tc>
          <w:tcPr>
            <w:tcW w:w="11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 %</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900" w:type="dxa"/>
            <w:vAlign w:val="bottom"/>
            <w:vMerge w:val="restart"/>
          </w:tcPr>
          <w:p>
            <w:pPr>
              <w:jc w:val="right"/>
              <w:ind w:right="90"/>
              <w:spacing w:after="0"/>
              <w:rPr>
                <w:sz w:val="20"/>
                <w:szCs w:val="20"/>
                <w:color w:val="auto"/>
              </w:rPr>
            </w:pPr>
            <w:r>
              <w:rPr>
                <w:rFonts w:ascii="Arial" w:cs="Arial" w:eastAsia="Arial" w:hAnsi="Arial"/>
                <w:sz w:val="18"/>
                <w:szCs w:val="18"/>
                <w:color w:val="auto"/>
              </w:rPr>
              <w:t>6,552</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vMerge w:val="restart"/>
          </w:tcPr>
          <w:p>
            <w:pPr>
              <w:jc w:val="right"/>
              <w:ind w:right="50"/>
              <w:spacing w:after="0"/>
              <w:rPr>
                <w:sz w:val="20"/>
                <w:szCs w:val="20"/>
                <w:color w:val="auto"/>
              </w:rPr>
            </w:pPr>
            <w:r>
              <w:rPr>
                <w:rFonts w:ascii="Arial" w:cs="Arial" w:eastAsia="Arial" w:hAnsi="Arial"/>
                <w:sz w:val="18"/>
                <w:szCs w:val="18"/>
                <w:color w:val="auto"/>
              </w:rPr>
              <w:t>4,149</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43"/>
        </w:trPr>
        <w:tc>
          <w:tcPr>
            <w:tcW w:w="3200" w:type="dxa"/>
            <w:vAlign w:val="bottom"/>
            <w:gridSpan w:val="2"/>
          </w:tcPr>
          <w:p>
            <w:pPr>
              <w:ind w:left="20"/>
              <w:spacing w:after="0"/>
              <w:rPr>
                <w:sz w:val="20"/>
                <w:szCs w:val="20"/>
                <w:color w:val="auto"/>
              </w:rPr>
            </w:pPr>
            <w:r>
              <w:rPr>
                <w:rFonts w:ascii="Arial" w:cs="Arial" w:eastAsia="Arial" w:hAnsi="Arial"/>
                <w:sz w:val="18"/>
                <w:szCs w:val="18"/>
                <w:b w:val="1"/>
                <w:bCs w:val="1"/>
                <w:color w:val="auto"/>
              </w:rPr>
              <w:t>revenue</w:t>
            </w:r>
          </w:p>
        </w:tc>
        <w:tc>
          <w:tcPr>
            <w:tcW w:w="1120" w:type="dxa"/>
            <w:vAlign w:val="bottom"/>
            <w:gridSpan w:val="2"/>
            <w:vMerge w:val="continue"/>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880" w:type="dxa"/>
            <w:vAlign w:val="bottom"/>
            <w:gridSpan w:val="2"/>
            <w:vMerge w:val="continue"/>
          </w:tcPr>
          <w:p>
            <w:pPr>
              <w:spacing w:after="0"/>
              <w:rPr>
                <w:sz w:val="21"/>
                <w:szCs w:val="21"/>
                <w:color w:val="auto"/>
              </w:rPr>
            </w:pPr>
          </w:p>
        </w:tc>
        <w:tc>
          <w:tcPr>
            <w:tcW w:w="90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2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486,423</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451,733</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bottom w:val="single" w:sz="8" w:color="CCEEFF"/>
            </w:tcBorders>
            <w:gridSpan w:val="2"/>
            <w:vMerge w:val="restart"/>
          </w:tcPr>
          <w:p>
            <w:pPr>
              <w:ind w:left="20"/>
              <w:spacing w:after="0" w:line="163" w:lineRule="exact"/>
              <w:rPr>
                <w:sz w:val="20"/>
                <w:szCs w:val="20"/>
                <w:color w:val="auto"/>
              </w:rPr>
            </w:pPr>
            <w:r>
              <w:rPr>
                <w:rFonts w:ascii="Arial" w:cs="Arial" w:eastAsia="Arial" w:hAnsi="Arial"/>
                <w:sz w:val="18"/>
                <w:szCs w:val="18"/>
                <w:color w:val="auto"/>
              </w:rPr>
              <w:t>Effect of deferred and unearned</w:t>
            </w:r>
          </w:p>
        </w:tc>
        <w:tc>
          <w:tcPr>
            <w:tcW w:w="10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200" w:type="dxa"/>
            <w:vAlign w:val="bottom"/>
            <w:gridSpan w:val="2"/>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200" w:type="dxa"/>
            <w:vAlign w:val="bottom"/>
            <w:gridSpan w:val="2"/>
          </w:tcPr>
          <w:p>
            <w:pPr>
              <w:ind w:left="20"/>
              <w:spacing w:after="0"/>
              <w:rPr>
                <w:sz w:val="20"/>
                <w:szCs w:val="20"/>
                <w:color w:val="auto"/>
              </w:rPr>
            </w:pPr>
            <w:r>
              <w:rPr>
                <w:rFonts w:ascii="Arial" w:cs="Arial" w:eastAsia="Arial" w:hAnsi="Arial"/>
                <w:sz w:val="18"/>
                <w:szCs w:val="18"/>
                <w:color w:val="auto"/>
              </w:rPr>
              <w:t>revenue on comparable store sales</w:t>
            </w:r>
          </w:p>
        </w:tc>
        <w:tc>
          <w:tcPr>
            <w:tcW w:w="10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2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Adjusted Comparable Store Sales</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1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Growth from continuing operations</w:t>
            </w:r>
          </w:p>
        </w:tc>
        <w:tc>
          <w:tcPr>
            <w:tcW w:w="10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640" w:hanging="308"/>
        <w:spacing w:after="0"/>
        <w:tabs>
          <w:tab w:leader="none" w:pos="6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calculate total comparable store sales from continuing operations based on consolidated net revenue from continuing operations excluding the impact of</w:t>
      </w:r>
    </w:p>
    <w:p>
      <w:pPr>
        <w:spacing w:after="0" w:line="15" w:lineRule="exact"/>
        <w:rPr>
          <w:rFonts w:ascii="Arial" w:cs="Arial" w:eastAsia="Arial" w:hAnsi="Arial"/>
          <w:sz w:val="14"/>
          <w:szCs w:val="14"/>
          <w:color w:val="auto"/>
        </w:rPr>
      </w:pPr>
    </w:p>
    <w:p>
      <w:pPr>
        <w:ind w:left="820" w:hanging="164"/>
        <w:spacing w:after="0"/>
        <w:tabs>
          <w:tab w:leader="none" w:pos="820" w:val="left"/>
        </w:tabs>
        <w:numPr>
          <w:ilvl w:val="1"/>
          <w:numId w:val="12"/>
        </w:numPr>
        <w:rPr>
          <w:rFonts w:ascii="Arial" w:cs="Arial" w:eastAsia="Arial" w:hAnsi="Arial"/>
          <w:sz w:val="14"/>
          <w:szCs w:val="14"/>
          <w:color w:val="auto"/>
        </w:rPr>
      </w:pPr>
      <w:r>
        <w:rPr>
          <w:rFonts w:ascii="Arial" w:cs="Arial" w:eastAsia="Arial" w:hAnsi="Arial"/>
          <w:sz w:val="14"/>
          <w:szCs w:val="14"/>
          <w:color w:val="auto"/>
        </w:rPr>
        <w:t>other segments net revenue, (ii) sales from stores opened less than 13 months, (iii) stores closed in the periods presented, (iv) sales from partial months</w:t>
      </w:r>
    </w:p>
    <w:p>
      <w:pPr>
        <w:spacing w:after="0" w:line="15" w:lineRule="exact"/>
        <w:rPr>
          <w:sz w:val="20"/>
          <w:szCs w:val="20"/>
          <w:color w:val="auto"/>
        </w:rPr>
      </w:pPr>
    </w:p>
    <w:p>
      <w:pPr>
        <w:ind w:left="660" w:right="740"/>
        <w:spacing w:after="0" w:line="256" w:lineRule="auto"/>
        <w:rPr>
          <w:sz w:val="20"/>
          <w:szCs w:val="20"/>
          <w:color w:val="auto"/>
        </w:rPr>
      </w:pPr>
      <w:r>
        <w:rPr>
          <w:rFonts w:ascii="Arial" w:cs="Arial" w:eastAsia="Arial" w:hAnsi="Arial"/>
          <w:sz w:val="14"/>
          <w:szCs w:val="14"/>
          <w:color w:val="auto"/>
        </w:rPr>
        <w:t>of operation when stores do not open or close on the first day of the month and (v) if applicable, the impact of a 53rd week in a fiscal year. Brand-level comparable store sales growth and net revenue are calculated based on cash basis revenues consistent with what the CODM reviews, and consistent with reportable segment revenues presented in Note 9. “Segment Reporting” in our unaudited condensed consolidated financial statements included in Part I. Item 1. of this Form 10-Q.</w:t>
      </w:r>
    </w:p>
    <w:p>
      <w:pPr>
        <w:spacing w:after="0" w:line="2"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4"/>
          <w:szCs w:val="14"/>
          <w:color w:val="auto"/>
        </w:rPr>
        <w:t>(2)</w:t>
        <w:tab/>
        <w:t>Percentages reflect line item as a percentage of net revenue, adjusted for rounding.</w:t>
      </w:r>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net revenue of $486.4 million for the three months ended June 28, 2025 increased $34.7 million, or 7.7%, from $ 451.7 million for the three months ended June 29, 2024. Approximately 70% of the increase was driven by growth from Adjusted Comparable Store Sales Growth from continuing operations and approximately 40% of the increase was driven by new store sales, partially offset by approximately 10% from effects of closed stores. Net revenue includes a positive 0.6% impact from the timing of unearned revenue for the three months ended June 28, 2025 as compared to three months ended June 29, 2024</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Comparable store sales growth from continuing operations and Adjusted Comparable Store Sales Growth from continuing operations for the three months ended June 28, 2025 were 6.5% and 5.9%, respectively, both reflecting a higher average ticket and continued strength in the managed care cohort, partially offset by a slight decrease in customer traffic.</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the three months ended June 28, 2025, we opened eight America’s Best stores and closed five America’s Best stores. We also converted four Eyeglass World stores to America’s Best stores from June 29, 2024 to June 28, 2025. Overall, store count grew 2.0% from June 29, 2024 to June 28, 2025 (exclusive of the aforementioned conversions, we had 38 net new America’s Best stores, nine net closures of Fred Meyer stores, four net closures of Eyeglass World stores, and one net closure of a Military store).</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product sales comprised 81.1% and 80.1% of total net revenue for the three months ended June 28, 2025 and June 29, 2024, respectively. Net product sales increased $32.6 million, or 9.0%, in the three months ended June 28, 2025 compared to the three months ended June 29, 2024, driven primarily by pricing and product mix initiatives in eyeglass sales of $29.9 million, contact lens sales of $2.6 million and other add-on sales.</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Net sales of services and plans for the three months ended June 28, 2025 increased $2.1 million, or 2.3%, compared to the three months ended June 29, 2024, driven primarily by higher eye exam revenues of $1.8 million, or 3.2%.</w:t>
      </w:r>
    </w:p>
    <w:p>
      <w:pPr>
        <w:spacing w:after="0" w:line="45"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i w:val="1"/>
          <w:iCs w:val="1"/>
          <w:color w:val="auto"/>
        </w:rPr>
        <w:t xml:space="preserve">Owned &amp; Host segment net revenue. </w:t>
      </w:r>
      <w:r>
        <w:rPr>
          <w:rFonts w:ascii="Arial" w:cs="Arial" w:eastAsia="Arial" w:hAnsi="Arial"/>
          <w:sz w:val="18"/>
          <w:szCs w:val="18"/>
          <w:color w:val="auto"/>
        </w:rPr>
        <w:t>Net revenue increased $34.7 million, or 7.9%, driven primarily by comparable store sales growth</w:t>
      </w:r>
      <w:r>
        <w:rPr>
          <w:rFonts w:ascii="Arial" w:cs="Arial" w:eastAsia="Arial" w:hAnsi="Arial"/>
          <w:sz w:val="18"/>
          <w:szCs w:val="18"/>
          <w:i w:val="1"/>
          <w:iCs w:val="1"/>
          <w:color w:val="auto"/>
        </w:rPr>
        <w:t xml:space="preserve"> </w:t>
      </w:r>
      <w:r>
        <w:rPr>
          <w:rFonts w:ascii="Arial" w:cs="Arial" w:eastAsia="Arial" w:hAnsi="Arial"/>
          <w:sz w:val="18"/>
          <w:szCs w:val="18"/>
          <w:color w:val="auto"/>
        </w:rPr>
        <w:t>and new store openings, partially offset by closed stores.</w:t>
      </w:r>
    </w:p>
    <w:p>
      <w:pPr>
        <w:spacing w:after="0" w:line="45"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i w:val="1"/>
          <w:iCs w:val="1"/>
          <w:color w:val="auto"/>
        </w:rPr>
        <w:t xml:space="preserve">Effects of unearned and deferred revenue. </w:t>
      </w:r>
      <w:r>
        <w:rPr>
          <w:rFonts w:ascii="Arial" w:cs="Arial" w:eastAsia="Arial" w:hAnsi="Arial"/>
          <w:sz w:val="18"/>
          <w:szCs w:val="18"/>
          <w:color w:val="auto"/>
        </w:rPr>
        <w:t>Unearned and deferred revenue positively impacted net revenue by $2.4 million in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28, 2025 compared to the three months ended June 29, 2024, primarily driven by $2.6 million due to the timing of unearned revenue.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applicable to revenue</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Costs applicable to revenue of $200.4 million for the three months ended June 28, 2025 increased $6.8 million, or 3.5%, from $ 193.6 million for the three months ended June 29, 2024. As a percentage of net revenue, costs applicable to revenue decreased from 42.9% for the three months ended June 29, 2024 to 41.2% for the three months ended June 28, 2025. This decrease of 170 basis points as a percentage of net revenue was primarily driven by a margin improvement of 70 basis points of eyeglass frames, lenses and bundled packages and a favorable shift in product and service mix related to average customer ticket of 110 basis points, leveraging of optometrist-related costs of 60 basis points, partially offset by lower growth in eye exam margin and other add-ons revenue margin of 70 basis points.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Costs of products as a percentage of net product sales decreased from 30.7% for the three months ended June 29, 2024 to 29.1% for the three months ended June 28, 2025, primarily driven by a margin improvement of eyeglass frames, lenses and bundled packages and a favorable shift in product mix related to average customer ticket.</w:t>
      </w:r>
    </w:p>
    <w:p>
      <w:pPr>
        <w:spacing w:after="0" w:line="63"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i w:val="1"/>
          <w:iCs w:val="1"/>
          <w:color w:val="auto"/>
        </w:rPr>
        <w:t xml:space="preserve">Owned &amp; Host segment costs of products. </w:t>
      </w:r>
      <w:r>
        <w:rPr>
          <w:rFonts w:ascii="Arial" w:cs="Arial" w:eastAsia="Arial" w:hAnsi="Arial"/>
          <w:sz w:val="18"/>
          <w:szCs w:val="18"/>
          <w:color w:val="auto"/>
        </w:rPr>
        <w:t>Costs of products as a percentage of net product sales decreased from 29.7%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29, 2024 to 28.3% for the three months ended June 28, 2025, primarily driven by a margin improvement of eyeglass frames, lenses and bundled packages and a favorable shift in product mix related to average customer ticket.</w:t>
      </w:r>
    </w:p>
    <w:p>
      <w:pPr>
        <w:spacing w:after="0" w:line="4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Costs of services and plans as a percentage of net sales of services and plans increased from 91.8% for the three months ended June 29, 2024 to 93.3% for the three months ended June 28, 2025. The increase was driven by lower growth in eye exam margin and other add-ons revenue.</w:t>
      </w:r>
    </w:p>
    <w:p>
      <w:pPr>
        <w:spacing w:after="0" w:line="74"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i w:val="1"/>
          <w:iCs w:val="1"/>
          <w:color w:val="auto"/>
        </w:rPr>
        <w:t xml:space="preserve">Owned &amp; Host segment costs of services and plans. </w:t>
      </w:r>
      <w:r>
        <w:rPr>
          <w:rFonts w:ascii="Arial" w:cs="Arial" w:eastAsia="Arial" w:hAnsi="Arial"/>
          <w:sz w:val="18"/>
          <w:szCs w:val="18"/>
          <w:color w:val="auto"/>
        </w:rPr>
        <w:t>Costs of services and plans as a percentage of net sales of services and plans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from 91.3% for the three months ended June 29, 2024 to 92.6% for the three months ended June 28, 2025, and was driven by lower growth in eye exam margin and other add-ons revenue.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SG&amp;A of $247.2 million for the three months ended June 28, 2025 increased $ 15.8 million, or 6.8%, from the three months ended June 29, 2024. As a percentage of net revenue, SG&amp;A decreased from 51.2% for the three months ended June 29, 2024 to 50.8% for the three months ended June 28, 2025. SG&amp;A as a percentage of net revenue was impacted by lower advertising investments of 60 basis points, lower legal and professional fees of 40 basis points, and lower occupancy expenses of 30 basis points, partially offset by higher variable incentive compensation expenses related to revenue and profitability growth of 90 basis points and other operating expenses.</w:t>
      </w:r>
    </w:p>
    <w:p>
      <w:pPr>
        <w:spacing w:after="0" w:line="71"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i w:val="1"/>
          <w:iCs w:val="1"/>
          <w:color w:val="auto"/>
        </w:rPr>
        <w:t xml:space="preserve">Owned &amp; Host SG&amp;A. </w:t>
      </w:r>
      <w:r>
        <w:rPr>
          <w:rFonts w:ascii="Arial" w:cs="Arial" w:eastAsia="Arial" w:hAnsi="Arial"/>
          <w:sz w:val="18"/>
          <w:szCs w:val="18"/>
          <w:color w:val="auto"/>
        </w:rPr>
        <w:t>SG&amp;A as a percentage of net revenue decreased from 39.6% for the three months ended June 29, 2024 to 38.1%</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June 28, 2025, primarily driven by lower advertising investments, occupancy expenses and other operating expenses.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Depreciation and amortization expense of $22.5 million for the three months ended June 28, 2025 decreased $0.2 million, or 0.7%, from $22.7 million for the three months ended June 29, 2024 primarily driven by lower amortization of intangible assets.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recognized no impairment during the three months ended June 28, 2025, compared to $3.5 million impairment recognized during the three months ended June 29, 2024 for tangible long-lived assets and ROU assets associated with our retail stores. The store asset impairment charge during the three months ended June 29, 2024 is related to our Owned &amp; Host segment and is driven by lower than projected customer sales and profitability in certain stores, and other entity-specific assumptions. We considered multiple factors including, but not limited to: forecasted scenarios related to store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performance and the likelihood that these scenarios would be ultimately realized; and the remaining useful lives of the assets. Asset impairment expenses were recognized in corporate and other.</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Interest expense, net, was $ 4.2 million for the three months ended June 28, 2025, compared to $3.2 million for the three months ended June 29, 2024. The change was primarily a result of lower interest income on cash balances of $1.7 million, partially offset by lower interest expense on our debt of $0.4 million.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 (benefit)</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effective tax rates for the three months ended June 28, 2025 and June 29, 2024 were 28.7% and 60.0%, respectively. The change in effective tax rates was primarily driven by the tax impacts of consolidated VIEs, coupled with non-deductible compensation and other effects of permanent items. The change in effective rates was also influenced by using the ETR method during the three months ended June 29, 2024 and the AETR method during the three months ended June 28, 2025.</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Loss from discontinued operations, net of tax of $2.1 million for the three months ended June 29, 2024 represents loss prior to the wind-down of the AC Lens operations. There were no discontinued operations results for the three months ended June 28, 2025.</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28, 2025 compared to Six Months Ended June 29, 2024</w:t>
      </w:r>
    </w:p>
    <w:p>
      <w:pPr>
        <w:spacing w:after="0" w:line="117" w:lineRule="exact"/>
        <w:rPr>
          <w:sz w:val="20"/>
          <w:szCs w:val="20"/>
          <w:color w:val="auto"/>
        </w:rPr>
      </w:pPr>
    </w:p>
    <w:p>
      <w:pPr>
        <w:jc w:val="both"/>
        <w:ind w:right="500"/>
        <w:spacing w:after="0" w:line="268" w:lineRule="auto"/>
        <w:rPr>
          <w:sz w:val="20"/>
          <w:szCs w:val="20"/>
          <w:color w:val="auto"/>
        </w:rPr>
      </w:pPr>
      <w:r>
        <w:rPr>
          <w:rFonts w:ascii="Arial" w:cs="Arial" w:eastAsia="Arial" w:hAnsi="Arial"/>
          <w:sz w:val="18"/>
          <w:szCs w:val="18"/>
          <w:color w:val="auto"/>
        </w:rPr>
        <w:t>Certain components of our operations met the requirements to be classified as discontinued operations. Refer to Note 2. “Discontinued Operations” in Part II. of the 2024 Annual Report on Form 10-K for information related to our discontinued operations. Unless otherwise noted, the discussion of U.S. GAAP results below is based on results from continuing operations.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w:t>
      </w:r>
    </w:p>
    <w:p>
      <w:pPr>
        <w:spacing w:after="0" w:line="11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following presents, by segment and by brand, comparable store sales growth, stores open at the end of the period and net revenue from continuing operations for the six months ended June 28, 2025 compared to the six months ended June 29, 2024.</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gridSpan w:val="3"/>
          </w:tcPr>
          <w:p>
            <w:pPr>
              <w:jc w:val="center"/>
              <w:spacing w:after="0"/>
              <w:rPr>
                <w:sz w:val="20"/>
                <w:szCs w:val="20"/>
                <w:color w:val="auto"/>
              </w:rPr>
            </w:pPr>
            <w:r>
              <w:rPr>
                <w:rFonts w:ascii="Arial" w:cs="Arial" w:eastAsia="Arial" w:hAnsi="Arial"/>
                <w:sz w:val="18"/>
                <w:szCs w:val="18"/>
                <w:b w:val="1"/>
                <w:bCs w:val="1"/>
                <w:color w:val="auto"/>
              </w:rPr>
              <w:t>Comparable store sales</w:t>
            </w:r>
          </w:p>
        </w:tc>
        <w:tc>
          <w:tcPr>
            <w:tcW w:w="120" w:type="dxa"/>
            <w:vAlign w:val="bottom"/>
          </w:tcPr>
          <w:p>
            <w:pPr>
              <w:spacing w:after="0"/>
              <w:rPr>
                <w:sz w:val="18"/>
                <w:szCs w:val="18"/>
                <w:color w:val="auto"/>
              </w:rPr>
            </w:pPr>
          </w:p>
        </w:tc>
        <w:tc>
          <w:tcPr>
            <w:tcW w:w="1860" w:type="dxa"/>
            <w:vAlign w:val="bottom"/>
            <w:gridSpan w:val="4"/>
            <w:vMerge w:val="restart"/>
          </w:tcPr>
          <w:p>
            <w:pPr>
              <w:ind w:left="80"/>
              <w:spacing w:after="0"/>
              <w:rPr>
                <w:sz w:val="20"/>
                <w:szCs w:val="20"/>
                <w:color w:val="auto"/>
              </w:rPr>
            </w:pPr>
            <w:r>
              <w:rPr>
                <w:rFonts w:ascii="Arial" w:cs="Arial" w:eastAsia="Arial" w:hAnsi="Arial"/>
                <w:sz w:val="18"/>
                <w:szCs w:val="18"/>
                <w:b w:val="1"/>
                <w:bCs w:val="1"/>
                <w:color w:val="auto"/>
              </w:rPr>
              <w:t>Stores open at end</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80" w:type="dxa"/>
            <w:vAlign w:val="bottom"/>
            <w:gridSpan w:val="3"/>
          </w:tcPr>
          <w:p>
            <w:pPr>
              <w:jc w:val="center"/>
              <w:spacing w:after="0" w:line="176" w:lineRule="exact"/>
              <w:rPr>
                <w:sz w:val="20"/>
                <w:szCs w:val="20"/>
                <w:color w:val="auto"/>
              </w:rPr>
            </w:pPr>
            <w:r>
              <w:rPr>
                <w:rFonts w:ascii="Arial" w:cs="Arial" w:eastAsia="Arial" w:hAnsi="Arial"/>
                <w:sz w:val="18"/>
                <w:szCs w:val="18"/>
                <w:b w:val="1"/>
                <w:bCs w:val="1"/>
                <w:color w:val="auto"/>
                <w:w w:val="99"/>
              </w:rPr>
              <w:t>growth from continuing</w:t>
            </w:r>
          </w:p>
        </w:tc>
        <w:tc>
          <w:tcPr>
            <w:tcW w:w="120" w:type="dxa"/>
            <w:vAlign w:val="bottom"/>
          </w:tcPr>
          <w:p>
            <w:pPr>
              <w:spacing w:after="0"/>
              <w:rPr>
                <w:sz w:val="15"/>
                <w:szCs w:val="15"/>
                <w:color w:val="auto"/>
              </w:rPr>
            </w:pPr>
          </w:p>
        </w:tc>
        <w:tc>
          <w:tcPr>
            <w:tcW w:w="186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940" w:type="dxa"/>
            <w:vAlign w:val="bottom"/>
            <w:gridSpan w:val="4"/>
            <w:vMerge w:val="restart"/>
          </w:tcPr>
          <w:p>
            <w:pPr>
              <w:jc w:val="right"/>
              <w:ind w:right="330"/>
              <w:spacing w:after="0"/>
              <w:rPr>
                <w:sz w:val="20"/>
                <w:szCs w:val="20"/>
                <w:color w:val="auto"/>
              </w:rPr>
            </w:pPr>
            <w:r>
              <w:rPr>
                <w:rFonts w:ascii="Arial" w:cs="Arial" w:eastAsia="Arial" w:hAnsi="Arial"/>
                <w:sz w:val="18"/>
                <w:szCs w:val="18"/>
                <w:b w:val="1"/>
                <w:bCs w:val="1"/>
                <w:color w:val="auto"/>
              </w:rPr>
              <w:t>Net revenue</w:t>
            </w:r>
            <w:r>
              <w:rPr>
                <w:rFonts w:ascii="Arial" w:cs="Arial" w:eastAsia="Arial" w:hAnsi="Arial"/>
                <w:sz w:val="23"/>
                <w:szCs w:val="23"/>
                <w:b w:val="1"/>
                <w:bCs w:val="1"/>
                <w:color w:val="auto"/>
                <w:vertAlign w:val="superscript"/>
              </w:rPr>
              <w:t>(1)(2)</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80" w:type="dxa"/>
            <w:vAlign w:val="bottom"/>
            <w:gridSpan w:val="3"/>
          </w:tcPr>
          <w:p>
            <w:pPr>
              <w:jc w:val="center"/>
              <w:spacing w:after="0" w:line="243" w:lineRule="exact"/>
              <w:rPr>
                <w:sz w:val="20"/>
                <w:szCs w:val="20"/>
                <w:color w:val="auto"/>
              </w:rPr>
            </w:pPr>
            <w:r>
              <w:rPr>
                <w:rFonts w:ascii="Arial" w:cs="Arial" w:eastAsia="Arial" w:hAnsi="Arial"/>
                <w:sz w:val="18"/>
                <w:szCs w:val="18"/>
                <w:b w:val="1"/>
                <w:bCs w:val="1"/>
                <w:color w:val="auto"/>
                <w:w w:val="95"/>
              </w:rPr>
              <w:t>operations</w:t>
            </w:r>
            <w:r>
              <w:rPr>
                <w:rFonts w:ascii="Arial" w:cs="Arial" w:eastAsia="Arial" w:hAnsi="Arial"/>
                <w:sz w:val="23"/>
                <w:szCs w:val="23"/>
                <w:b w:val="1"/>
                <w:bCs w:val="1"/>
                <w:color w:val="auto"/>
                <w:w w:val="95"/>
                <w:vertAlign w:val="superscript"/>
              </w:rPr>
              <w:t>(1)</w:t>
            </w:r>
          </w:p>
        </w:tc>
        <w:tc>
          <w:tcPr>
            <w:tcW w:w="120" w:type="dxa"/>
            <w:vAlign w:val="bottom"/>
          </w:tcPr>
          <w:p>
            <w:pPr>
              <w:spacing w:after="0"/>
              <w:rPr>
                <w:sz w:val="21"/>
                <w:szCs w:val="21"/>
                <w:color w:val="auto"/>
              </w:rPr>
            </w:pPr>
          </w:p>
        </w:tc>
        <w:tc>
          <w:tcPr>
            <w:tcW w:w="1860" w:type="dxa"/>
            <w:vAlign w:val="bottom"/>
            <w:gridSpan w:val="4"/>
          </w:tcPr>
          <w:p>
            <w:pPr>
              <w:ind w:left="500"/>
              <w:spacing w:after="0"/>
              <w:rPr>
                <w:sz w:val="20"/>
                <w:szCs w:val="20"/>
                <w:color w:val="auto"/>
              </w:rPr>
            </w:pPr>
            <w:r>
              <w:rPr>
                <w:rFonts w:ascii="Arial" w:cs="Arial" w:eastAsia="Arial" w:hAnsi="Arial"/>
                <w:sz w:val="18"/>
                <w:szCs w:val="18"/>
                <w:b w:val="1"/>
                <w:bCs w:val="1"/>
                <w:color w:val="auto"/>
              </w:rPr>
              <w:t>of period</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940" w:type="dxa"/>
            <w:vAlign w:val="bottom"/>
            <w:gridSpan w:val="4"/>
            <w:vMerge w:val="continue"/>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3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Borders>
              <w:top w:val="single" w:sz="8" w:color="auto"/>
            </w:tcBorders>
            <w:gridSpan w:val="2"/>
          </w:tcPr>
          <w:p>
            <w:pPr>
              <w:jc w:val="center"/>
              <w:ind w:right="100"/>
              <w:spacing w:after="0" w:line="169" w:lineRule="exact"/>
              <w:rPr>
                <w:sz w:val="20"/>
                <w:szCs w:val="20"/>
                <w:color w:val="auto"/>
              </w:rPr>
            </w:pPr>
            <w:r>
              <w:rPr>
                <w:rFonts w:ascii="Arial" w:cs="Arial" w:eastAsia="Arial" w:hAnsi="Arial"/>
                <w:sz w:val="18"/>
                <w:szCs w:val="18"/>
                <w:b w:val="1"/>
                <w:bCs w:val="1"/>
                <w:color w:val="auto"/>
                <w:w w:val="99"/>
              </w:rPr>
              <w:t>Six Months</w:t>
            </w:r>
          </w:p>
        </w:tc>
        <w:tc>
          <w:tcPr>
            <w:tcW w:w="10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9"/>
              </w:rPr>
              <w:t>Six Months</w:t>
            </w:r>
          </w:p>
        </w:tc>
        <w:tc>
          <w:tcPr>
            <w:tcW w:w="12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26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In thousands, except percentage and</w:t>
            </w:r>
          </w:p>
        </w:tc>
        <w:tc>
          <w:tcPr>
            <w:tcW w:w="1140" w:type="dxa"/>
            <w:vAlign w:val="bottom"/>
            <w:gridSpan w:val="2"/>
          </w:tcPr>
          <w:p>
            <w:pPr>
              <w:jc w:val="center"/>
              <w:ind w:right="80"/>
              <w:spacing w:after="0" w:line="183" w:lineRule="exact"/>
              <w:rPr>
                <w:sz w:val="20"/>
                <w:szCs w:val="20"/>
                <w:color w:val="auto"/>
              </w:rPr>
            </w:pPr>
            <w:r>
              <w:rPr>
                <w:rFonts w:ascii="Arial" w:cs="Arial" w:eastAsia="Arial" w:hAnsi="Arial"/>
                <w:sz w:val="18"/>
                <w:szCs w:val="18"/>
                <w:b w:val="1"/>
                <w:bCs w:val="1"/>
                <w:color w:val="auto"/>
                <w:w w:val="98"/>
              </w:rPr>
              <w:t>Ended</w:t>
            </w:r>
          </w:p>
        </w:tc>
        <w:tc>
          <w:tcPr>
            <w:tcW w:w="1040" w:type="dxa"/>
            <w:vAlign w:val="bottom"/>
          </w:tcPr>
          <w:p>
            <w:pPr>
              <w:jc w:val="center"/>
              <w:spacing w:after="0" w:line="183" w:lineRule="exact"/>
              <w:rPr>
                <w:sz w:val="20"/>
                <w:szCs w:val="20"/>
                <w:color w:val="auto"/>
              </w:rPr>
            </w:pPr>
            <w:r>
              <w:rPr>
                <w:rFonts w:ascii="Arial" w:cs="Arial" w:eastAsia="Arial" w:hAnsi="Arial"/>
                <w:sz w:val="18"/>
                <w:szCs w:val="18"/>
                <w:b w:val="1"/>
                <w:bCs w:val="1"/>
                <w:color w:val="auto"/>
              </w:rPr>
              <w:t>Ended</w:t>
            </w:r>
          </w:p>
        </w:tc>
        <w:tc>
          <w:tcPr>
            <w:tcW w:w="120" w:type="dxa"/>
            <w:vAlign w:val="bottom"/>
          </w:tcPr>
          <w:p>
            <w:pPr>
              <w:spacing w:after="0"/>
              <w:rPr>
                <w:sz w:val="15"/>
                <w:szCs w:val="15"/>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June 28,</w:t>
            </w:r>
          </w:p>
        </w:tc>
        <w:tc>
          <w:tcPr>
            <w:tcW w:w="9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June 29,</w:t>
            </w:r>
          </w:p>
        </w:tc>
        <w:tc>
          <w:tcPr>
            <w:tcW w:w="140" w:type="dxa"/>
            <w:vAlign w:val="bottom"/>
          </w:tcPr>
          <w:p>
            <w:pPr>
              <w:spacing w:after="0"/>
              <w:rPr>
                <w:sz w:val="15"/>
                <w:szCs w:val="15"/>
                <w:color w:val="auto"/>
              </w:rPr>
            </w:pPr>
          </w:p>
        </w:tc>
        <w:tc>
          <w:tcPr>
            <w:tcW w:w="1800" w:type="dxa"/>
            <w:vAlign w:val="bottom"/>
            <w:gridSpan w:val="3"/>
            <w:vMerge w:val="restart"/>
          </w:tcPr>
          <w:p>
            <w:pPr>
              <w:jc w:val="center"/>
              <w:ind w:right="200"/>
              <w:spacing w:after="0"/>
              <w:rPr>
                <w:sz w:val="20"/>
                <w:szCs w:val="20"/>
                <w:color w:val="auto"/>
              </w:rPr>
            </w:pPr>
            <w:r>
              <w:rPr>
                <w:rFonts w:ascii="Arial" w:cs="Arial" w:eastAsia="Arial" w:hAnsi="Arial"/>
                <w:sz w:val="18"/>
                <w:szCs w:val="18"/>
                <w:b w:val="1"/>
                <w:bCs w:val="1"/>
                <w:color w:val="auto"/>
                <w:w w:val="99"/>
              </w:rPr>
              <w:t>Six Months Ended</w:t>
            </w:r>
          </w:p>
        </w:tc>
        <w:tc>
          <w:tcPr>
            <w:tcW w:w="140" w:type="dxa"/>
            <w:vAlign w:val="bottom"/>
          </w:tcPr>
          <w:p>
            <w:pPr>
              <w:spacing w:after="0"/>
              <w:rPr>
                <w:sz w:val="15"/>
                <w:szCs w:val="15"/>
                <w:color w:val="auto"/>
              </w:rPr>
            </w:pPr>
          </w:p>
        </w:tc>
        <w:tc>
          <w:tcPr>
            <w:tcW w:w="1740" w:type="dxa"/>
            <w:vAlign w:val="bottom"/>
            <w:gridSpan w:val="2"/>
            <w:vMerge w:val="restart"/>
          </w:tcPr>
          <w:p>
            <w:pPr>
              <w:jc w:val="right"/>
              <w:ind w:right="70"/>
              <w:spacing w:after="0"/>
              <w:rPr>
                <w:sz w:val="20"/>
                <w:szCs w:val="20"/>
                <w:color w:val="auto"/>
              </w:rPr>
            </w:pPr>
            <w:r>
              <w:rPr>
                <w:rFonts w:ascii="Arial" w:cs="Arial" w:eastAsia="Arial" w:hAnsi="Arial"/>
                <w:sz w:val="18"/>
                <w:szCs w:val="18"/>
                <w:b w:val="1"/>
                <w:bCs w:val="1"/>
                <w:color w:val="auto"/>
                <w:w w:val="99"/>
              </w:rPr>
              <w:t>Six Months Ended</w:t>
            </w:r>
          </w:p>
        </w:tc>
        <w:tc>
          <w:tcPr>
            <w:tcW w:w="0" w:type="dxa"/>
            <w:vAlign w:val="bottom"/>
          </w:tcPr>
          <w:p>
            <w:pPr>
              <w:spacing w:after="0"/>
              <w:rPr>
                <w:sz w:val="1"/>
                <w:szCs w:val="1"/>
                <w:color w:val="auto"/>
              </w:rPr>
            </w:pPr>
          </w:p>
        </w:tc>
      </w:tr>
      <w:tr>
        <w:trPr>
          <w:trHeight w:val="180"/>
        </w:trPr>
        <w:tc>
          <w:tcPr>
            <w:tcW w:w="3260" w:type="dxa"/>
            <w:vAlign w:val="bottom"/>
            <w:gridSpan w:val="2"/>
            <w:vMerge w:val="continue"/>
          </w:tcPr>
          <w:p>
            <w:pPr>
              <w:spacing w:after="0"/>
              <w:rPr>
                <w:sz w:val="15"/>
                <w:szCs w:val="15"/>
                <w:color w:val="auto"/>
              </w:rPr>
            </w:pPr>
          </w:p>
        </w:tc>
        <w:tc>
          <w:tcPr>
            <w:tcW w:w="1140" w:type="dxa"/>
            <w:vAlign w:val="bottom"/>
            <w:gridSpan w:val="2"/>
          </w:tcPr>
          <w:p>
            <w:pPr>
              <w:jc w:val="center"/>
              <w:ind w:right="100"/>
              <w:spacing w:after="0" w:line="180" w:lineRule="exact"/>
              <w:rPr>
                <w:sz w:val="20"/>
                <w:szCs w:val="20"/>
                <w:color w:val="auto"/>
              </w:rPr>
            </w:pPr>
            <w:r>
              <w:rPr>
                <w:rFonts w:ascii="Arial" w:cs="Arial" w:eastAsia="Arial" w:hAnsi="Arial"/>
                <w:sz w:val="18"/>
                <w:szCs w:val="18"/>
                <w:b w:val="1"/>
                <w:bCs w:val="1"/>
                <w:color w:val="auto"/>
                <w:w w:val="99"/>
              </w:rPr>
              <w:t>June 28,</w:t>
            </w:r>
          </w:p>
        </w:tc>
        <w:tc>
          <w:tcPr>
            <w:tcW w:w="104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99"/>
              </w:rPr>
              <w:t>June 29,</w:t>
            </w:r>
          </w:p>
        </w:tc>
        <w:tc>
          <w:tcPr>
            <w:tcW w:w="1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60" w:type="dxa"/>
            <w:vAlign w:val="bottom"/>
            <w:gridSpan w:val="2"/>
          </w:tcPr>
          <w:p>
            <w:pPr>
              <w:ind w:left="20"/>
              <w:spacing w:after="0"/>
              <w:rPr>
                <w:sz w:val="20"/>
                <w:szCs w:val="20"/>
                <w:color w:val="auto"/>
              </w:rPr>
            </w:pPr>
            <w:r>
              <w:rPr>
                <w:rFonts w:ascii="Arial" w:cs="Arial" w:eastAsia="Arial" w:hAnsi="Arial"/>
                <w:sz w:val="18"/>
                <w:szCs w:val="18"/>
                <w:i w:val="1"/>
                <w:iCs w:val="1"/>
                <w:color w:val="auto"/>
              </w:rPr>
              <w:t>store data</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9"/>
              </w:rPr>
              <w:t>2025</w:t>
            </w:r>
          </w:p>
        </w:tc>
        <w:tc>
          <w:tcPr>
            <w:tcW w:w="8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9"/>
              </w:rPr>
              <w:t>2024</w:t>
            </w:r>
          </w:p>
        </w:tc>
        <w:tc>
          <w:tcPr>
            <w:tcW w:w="9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20"/>
                <w:szCs w:val="20"/>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b w:val="1"/>
                <w:bCs w:val="1"/>
                <w:color w:val="auto"/>
              </w:rPr>
              <w:t>2024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rPr>
              <w:t>June 28, 2025</w:t>
            </w:r>
          </w:p>
        </w:tc>
        <w:tc>
          <w:tcPr>
            <w:tcW w:w="140" w:type="dxa"/>
            <w:vAlign w:val="bottom"/>
          </w:tcPr>
          <w:p>
            <w:pPr>
              <w:spacing w:after="0"/>
              <w:rPr>
                <w:sz w:val="20"/>
                <w:szCs w:val="20"/>
                <w:color w:val="auto"/>
              </w:rPr>
            </w:pPr>
          </w:p>
        </w:tc>
        <w:tc>
          <w:tcPr>
            <w:tcW w:w="174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June 29, 2024</w:t>
            </w:r>
          </w:p>
        </w:tc>
        <w:tc>
          <w:tcPr>
            <w:tcW w:w="0" w:type="dxa"/>
            <w:vAlign w:val="bottom"/>
          </w:tcPr>
          <w:p>
            <w:pPr>
              <w:spacing w:after="0"/>
              <w:rPr>
                <w:sz w:val="1"/>
                <w:szCs w:val="1"/>
                <w:color w:val="auto"/>
              </w:rPr>
            </w:pPr>
          </w:p>
        </w:tc>
      </w:tr>
      <w:tr>
        <w:trPr>
          <w:trHeight w:val="223"/>
        </w:trPr>
        <w:tc>
          <w:tcPr>
            <w:tcW w:w="3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Owned &amp; Host segment</w:t>
            </w: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gridSpan w:val="2"/>
          </w:tcPr>
          <w:p>
            <w:pPr>
              <w:ind w:left="20"/>
              <w:spacing w:after="0"/>
              <w:rPr>
                <w:sz w:val="20"/>
                <w:szCs w:val="20"/>
                <w:color w:val="auto"/>
              </w:rPr>
            </w:pPr>
            <w:r>
              <w:rPr>
                <w:rFonts w:ascii="Arial" w:cs="Arial" w:eastAsia="Arial" w:hAnsi="Arial"/>
                <w:sz w:val="18"/>
                <w:szCs w:val="18"/>
                <w:color w:val="auto"/>
              </w:rPr>
              <w:t>America’s Best</w:t>
            </w:r>
          </w:p>
        </w:tc>
        <w:tc>
          <w:tcPr>
            <w:tcW w:w="1060" w:type="dxa"/>
            <w:vAlign w:val="bottom"/>
          </w:tcPr>
          <w:p>
            <w:pPr>
              <w:jc w:val="right"/>
              <w:spacing w:after="0"/>
              <w:rPr>
                <w:sz w:val="20"/>
                <w:szCs w:val="20"/>
                <w:color w:val="auto"/>
              </w:rPr>
            </w:pPr>
            <w:r>
              <w:rPr>
                <w:rFonts w:ascii="Arial" w:cs="Arial" w:eastAsia="Arial" w:hAnsi="Arial"/>
                <w:sz w:val="18"/>
                <w:szCs w:val="18"/>
                <w:color w:val="auto"/>
              </w:rPr>
              <w:t>6.1 %</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2.0 %</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1,003</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870,506</w:t>
            </w:r>
          </w:p>
        </w:tc>
        <w:tc>
          <w:tcPr>
            <w:tcW w:w="820" w:type="dxa"/>
            <w:vAlign w:val="bottom"/>
          </w:tcPr>
          <w:p>
            <w:pPr>
              <w:jc w:val="right"/>
              <w:spacing w:after="0"/>
              <w:rPr>
                <w:sz w:val="20"/>
                <w:szCs w:val="20"/>
                <w:color w:val="auto"/>
              </w:rPr>
            </w:pPr>
            <w:r>
              <w:rPr>
                <w:rFonts w:ascii="Arial" w:cs="Arial" w:eastAsia="Arial" w:hAnsi="Arial"/>
                <w:sz w:val="18"/>
                <w:szCs w:val="18"/>
                <w:color w:val="auto"/>
              </w:rPr>
              <w:t>87.3 %</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792,791</w:t>
            </w:r>
          </w:p>
        </w:tc>
        <w:tc>
          <w:tcPr>
            <w:tcW w:w="840" w:type="dxa"/>
            <w:vAlign w:val="bottom"/>
          </w:tcPr>
          <w:p>
            <w:pPr>
              <w:jc w:val="right"/>
              <w:spacing w:after="0"/>
              <w:rPr>
                <w:sz w:val="20"/>
                <w:szCs w:val="20"/>
                <w:color w:val="auto"/>
              </w:rPr>
            </w:pPr>
            <w:r>
              <w:rPr>
                <w:rFonts w:ascii="Arial" w:cs="Arial" w:eastAsia="Arial" w:hAnsi="Arial"/>
                <w:sz w:val="18"/>
                <w:szCs w:val="18"/>
                <w:color w:val="auto"/>
              </w:rPr>
              <w:t>84.8 %</w:t>
            </w:r>
          </w:p>
        </w:tc>
        <w:tc>
          <w:tcPr>
            <w:tcW w:w="0" w:type="dxa"/>
            <w:vAlign w:val="bottom"/>
          </w:tcPr>
          <w:p>
            <w:pPr>
              <w:spacing w:after="0"/>
              <w:rPr>
                <w:sz w:val="1"/>
                <w:szCs w:val="1"/>
                <w:color w:val="auto"/>
              </w:rPr>
            </w:pPr>
          </w:p>
        </w:tc>
      </w:tr>
      <w:tr>
        <w:trPr>
          <w:trHeight w:val="230"/>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Eyeglass World</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101,591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106,449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11.4 %</w:t>
            </w:r>
          </w:p>
        </w:tc>
        <w:tc>
          <w:tcPr>
            <w:tcW w:w="0" w:type="dxa"/>
            <w:vAlign w:val="bottom"/>
          </w:tcPr>
          <w:p>
            <w:pPr>
              <w:spacing w:after="0"/>
              <w:rPr>
                <w:sz w:val="1"/>
                <w:szCs w:val="1"/>
                <w:color w:val="auto"/>
              </w:rPr>
            </w:pPr>
          </w:p>
        </w:tc>
      </w:tr>
      <w:tr>
        <w:trPr>
          <w:trHeight w:val="230"/>
        </w:trPr>
        <w:tc>
          <w:tcPr>
            <w:tcW w:w="3260" w:type="dxa"/>
            <w:vAlign w:val="bottom"/>
            <w:gridSpan w:val="2"/>
          </w:tcPr>
          <w:p>
            <w:pPr>
              <w:ind w:left="20"/>
              <w:spacing w:after="0"/>
              <w:rPr>
                <w:sz w:val="20"/>
                <w:szCs w:val="20"/>
                <w:color w:val="auto"/>
              </w:rPr>
            </w:pPr>
            <w:r>
              <w:rPr>
                <w:rFonts w:ascii="Arial" w:cs="Arial" w:eastAsia="Arial" w:hAnsi="Arial"/>
                <w:sz w:val="18"/>
                <w:szCs w:val="18"/>
                <w:color w:val="auto"/>
              </w:rPr>
              <w:t>Military</w:t>
            </w:r>
          </w:p>
        </w:tc>
        <w:tc>
          <w:tcPr>
            <w:tcW w:w="1060" w:type="dxa"/>
            <w:vAlign w:val="bottom"/>
          </w:tcPr>
          <w:p>
            <w:pPr>
              <w:jc w:val="right"/>
              <w:spacing w:after="0"/>
              <w:rPr>
                <w:sz w:val="20"/>
                <w:szCs w:val="20"/>
                <w:color w:val="auto"/>
              </w:rPr>
            </w:pPr>
            <w:r>
              <w:rPr>
                <w:rFonts w:ascii="Arial" w:cs="Arial" w:eastAsia="Arial" w:hAnsi="Arial"/>
                <w:sz w:val="18"/>
                <w:szCs w:val="18"/>
                <w:color w:val="auto"/>
              </w:rPr>
              <w:t>3.0 %</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12,010</w:t>
            </w:r>
          </w:p>
        </w:tc>
        <w:tc>
          <w:tcPr>
            <w:tcW w:w="820" w:type="dxa"/>
            <w:vAlign w:val="bottom"/>
          </w:tcPr>
          <w:p>
            <w:pPr>
              <w:jc w:val="right"/>
              <w:spacing w:after="0"/>
              <w:rPr>
                <w:sz w:val="20"/>
                <w:szCs w:val="20"/>
                <w:color w:val="auto"/>
              </w:rPr>
            </w:pPr>
            <w:r>
              <w:rPr>
                <w:rFonts w:ascii="Arial" w:cs="Arial" w:eastAsia="Arial" w:hAnsi="Arial"/>
                <w:sz w:val="18"/>
                <w:szCs w:val="18"/>
                <w:color w:val="auto"/>
              </w:rPr>
              <w:t>1.2 %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11,714</w:t>
            </w:r>
          </w:p>
        </w:tc>
        <w:tc>
          <w:tcPr>
            <w:tcW w:w="840" w:type="dxa"/>
            <w:vAlign w:val="bottom"/>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30"/>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Fred Meyer</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5,026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5,382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23"/>
        </w:trPr>
        <w:tc>
          <w:tcPr>
            <w:tcW w:w="3260" w:type="dxa"/>
            <w:vAlign w:val="bottom"/>
            <w:gridSpan w:val="2"/>
          </w:tcPr>
          <w:p>
            <w:pPr>
              <w:ind w:left="20"/>
              <w:spacing w:after="0"/>
              <w:rPr>
                <w:sz w:val="20"/>
                <w:szCs w:val="20"/>
                <w:color w:val="auto"/>
              </w:rPr>
            </w:pPr>
            <w:r>
              <w:rPr>
                <w:rFonts w:ascii="Arial" w:cs="Arial" w:eastAsia="Arial" w:hAnsi="Arial"/>
                <w:sz w:val="18"/>
                <w:szCs w:val="18"/>
                <w:color w:val="auto"/>
              </w:rPr>
              <w:t>Owned &amp; Host segment total</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1,216</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989,133</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99.2 %</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916,336</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98.1 %</w:t>
            </w:r>
          </w:p>
        </w:tc>
        <w:tc>
          <w:tcPr>
            <w:tcW w:w="0" w:type="dxa"/>
            <w:vAlign w:val="bottom"/>
          </w:tcPr>
          <w:p>
            <w:pPr>
              <w:spacing w:after="0"/>
              <w:rPr>
                <w:sz w:val="1"/>
                <w:szCs w:val="1"/>
                <w:color w:val="auto"/>
              </w:rPr>
            </w:pPr>
          </w:p>
        </w:tc>
      </w:tr>
      <w:tr>
        <w:trPr>
          <w:trHeight w:val="229"/>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segments revenue</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11,353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16,344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176"/>
        </w:trPr>
        <w:tc>
          <w:tcPr>
            <w:tcW w:w="326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rPr>
              <w:t>Effects of unearned and deferred</w:t>
            </w:r>
          </w:p>
        </w:tc>
        <w:tc>
          <w:tcPr>
            <w:tcW w:w="114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(3,739)</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restart"/>
          </w:tcPr>
          <w:p>
            <w:pPr>
              <w:jc w:val="right"/>
              <w:ind w:right="70"/>
              <w:spacing w:after="0"/>
              <w:rPr>
                <w:sz w:val="20"/>
                <w:szCs w:val="20"/>
                <w:color w:val="auto"/>
              </w:rPr>
            </w:pPr>
            <w:r>
              <w:rPr>
                <w:rFonts w:ascii="Arial" w:cs="Arial" w:eastAsia="Arial" w:hAnsi="Arial"/>
                <w:sz w:val="18"/>
                <w:szCs w:val="18"/>
                <w:color w:val="auto"/>
              </w:rPr>
              <w:t>1,847</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43"/>
        </w:trPr>
        <w:tc>
          <w:tcPr>
            <w:tcW w:w="3260" w:type="dxa"/>
            <w:vAlign w:val="bottom"/>
            <w:gridSpan w:val="2"/>
          </w:tcPr>
          <w:p>
            <w:pPr>
              <w:ind w:left="20"/>
              <w:spacing w:after="0"/>
              <w:rPr>
                <w:sz w:val="20"/>
                <w:szCs w:val="20"/>
                <w:color w:val="auto"/>
              </w:rPr>
            </w:pPr>
            <w:r>
              <w:rPr>
                <w:rFonts w:ascii="Arial" w:cs="Arial" w:eastAsia="Arial" w:hAnsi="Arial"/>
                <w:sz w:val="18"/>
                <w:szCs w:val="18"/>
                <w:b w:val="1"/>
                <w:bCs w:val="1"/>
                <w:color w:val="auto"/>
              </w:rPr>
              <w:t>revenue</w:t>
            </w:r>
          </w:p>
        </w:tc>
        <w:tc>
          <w:tcPr>
            <w:tcW w:w="1140" w:type="dxa"/>
            <w:vAlign w:val="bottom"/>
            <w:gridSpan w:val="2"/>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92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2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996,747</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934,527</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bottom w:val="single" w:sz="8" w:color="CCEEFF"/>
            </w:tcBorders>
            <w:gridSpan w:val="2"/>
            <w:vMerge w:val="restart"/>
          </w:tcPr>
          <w:p>
            <w:pPr>
              <w:ind w:left="20"/>
              <w:spacing w:after="0" w:line="163" w:lineRule="exact"/>
              <w:rPr>
                <w:sz w:val="20"/>
                <w:szCs w:val="20"/>
                <w:color w:val="auto"/>
              </w:rPr>
            </w:pPr>
            <w:r>
              <w:rPr>
                <w:rFonts w:ascii="Arial" w:cs="Arial" w:eastAsia="Arial" w:hAnsi="Arial"/>
                <w:sz w:val="18"/>
                <w:szCs w:val="18"/>
                <w:color w:val="auto"/>
              </w:rPr>
              <w:t>Effect of deferred and unearned</w:t>
            </w:r>
          </w:p>
        </w:tc>
        <w:tc>
          <w:tcPr>
            <w:tcW w:w="10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0.5 %</w:t>
            </w: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260" w:type="dxa"/>
            <w:vAlign w:val="bottom"/>
            <w:gridSpan w:val="2"/>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260" w:type="dxa"/>
            <w:vAlign w:val="bottom"/>
            <w:gridSpan w:val="2"/>
          </w:tcPr>
          <w:p>
            <w:pPr>
              <w:ind w:left="20"/>
              <w:spacing w:after="0"/>
              <w:rPr>
                <w:sz w:val="20"/>
                <w:szCs w:val="20"/>
                <w:color w:val="auto"/>
              </w:rPr>
            </w:pPr>
            <w:r>
              <w:rPr>
                <w:rFonts w:ascii="Arial" w:cs="Arial" w:eastAsia="Arial" w:hAnsi="Arial"/>
                <w:sz w:val="18"/>
                <w:szCs w:val="18"/>
                <w:color w:val="auto"/>
              </w:rPr>
              <w:t>revenue on comparable store sales</w:t>
            </w:r>
          </w:p>
        </w:tc>
        <w:tc>
          <w:tcPr>
            <w:tcW w:w="10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2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Adjusted Comparable Store Sales</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8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Growth from continuing operations</w:t>
            </w:r>
          </w:p>
        </w:tc>
        <w:tc>
          <w:tcPr>
            <w:tcW w:w="10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855"/>
        </w:trPr>
        <w:tc>
          <w:tcPr>
            <w:tcW w:w="3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gridSpan w:val="2"/>
          </w:tcPr>
          <w:p>
            <w:pPr>
              <w:jc w:val="right"/>
              <w:ind w:right="59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1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ind w:left="640" w:hanging="308"/>
        <w:spacing w:after="0"/>
        <w:tabs>
          <w:tab w:leader="none" w:pos="6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calculate total comparable store sales from continuing operations based on consolidated net revenue from continuing operations excluding the impact of</w:t>
      </w:r>
    </w:p>
    <w:p>
      <w:pPr>
        <w:spacing w:after="0" w:line="28" w:lineRule="exact"/>
        <w:rPr>
          <w:rFonts w:ascii="Arial" w:cs="Arial" w:eastAsia="Arial" w:hAnsi="Arial"/>
          <w:sz w:val="14"/>
          <w:szCs w:val="14"/>
          <w:color w:val="auto"/>
        </w:rPr>
      </w:pPr>
    </w:p>
    <w:p>
      <w:pPr>
        <w:ind w:left="660" w:right="720" w:hanging="4"/>
        <w:spacing w:after="0" w:line="257" w:lineRule="auto"/>
        <w:tabs>
          <w:tab w:leader="none" w:pos="828" w:val="left"/>
        </w:tabs>
        <w:numPr>
          <w:ilvl w:val="1"/>
          <w:numId w:val="13"/>
        </w:numPr>
        <w:rPr>
          <w:rFonts w:ascii="Arial" w:cs="Arial" w:eastAsia="Arial" w:hAnsi="Arial"/>
          <w:sz w:val="14"/>
          <w:szCs w:val="14"/>
          <w:color w:val="auto"/>
        </w:rPr>
      </w:pPr>
      <w:r>
        <w:rPr>
          <w:rFonts w:ascii="Arial" w:cs="Arial" w:eastAsia="Arial" w:hAnsi="Arial"/>
          <w:sz w:val="14"/>
          <w:szCs w:val="14"/>
          <w:color w:val="auto"/>
        </w:rPr>
        <w:t>other segments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and net revenue are calculated based on cash basis revenues consistent with what the CODM reviews, and consistent with reportable segment revenues presented in Note 9. “Segment Reporting” in our unaudited condensed consolidated financial statements included in Part I. Item 1. of this Form 10-Q.</w:t>
      </w:r>
    </w:p>
    <w:p>
      <w:pPr>
        <w:spacing w:after="0" w:line="2" w:lineRule="exact"/>
        <w:rPr>
          <w:rFonts w:ascii="Arial" w:cs="Arial" w:eastAsia="Arial" w:hAnsi="Arial"/>
          <w:sz w:val="14"/>
          <w:szCs w:val="14"/>
          <w:color w:val="auto"/>
        </w:rPr>
      </w:pPr>
    </w:p>
    <w:p>
      <w:pPr>
        <w:ind w:left="640" w:hanging="308"/>
        <w:spacing w:after="0"/>
        <w:tabs>
          <w:tab w:leader="none" w:pos="6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Percentages reflect line item as a percentage of net revenue, adjusted for rounding.</w:t>
      </w:r>
    </w:p>
    <w:p>
      <w:pPr>
        <w:spacing w:after="0" w:line="34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Total net revenue of $996.7 million for the six months ended June 28, 2025 increased $62.2 million, or 6.7%, from $934.5 million for the six months ended June 29, 2024. Of the $62.2 million increase, approximately 80% was driven by Adjusted Comparable Store Sales Growth from continuing operations and approximately 50% of the increase was driven by growth from new store sales, partially offset by approximately 20% from closed stores and approximately 10% by effects of unearned revenue for the period. Net revenue includes a negative (0.5)% impact from the timing of unearned revenue for the six months ended June 28, 2025 as compared to six months ended June 29, 2024.</w:t>
      </w:r>
    </w:p>
    <w:p>
      <w:pPr>
        <w:spacing w:after="0" w:line="7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Comparable store sales growth from continuing operations and Adjusted Comparable Store Sales Growth from continuing operations for the six months ended June 28, 2025 were 5.2% and 5.7%, respectively, both reflecting a higher average ticket, a slight increase in customer traffic and continued strength in the Company’s managed care cohort.</w:t>
      </w:r>
    </w:p>
    <w:p>
      <w:pPr>
        <w:spacing w:after="0" w:line="63"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In the six months ended June 28, 2025, we opened 17 new America’s Best stores, closed nine Fred Meyer stores and eight America’s Best stores. We also converted four Eyeglass World stores to America’s Best stores from June 29, 2024 to June 28, 2025. Overall, store count grew 2.0% from June 29, 2024 to June 28, 2025 (exclusive of the aforementioned conversions, we had 38 net new America’s Best stores, nine net closures of Fred Meyer stores, four net closures of Eyeglass World stores, and one net closure of a Military store).</w:t>
      </w:r>
    </w:p>
    <w:p>
      <w:pPr>
        <w:spacing w:after="0" w:line="6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Net product sales comprised 81.0% and 80.3% of total net revenue for the six months ended June 28, 2025 and June 29, 2024, respectively. Net product sales increased $57.3 million, or 7.6%, in the six months ended June 28, 2025 compared to the six months ended June 29, 2024, primarily due to pricing and product mix initiatives in eyeglass sales of $51.5 million, contact lens sales of $4.6 million and other add-on sales.</w:t>
      </w:r>
    </w:p>
    <w:p>
      <w:pPr>
        <w:spacing w:after="0" w:line="68"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Net sales of services and plans for the six months ended June 28, 2025 increased $4.9 million, or 2.7%, compared to the six months ended June 29, 2024, driven primarily by higher exam revenues of $5.3 million, or 4.4%.</w:t>
      </w:r>
    </w:p>
    <w:p>
      <w:pPr>
        <w:spacing w:after="0" w:line="45" w:lineRule="exact"/>
        <w:rPr>
          <w:sz w:val="20"/>
          <w:szCs w:val="20"/>
          <w:color w:val="auto"/>
        </w:rPr>
      </w:pPr>
    </w:p>
    <w:p>
      <w:pPr>
        <w:ind w:left="340" w:right="240"/>
        <w:spacing w:after="0" w:line="287" w:lineRule="auto"/>
        <w:rPr>
          <w:sz w:val="20"/>
          <w:szCs w:val="20"/>
          <w:color w:val="auto"/>
        </w:rPr>
      </w:pPr>
      <w:r>
        <w:rPr>
          <w:rFonts w:ascii="Arial" w:cs="Arial" w:eastAsia="Arial" w:hAnsi="Arial"/>
          <w:sz w:val="18"/>
          <w:szCs w:val="18"/>
          <w:i w:val="1"/>
          <w:iCs w:val="1"/>
          <w:color w:val="auto"/>
        </w:rPr>
        <w:t xml:space="preserve">Owned &amp; Host segment net revenue. </w:t>
      </w:r>
      <w:r>
        <w:rPr>
          <w:rFonts w:ascii="Arial" w:cs="Arial" w:eastAsia="Arial" w:hAnsi="Arial"/>
          <w:sz w:val="18"/>
          <w:szCs w:val="18"/>
          <w:color w:val="auto"/>
        </w:rPr>
        <w:t>Net revenue increased $72.8 million, or 7.9%, driven primarily by comparable store sales growth</w:t>
      </w:r>
      <w:r>
        <w:rPr>
          <w:rFonts w:ascii="Arial" w:cs="Arial" w:eastAsia="Arial" w:hAnsi="Arial"/>
          <w:sz w:val="18"/>
          <w:szCs w:val="18"/>
          <w:i w:val="1"/>
          <w:iCs w:val="1"/>
          <w:color w:val="auto"/>
        </w:rPr>
        <w:t xml:space="preserve"> </w:t>
      </w:r>
      <w:r>
        <w:rPr>
          <w:rFonts w:ascii="Arial" w:cs="Arial" w:eastAsia="Arial" w:hAnsi="Arial"/>
          <w:sz w:val="18"/>
          <w:szCs w:val="18"/>
          <w:color w:val="auto"/>
        </w:rPr>
        <w:t>and new store openings, partially offset by closed stores.</w:t>
      </w:r>
    </w:p>
    <w:p>
      <w:pPr>
        <w:spacing w:after="0" w:line="45" w:lineRule="exact"/>
        <w:rPr>
          <w:sz w:val="20"/>
          <w:szCs w:val="20"/>
          <w:color w:val="auto"/>
        </w:rPr>
      </w:pPr>
    </w:p>
    <w:p>
      <w:pPr>
        <w:ind w:left="340" w:right="300"/>
        <w:spacing w:after="0" w:line="268" w:lineRule="auto"/>
        <w:rPr>
          <w:sz w:val="20"/>
          <w:szCs w:val="20"/>
          <w:color w:val="auto"/>
        </w:rPr>
      </w:pPr>
      <w:r>
        <w:rPr>
          <w:rFonts w:ascii="Arial" w:cs="Arial" w:eastAsia="Arial" w:hAnsi="Arial"/>
          <w:sz w:val="18"/>
          <w:szCs w:val="18"/>
          <w:i w:val="1"/>
          <w:iCs w:val="1"/>
          <w:color w:val="auto"/>
        </w:rPr>
        <w:t xml:space="preserve">Effects of unearned and deferred revenue. </w:t>
      </w:r>
      <w:r>
        <w:rPr>
          <w:rFonts w:ascii="Arial" w:cs="Arial" w:eastAsia="Arial" w:hAnsi="Arial"/>
          <w:sz w:val="18"/>
          <w:szCs w:val="18"/>
          <w:color w:val="auto"/>
        </w:rPr>
        <w:t>Unearned and deferred revenue negatively impacted net revenue by $5.6 million in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28, 2025 compared to the six months ended June 29, 2024, primarily driven by $4.6 million due to the timing of unearned revenue.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applicable to revenue</w:t>
      </w:r>
    </w:p>
    <w:p>
      <w:pPr>
        <w:spacing w:after="0" w:line="11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Costs applicable to revenue of $405.6 million for the six months ended June 28, 2025 increased $16.4 million, or 4.2%, from $389.1 million for the six months ended June 29, 2024. As a percentage of net revenue, costs applicable to revenue decreased from 41.6% for the six months ended June 29, 2024 to 40.7% for the six months ended June 28, 2025. This decrease of 90 basis points as a percentage of net revenue was primarily driven by a margin improvement of 60 basis points for eyeglass frames, lenses and bundled packages, a favorable shift in product and services mix related to average customer ticket of 80 basis points and leveraging of optometrist-related costs of 20 basis points, partially offset by lower growth in eye exam margin and other add-ons revenue margin of 60 basis points and a 10 basis point decrease in margins of contact lenses.</w:t>
      </w:r>
    </w:p>
    <w:p>
      <w:pPr>
        <w:spacing w:after="0" w:line="7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Costs of products as a percentage of net product sales decreased from 29.9% for the six months ended June 29, 2024 to 28.7% for the six months ended June 28, 2025 primarily driven by margin improvement of eyeglass frames, lenses and bundled packages and a favorable product mix shift related to average customer ticket, partially offset by a slight decrease in margins of contact lenses.</w:t>
      </w:r>
    </w:p>
    <w:p>
      <w:pPr>
        <w:spacing w:after="0" w:line="63" w:lineRule="exact"/>
        <w:rPr>
          <w:sz w:val="20"/>
          <w:szCs w:val="20"/>
          <w:color w:val="auto"/>
        </w:rPr>
      </w:pPr>
    </w:p>
    <w:p>
      <w:pPr>
        <w:jc w:val="both"/>
        <w:ind w:left="340" w:right="380"/>
        <w:spacing w:after="0" w:line="268" w:lineRule="auto"/>
        <w:rPr>
          <w:sz w:val="20"/>
          <w:szCs w:val="20"/>
          <w:color w:val="auto"/>
        </w:rPr>
      </w:pPr>
      <w:r>
        <w:rPr>
          <w:rFonts w:ascii="Arial" w:cs="Arial" w:eastAsia="Arial" w:hAnsi="Arial"/>
          <w:sz w:val="18"/>
          <w:szCs w:val="18"/>
          <w:i w:val="1"/>
          <w:iCs w:val="1"/>
          <w:color w:val="auto"/>
        </w:rPr>
        <w:t xml:space="preserve">Owned &amp; Host segment costs of products. </w:t>
      </w:r>
      <w:r>
        <w:rPr>
          <w:rFonts w:ascii="Arial" w:cs="Arial" w:eastAsia="Arial" w:hAnsi="Arial"/>
          <w:sz w:val="18"/>
          <w:szCs w:val="18"/>
          <w:color w:val="auto"/>
        </w:rPr>
        <w:t>Costs of products as a percentage of net product sales decreased from 28.9%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29, 2024 to 27.8% for the six months ended June 28, 2025, primarily driven by margin improvement of eyeglass frames, lenses and bundled packages, partially offset by a slight decrease in margins of contact lenses.</w:t>
      </w:r>
    </w:p>
    <w:p>
      <w:pPr>
        <w:spacing w:after="0" w:line="63" w:lineRule="exact"/>
        <w:rPr>
          <w:sz w:val="20"/>
          <w:szCs w:val="20"/>
          <w:color w:val="auto"/>
        </w:rPr>
      </w:pPr>
    </w:p>
    <w:p>
      <w:pPr>
        <w:jc w:val="both"/>
        <w:ind w:right="320"/>
        <w:spacing w:after="0" w:line="268" w:lineRule="auto"/>
        <w:rPr>
          <w:sz w:val="20"/>
          <w:szCs w:val="20"/>
          <w:color w:val="auto"/>
        </w:rPr>
      </w:pPr>
      <w:r>
        <w:rPr>
          <w:rFonts w:ascii="Arial" w:cs="Arial" w:eastAsia="Arial" w:hAnsi="Arial"/>
          <w:sz w:val="18"/>
          <w:szCs w:val="18"/>
          <w:color w:val="auto"/>
        </w:rPr>
        <w:t>Costs of services and plans as a percentage of net sales of services and plans increased from 89.3% for the six months ended June 29, 2024 to 91.9% for the six months ended June 28, 2025. The increase was primarily driven by lower growth in eye exam margin and other add-ons revenue.</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both"/>
        <w:ind w:left="340" w:right="400"/>
        <w:spacing w:after="0" w:line="268" w:lineRule="auto"/>
        <w:rPr>
          <w:sz w:val="20"/>
          <w:szCs w:val="20"/>
          <w:color w:val="auto"/>
        </w:rPr>
      </w:pPr>
      <w:r>
        <w:rPr>
          <w:rFonts w:ascii="Arial" w:cs="Arial" w:eastAsia="Arial" w:hAnsi="Arial"/>
          <w:sz w:val="18"/>
          <w:szCs w:val="18"/>
          <w:i w:val="1"/>
          <w:iCs w:val="1"/>
          <w:color w:val="auto"/>
        </w:rPr>
        <w:t xml:space="preserve">Owned &amp; Host segment costs of services and plans. </w:t>
      </w:r>
      <w:r>
        <w:rPr>
          <w:rFonts w:ascii="Arial" w:cs="Arial" w:eastAsia="Arial" w:hAnsi="Arial"/>
          <w:sz w:val="18"/>
          <w:szCs w:val="18"/>
          <w:color w:val="auto"/>
        </w:rPr>
        <w:t>Costs of services and plans as a percentage of net sales of services and plans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from 88.3% for the six months ended June 29, 2024 to 90.4% for the six months ended June 28, 2025. The increase was primarily driven by lower growth in eye exam margin and other add-ons revenue.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SG&amp;A of $502.7 million for the six months ended June 28, 2025 increased $31.2 million, or 6.6%, from the six months ended June 29, 2024. As a percentage of net revenue, SG&amp;A decreased from 50.5% for the six months ended June 29, 2024 to 50.4% for the six months ended June 28, 2025. SG&amp;A as a percentage of net revenue was impacted by lower advertising investments of 60 basis points and a non-recurring litigation settlement from prior year of 50 basis points and other expenses of 10 basis points, partially offset by increases in variable incentive compensation expenses of 60 basis points primarily related to revenue and profitability growth and an increase in stock-based compensation of 50 basis points.</w:t>
      </w:r>
    </w:p>
    <w:p>
      <w:pPr>
        <w:spacing w:after="0" w:line="74" w:lineRule="exact"/>
        <w:rPr>
          <w:sz w:val="20"/>
          <w:szCs w:val="20"/>
          <w:color w:val="auto"/>
        </w:rPr>
      </w:pPr>
    </w:p>
    <w:p>
      <w:pPr>
        <w:ind w:left="340" w:right="180"/>
        <w:spacing w:after="0" w:line="287" w:lineRule="auto"/>
        <w:rPr>
          <w:sz w:val="20"/>
          <w:szCs w:val="20"/>
          <w:color w:val="auto"/>
        </w:rPr>
      </w:pPr>
      <w:r>
        <w:rPr>
          <w:rFonts w:ascii="Arial" w:cs="Arial" w:eastAsia="Arial" w:hAnsi="Arial"/>
          <w:sz w:val="18"/>
          <w:szCs w:val="18"/>
          <w:i w:val="1"/>
          <w:iCs w:val="1"/>
          <w:color w:val="auto"/>
        </w:rPr>
        <w:t xml:space="preserve">Owned &amp; Host SG&amp;A. </w:t>
      </w:r>
      <w:r>
        <w:rPr>
          <w:rFonts w:ascii="Arial" w:cs="Arial" w:eastAsia="Arial" w:hAnsi="Arial"/>
          <w:sz w:val="18"/>
          <w:szCs w:val="18"/>
          <w:color w:val="auto"/>
        </w:rPr>
        <w:t>SG&amp;A as a percentage of net revenue decreased from 38.6% for the six months ended June 29, 2024 to 37.3%</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six months ended June 28, 2025, driven primarily by lower advertising investments and other operating expenses.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5"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Depreciation and amortization expense of $45.5 million for the six months ended June 28, 2025 decreased $0.4 million, or 0.9%, from $45.9 million for the six months ended June 29, 2024 primarily driven by lower amortization of intangible assets.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w:t>
      </w:r>
    </w:p>
    <w:p>
      <w:pPr>
        <w:spacing w:after="0" w:line="11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recognized $0.5 million primarily for impairment related to tangible long-lived assets and ROU assets associated with our retail stores during the six months ended June 28, 2025, compared to $ 4.0 million impairment recognized during the six months ended June 29, 2024 for tangible long-lived assets and ROU assets associated with our retail stores. The store asset impairment charge is related to our Owned &amp; Host segment and is driven by lower than projected customer sales and profitability in certain stores, and other entity-specific assumptions. We considered multiple factors including, but not limited to: forecasted scenarios related to store performance and the likelihood that these scenarios would be ultimately realized; and the remaining useful lives of the assets. Asset impairment expenses were recognized in corporate and other.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5"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Interest expense, net was $8.8 million for the six months ended June 28, 2025, compared to $7.5 million for the six months ended June 29, 2024. The change was primarily a result of lower income on cash balances of $2.1 million, partially offset by lower interest expense on our debt of $0.7 million.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15"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Our effective tax rates for the six months ended June 28, 2025 and June 29, 2024 were 32.2% and 35.4%, respectively. The change in effective tax rates reflects tax impacts of consolidated VIEs, non-deductible compensation, discrete effects related to stock-based compensation and other effects of permanent items.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11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Loss from discontinued operations, net of tax, of $2.2 million for the six months ended June 29, 2024 represents loss prior to the termination of our partnership with Walmart and the wind-down of the AC Lens operations. There were no discontinued operations results for the six months ended June 28, 2025.</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Operating Income, Adjusted Operating Margin, EBITDA, Adjusted EBITDA, Adjusted EBITDA Margin and Adjusted Diluted EPS</w:t>
      </w:r>
    </w:p>
    <w:p>
      <w:pPr>
        <w:spacing w:after="0" w:line="11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refer to these measures as the “Company Non-GAAP Measures.” We define Adjusted Operating Income as net income (loss), plus interest expense (income), net and income tax provision (benefit), further adjusted to exclude stock-based compensation expense, (gain) loss on extinguishment of debt, asset impairment, litigation settlement, secondary offering expenses, management realignment expenses, long-term incentive plan expenses, amortization of acquisition intangibles, ERP and CRM implementation expenses, shareholder activism costs, severance and employee-related costs associated with organizational restructuring and certain other expenses. We define Adjusted Operating Margin as Adjusted Operating Income as a percentage of net revenue. We define EBITDA as net income (loss), plus interest expense (income), net, income tax provision (benefit) and depreciation and amortization. We define Adjusted EBITDA as</w:t>
      </w: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net income (loss), plus interest expense (income), net, income tax provision (benefit) and depreciation and amortization, further adjusted to exclude stock-based compensation expense, (gain) loss on extinguishment of debt, asset impairment, litigation settlement, secondary offering expenses, management realignment expenses, long-term incentive plan expenses, amortization of acquisition intangibles, ERP and CRM implementation expenses, shareholder activism, severance and employee-related costs associated with restructuring and certain other expenses. We define Adjusted EBITDA Margin as Adjusted EBITDA as a percentage of net revenue. We define Adjusted Diluted EPS as diluted earnings (loss) per share, adjusted for the per share impact of stock-based compensation expense, (gain) loss on extinguishment of debt, asset impairment, litigation settlement, secondary offering expenses, management realignment expenses, long-term incentive plan expenses, amortization of debt discounts and deferred financing costs of our term loan borrowings, amortization of the conversion feature and deferred financing costs related to our 2025 Notes when not required under U.S. GAAP to be added back for diluted earnings (loss) per share, derivative fair value adjustments, ERP and CRM implementation expenses, shareholder activism, severance and employee-related costs associated with restructuring, and certain other expenses, less the tax effect of these adjustments, including tax expense (benefit) from stock-based compensation.</w:t>
      </w:r>
    </w:p>
    <w:p>
      <w:pPr>
        <w:spacing w:after="0" w:line="8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When presenting Adjusted Operating Income from continuing operations, EBITDA from continuing operations and Adjusted EBITDA from continuing operations we use the same definitions for Adjusted Operating Income, EBITDA and Adjusted EBITDA, respectively, and also exclude income (loss) from discontinued operations, net of tax. When presenting Adjusted Diluted EPS from continuing operations, we use the same definition for Adjusted Diluted EPS, and also exclude diluted earnings (loss) per share from discontinued operations. When presenting Adjusted Operating Margin from continuing operations, we use Adjusted Operating Income from continuing operations as a percentage of total net revenue. When presenting Adjusted EBITDA Margin from continuing operations, we use Adjusted EBITDA from continuing operations as a percentage of total net revenue.</w:t>
      </w:r>
    </w:p>
    <w:p>
      <w:pPr>
        <w:spacing w:after="0" w:line="75"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The Company Non-GAAP Measures can vary substantially in size from one period to the next, and certain types of expenses are non-recurring in nature and consequently may not have been incurred in any of the periods presented below.</w:t>
      </w:r>
    </w:p>
    <w:p>
      <w:pPr>
        <w:spacing w:after="0" w:line="45" w:lineRule="exact"/>
        <w:rPr>
          <w:sz w:val="20"/>
          <w:szCs w:val="20"/>
          <w:color w:val="auto"/>
        </w:rPr>
      </w:pPr>
    </w:p>
    <w:p>
      <w:pPr>
        <w:jc w:val="both"/>
        <w:ind w:right="200"/>
        <w:spacing w:after="0" w:line="272" w:lineRule="auto"/>
        <w:rPr>
          <w:sz w:val="20"/>
          <w:szCs w:val="20"/>
          <w:color w:val="auto"/>
        </w:rPr>
      </w:pPr>
      <w:r>
        <w:rPr>
          <w:rFonts w:ascii="Arial" w:cs="Arial" w:eastAsia="Arial" w:hAnsi="Arial"/>
          <w:sz w:val="17"/>
          <w:szCs w:val="17"/>
          <w:color w:val="auto"/>
        </w:rPr>
        <w:t>The Company Non-GAAP Measures have been presented as supplemental measures of financial performance that are not required by, or presented in accordance with U.S. GAAP, because we believe they assist investors and analysts in comparing our operating performance across reporting periods on a consistent basis by excluding items that we do not believe are indicative of our core operating performance.</w:t>
      </w:r>
    </w:p>
    <w:p>
      <w:pPr>
        <w:spacing w:after="0" w:line="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Management believes The Company Non-GAAP Measures are useful to investors in highlighting trends in our operating performance, while other measures can differ significantly depending on long-term strategic decisions regarding capital structure, the tax jurisdictions in which we operate and capital investments. We also use The Company Non-GAAP Measures to supplement U.S.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U.S. GAAP results with Non-GAAP financial measures to provide a more complete understanding of the factors and trends affecting the business than U.S. GAAP results alone. We continue to evaluate our use of the Company Non-GAAP measures in the context of the development of our business, and may introduce or discontinue certain measures in the future as we deem appropriate.</w:t>
      </w:r>
    </w:p>
    <w:p>
      <w:pPr>
        <w:spacing w:after="0" w:line="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Non-GAAP Measures are not recognized terms under U.S. GAAP and should not be considered as an alternative to net income or income from operations as a measure of financial performance or cash flows provided by operating activities as a measure of liquidity, or any other performance measure derived in accordance with U.S. GAAP. Additionally, these measures are not intended to be a measure of free cash flow available for management’s discretionary use as they do not consider certain cash requirements such as interest payments, tax payments and debt service requirements. In evaluating The Company Non-GAAP Measures, we may incur expenses in the future that are the same as or similar to some of the adjustments in this presentation. Our presentation of The Company Non-GAAP Measures should not be construed to imply that our future results will be unaffected by any such adjustments. Management compensates for these limitations by primarily relying on our U.S. GAAP results in addition to using The Company Non-GAAP Measures.</w:t>
      </w:r>
    </w:p>
    <w:p>
      <w:pPr>
        <w:spacing w:after="0" w:line="77"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The presentations of these measures have limitations as analytical tools and should not be considered in isolation, or as a substitute for analysis of our results as reported under U.S. GAAP. Some of these limitations are:</w:t>
      </w:r>
    </w:p>
    <w:p>
      <w:pPr>
        <w:spacing w:after="0" w:line="4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they do not reflect costs or cash outlays for capital expenditures or contractual commitments;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they do not reflect changes in, or cash requirements for, our working capital needs;</w:t>
      </w:r>
    </w:p>
    <w:p>
      <w:pPr>
        <w:spacing w:after="0" w:line="9" w:lineRule="exact"/>
        <w:rPr>
          <w:rFonts w:ascii="Arial" w:cs="Arial" w:eastAsia="Arial" w:hAnsi="Arial"/>
          <w:sz w:val="18"/>
          <w:szCs w:val="18"/>
          <w:color w:val="auto"/>
        </w:rPr>
      </w:pPr>
    </w:p>
    <w:p>
      <w:pPr>
        <w:ind w:left="660" w:right="94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EBITDA, Adjusted EBITDA and Adjusted Operating Income do not reflect the interest expense (income), net, or the cash requirements necessary to service interest or principal payments, on our debt;</w:t>
      </w:r>
    </w:p>
    <w:p>
      <w:pPr>
        <w:ind w:left="660" w:right="60" w:hanging="328"/>
        <w:spacing w:after="0" w:line="266"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EBITDA, Adjusted EBITDA and Adjusted Operating Income do not reflect period to period changes in taxes, income tax provision or the cash necessary to pay income taxes;</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left="660" w:right="880" w:hanging="328"/>
        <w:spacing w:after="0" w:line="26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they do not reflect the impact of earnings or charges resulting from matters we consider not to be indicative of our ongoing operations;</w:t>
      </w:r>
    </w:p>
    <w:p>
      <w:pPr>
        <w:spacing w:after="0" w:line="1" w:lineRule="exact"/>
        <w:rPr>
          <w:rFonts w:ascii="Arial" w:cs="Arial" w:eastAsia="Arial" w:hAnsi="Arial"/>
          <w:sz w:val="18"/>
          <w:szCs w:val="18"/>
          <w:color w:val="auto"/>
        </w:rPr>
      </w:pPr>
    </w:p>
    <w:p>
      <w:pPr>
        <w:ind w:left="660" w:right="46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EBITDA and Adjusted EBITDA do not reflect cash requirements for such replacements; and</w:t>
      </w:r>
    </w:p>
    <w:p>
      <w:pPr>
        <w:ind w:left="660" w:right="600" w:hanging="328"/>
        <w:spacing w:after="0" w:line="266"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companies in our industry may calculate these measures differently than we do, limiting their usefulness as comparative measures.</w:t>
      </w:r>
    </w:p>
    <w:p>
      <w:pPr>
        <w:spacing w:after="0" w:line="63"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Because of these limitations, The Company Non-GAAP Measures should not be considered as measures of discretionary cash available to invest in business growth or to reduce indebtedness.</w:t>
      </w:r>
    </w:p>
    <w:p>
      <w:pPr>
        <w:spacing w:after="0" w:line="4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following table reconciles our Adjusted Operating Income from continuing operations, Adjusted Operating Margin from continuing operations, EBITDA from continuing operations, Adjusted EBITDA from continuing operations, and Adjusted EBITDA Margin from continuing operations to net income (loss) from continuing operations; and Adjusted Diluted EPS from continuing operations to diluted EPS from continuing operations for the periods presented: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6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w w:val="98"/>
              </w:rPr>
              <w:t>Three Months Ended</w:t>
            </w: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color w:val="auto"/>
              </w:rPr>
              <w:t>Six Months Ended</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19"/>
                <w:szCs w:val="19"/>
                <w:color w:val="auto"/>
              </w:rPr>
            </w:pPr>
          </w:p>
        </w:tc>
        <w:tc>
          <w:tcPr>
            <w:tcW w:w="1600" w:type="dxa"/>
            <w:vAlign w:val="bottom"/>
            <w:gridSpan w:val="3"/>
          </w:tcPr>
          <w:p>
            <w:pPr>
              <w:ind w:left="100"/>
              <w:spacing w:after="0"/>
              <w:rPr>
                <w:sz w:val="20"/>
                <w:szCs w:val="20"/>
                <w:color w:val="auto"/>
              </w:rPr>
            </w:pPr>
            <w:r>
              <w:rPr>
                <w:rFonts w:ascii="Arial" w:cs="Arial" w:eastAsia="Arial" w:hAnsi="Arial"/>
                <w:sz w:val="18"/>
                <w:szCs w:val="18"/>
                <w:color w:val="auto"/>
              </w:rPr>
              <w:t>June 28, 2025</w:t>
            </w:r>
          </w:p>
        </w:tc>
        <w:tc>
          <w:tcPr>
            <w:tcW w:w="180" w:type="dxa"/>
            <w:vAlign w:val="bottom"/>
          </w:tcPr>
          <w:p>
            <w:pPr>
              <w:spacing w:after="0"/>
              <w:rPr>
                <w:sz w:val="19"/>
                <w:szCs w:val="19"/>
                <w:color w:val="auto"/>
              </w:rPr>
            </w:pPr>
          </w:p>
        </w:tc>
        <w:tc>
          <w:tcPr>
            <w:tcW w:w="1500" w:type="dxa"/>
            <w:vAlign w:val="bottom"/>
            <w:gridSpan w:val="2"/>
          </w:tcPr>
          <w:p>
            <w:pPr>
              <w:jc w:val="right"/>
              <w:ind w:right="190"/>
              <w:spacing w:after="0"/>
              <w:rPr>
                <w:sz w:val="20"/>
                <w:szCs w:val="20"/>
                <w:color w:val="auto"/>
              </w:rPr>
            </w:pPr>
            <w:r>
              <w:rPr>
                <w:rFonts w:ascii="Arial" w:cs="Arial" w:eastAsia="Arial" w:hAnsi="Arial"/>
                <w:sz w:val="18"/>
                <w:szCs w:val="18"/>
                <w:color w:val="auto"/>
              </w:rPr>
              <w:t>June 29, 2024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gridSpan w:val="3"/>
          </w:tcPr>
          <w:p>
            <w:pPr>
              <w:ind w:left="160"/>
              <w:spacing w:after="0"/>
              <w:rPr>
                <w:sz w:val="20"/>
                <w:szCs w:val="20"/>
                <w:color w:val="auto"/>
              </w:rPr>
            </w:pPr>
            <w:r>
              <w:rPr>
                <w:rFonts w:ascii="Arial" w:cs="Arial" w:eastAsia="Arial" w:hAnsi="Arial"/>
                <w:sz w:val="18"/>
                <w:szCs w:val="18"/>
                <w:color w:val="auto"/>
              </w:rPr>
              <w:t>June 28, 2025</w:t>
            </w:r>
          </w:p>
        </w:tc>
        <w:tc>
          <w:tcPr>
            <w:tcW w:w="260" w:type="dxa"/>
            <w:vAlign w:val="bottom"/>
          </w:tcPr>
          <w:p>
            <w:pPr>
              <w:spacing w:after="0"/>
              <w:rPr>
                <w:sz w:val="19"/>
                <w:szCs w:val="19"/>
                <w:color w:val="auto"/>
              </w:rPr>
            </w:pPr>
          </w:p>
        </w:tc>
        <w:tc>
          <w:tcPr>
            <w:tcW w:w="1740" w:type="dxa"/>
            <w:vAlign w:val="bottom"/>
            <w:gridSpan w:val="2"/>
          </w:tcPr>
          <w:p>
            <w:pPr>
              <w:ind w:left="180"/>
              <w:spacing w:after="0"/>
              <w:rPr>
                <w:sz w:val="20"/>
                <w:szCs w:val="20"/>
                <w:color w:val="auto"/>
              </w:rPr>
            </w:pPr>
            <w:r>
              <w:rPr>
                <w:rFonts w:ascii="Arial" w:cs="Arial" w:eastAsia="Arial" w:hAnsi="Arial"/>
                <w:sz w:val="18"/>
                <w:szCs w:val="18"/>
                <w:color w:val="auto"/>
              </w:rPr>
              <w:t>June 29, 2024</w:t>
            </w:r>
          </w:p>
        </w:tc>
        <w:tc>
          <w:tcPr>
            <w:tcW w:w="0" w:type="dxa"/>
            <w:vAlign w:val="bottom"/>
          </w:tcPr>
          <w:p>
            <w:pPr>
              <w:spacing w:after="0"/>
              <w:rPr>
                <w:sz w:val="1"/>
                <w:szCs w:val="1"/>
                <w:color w:val="auto"/>
              </w:rPr>
            </w:pPr>
          </w:p>
        </w:tc>
      </w:tr>
      <w:tr>
        <w:trPr>
          <w:trHeight w:val="223"/>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8,725</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(3,125)</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22,911</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8,560</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176"/>
        </w:trPr>
        <w:tc>
          <w:tcPr>
            <w:tcW w:w="3640" w:type="dxa"/>
            <w:vAlign w:val="bottom"/>
          </w:tcPr>
          <w:p>
            <w:pPr>
              <w:ind w:left="20"/>
              <w:spacing w:after="0" w:line="176" w:lineRule="exact"/>
              <w:rPr>
                <w:sz w:val="20"/>
                <w:szCs w:val="20"/>
                <w:color w:val="auto"/>
              </w:rPr>
            </w:pPr>
            <w:r>
              <w:rPr>
                <w:rFonts w:ascii="Arial" w:cs="Arial" w:eastAsia="Arial" w:hAnsi="Arial"/>
                <w:sz w:val="18"/>
                <w:szCs w:val="18"/>
                <w:color w:val="auto"/>
              </w:rPr>
              <w:t>Loss from discontinued operations, net of tax</w:t>
            </w:r>
          </w:p>
        </w:tc>
        <w:tc>
          <w:tcPr>
            <w:tcW w:w="1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(2,084)</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5"/>
                <w:szCs w:val="15"/>
                <w:color w:val="auto"/>
              </w:rPr>
            </w:pPr>
          </w:p>
        </w:tc>
        <w:tc>
          <w:tcPr>
            <w:tcW w:w="760" w:type="dxa"/>
            <w:vAlign w:val="bottom"/>
            <w:vMerge w:val="restart"/>
          </w:tcPr>
          <w:p>
            <w:pPr>
              <w:ind w:left="180"/>
              <w:spacing w:after="0"/>
              <w:rPr>
                <w:sz w:val="20"/>
                <w:szCs w:val="20"/>
                <w:color w:val="auto"/>
              </w:rPr>
            </w:pPr>
            <w:r>
              <w:rPr>
                <w:rFonts w:ascii="Arial" w:cs="Arial" w:eastAsia="Arial" w:hAnsi="Arial"/>
                <w:sz w:val="18"/>
                <w:szCs w:val="18"/>
                <w:color w:val="auto"/>
                <w:w w:val="98"/>
              </w:rPr>
              <w:t>(2,152)</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(See Note 2)</w:t>
            </w: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vMerge w:val="continue"/>
          </w:tcPr>
          <w:p>
            <w:pPr>
              <w:spacing w:after="0"/>
              <w:rPr>
                <w:sz w:val="21"/>
                <w:szCs w:val="21"/>
                <w:color w:val="auto"/>
              </w:rPr>
            </w:pPr>
          </w:p>
        </w:tc>
        <w:tc>
          <w:tcPr>
            <w:tcW w:w="900" w:type="dxa"/>
            <w:vAlign w:val="bottom"/>
            <w:tcBorders>
              <w:bottom w:val="single" w:sz="8" w:color="CCEEFF"/>
            </w:tcBorders>
            <w:gridSpan w:val="2"/>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vMerge w:val="continue"/>
          </w:tcPr>
          <w:p>
            <w:pPr>
              <w:spacing w:after="0"/>
              <w:rPr>
                <w:sz w:val="21"/>
                <w:szCs w:val="21"/>
                <w:color w:val="auto"/>
              </w:rPr>
            </w:pPr>
          </w:p>
        </w:tc>
        <w:tc>
          <w:tcPr>
            <w:tcW w:w="800" w:type="dxa"/>
            <w:vAlign w:val="bottom"/>
            <w:tcBorders>
              <w:bottom w:val="single" w:sz="8" w:color="CCEEFF"/>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vMerge w:val="continue"/>
          </w:tcPr>
          <w:p>
            <w:pPr>
              <w:spacing w:after="0"/>
              <w:rPr>
                <w:sz w:val="21"/>
                <w:szCs w:val="21"/>
                <w:color w:val="auto"/>
              </w:rPr>
            </w:pPr>
          </w:p>
        </w:tc>
        <w:tc>
          <w:tcPr>
            <w:tcW w:w="1040" w:type="dxa"/>
            <w:vAlign w:val="bottom"/>
            <w:tcBorders>
              <w:bottom w:val="single" w:sz="8" w:color="CCEEFF"/>
            </w:tcBorders>
            <w:gridSpan w:val="2"/>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vMerge w:val="continue"/>
          </w:tcPr>
          <w:p>
            <w:pPr>
              <w:spacing w:after="0"/>
              <w:rPr>
                <w:sz w:val="21"/>
                <w:szCs w:val="21"/>
                <w:color w:val="auto"/>
              </w:rPr>
            </w:pPr>
          </w:p>
        </w:tc>
        <w:tc>
          <w:tcPr>
            <w:tcW w:w="980" w:type="dxa"/>
            <w:vAlign w:val="bottom"/>
            <w:tcBorders>
              <w:bottom w:val="single" w:sz="8" w:color="CCEEFF"/>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from continuing operations</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4,210</w:t>
            </w:r>
          </w:p>
        </w:tc>
        <w:tc>
          <w:tcPr>
            <w:tcW w:w="820" w:type="dxa"/>
            <w:vAlign w:val="bottom"/>
          </w:tcPr>
          <w:p>
            <w:pPr>
              <w:jc w:val="right"/>
              <w:spacing w:after="0"/>
              <w:rPr>
                <w:sz w:val="20"/>
                <w:szCs w:val="20"/>
                <w:color w:val="auto"/>
              </w:rPr>
            </w:pPr>
            <w:r>
              <w:rPr>
                <w:rFonts w:ascii="Arial" w:cs="Arial" w:eastAsia="Arial" w:hAnsi="Arial"/>
                <w:sz w:val="18"/>
                <w:szCs w:val="18"/>
                <w:color w:val="auto"/>
              </w:rPr>
              <w:t>0.9 %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3,196</w:t>
            </w:r>
          </w:p>
        </w:tc>
        <w:tc>
          <w:tcPr>
            <w:tcW w:w="800" w:type="dxa"/>
            <w:vAlign w:val="bottom"/>
          </w:tcPr>
          <w:p>
            <w:pPr>
              <w:jc w:val="right"/>
              <w:spacing w:after="0"/>
              <w:rPr>
                <w:sz w:val="20"/>
                <w:szCs w:val="20"/>
                <w:color w:val="auto"/>
              </w:rPr>
            </w:pPr>
            <w:r>
              <w:rPr>
                <w:rFonts w:ascii="Arial" w:cs="Arial" w:eastAsia="Arial" w:hAnsi="Arial"/>
                <w:sz w:val="18"/>
                <w:szCs w:val="18"/>
                <w:color w:val="auto"/>
              </w:rPr>
              <w:t>0.7 %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8,782</w:t>
            </w:r>
          </w:p>
        </w:tc>
        <w:tc>
          <w:tcPr>
            <w:tcW w:w="960" w:type="dxa"/>
            <w:vAlign w:val="bottom"/>
          </w:tcPr>
          <w:p>
            <w:pPr>
              <w:jc w:val="right"/>
              <w:spacing w:after="0"/>
              <w:rPr>
                <w:sz w:val="20"/>
                <w:szCs w:val="20"/>
                <w:color w:val="auto"/>
              </w:rPr>
            </w:pPr>
            <w:r>
              <w:rPr>
                <w:rFonts w:ascii="Arial" w:cs="Arial" w:eastAsia="Arial" w:hAnsi="Arial"/>
                <w:sz w:val="18"/>
                <w:szCs w:val="18"/>
                <w:color w:val="auto"/>
              </w:rPr>
              <w:t>0.9 %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7,452</w:t>
            </w:r>
          </w:p>
        </w:tc>
        <w:tc>
          <w:tcPr>
            <w:tcW w:w="980" w:type="dxa"/>
            <w:vAlign w:val="bottom"/>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3"/>
                <w:szCs w:val="23"/>
                <w:color w:val="auto"/>
                <w:vertAlign w:val="superscript"/>
              </w:rPr>
              <w:t>(a)</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5,306</w:t>
            </w:r>
          </w:p>
        </w:tc>
        <w:tc>
          <w:tcPr>
            <w:tcW w:w="820" w:type="dxa"/>
            <w:vAlign w:val="bottom"/>
          </w:tcPr>
          <w:p>
            <w:pPr>
              <w:jc w:val="right"/>
              <w:spacing w:after="0"/>
              <w:rPr>
                <w:sz w:val="20"/>
                <w:szCs w:val="20"/>
                <w:color w:val="auto"/>
              </w:rPr>
            </w:pPr>
            <w:r>
              <w:rPr>
                <w:rFonts w:ascii="Arial" w:cs="Arial" w:eastAsia="Arial" w:hAnsi="Arial"/>
                <w:sz w:val="18"/>
                <w:szCs w:val="18"/>
                <w:color w:val="auto"/>
              </w:rPr>
              <w:t>1.1 %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4,750</w:t>
            </w:r>
          </w:p>
        </w:tc>
        <w:tc>
          <w:tcPr>
            <w:tcW w:w="800" w:type="dxa"/>
            <w:vAlign w:val="bottom"/>
          </w:tcPr>
          <w:p>
            <w:pPr>
              <w:jc w:val="right"/>
              <w:spacing w:after="0"/>
              <w:rPr>
                <w:sz w:val="20"/>
                <w:szCs w:val="20"/>
                <w:color w:val="auto"/>
              </w:rPr>
            </w:pPr>
            <w:r>
              <w:rPr>
                <w:rFonts w:ascii="Arial" w:cs="Arial" w:eastAsia="Arial" w:hAnsi="Arial"/>
                <w:sz w:val="18"/>
                <w:szCs w:val="18"/>
                <w:color w:val="auto"/>
              </w:rPr>
              <w:t>1.1 %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12,335</w:t>
            </w:r>
          </w:p>
        </w:tc>
        <w:tc>
          <w:tcPr>
            <w:tcW w:w="960" w:type="dxa"/>
            <w:vAlign w:val="bottom"/>
          </w:tcPr>
          <w:p>
            <w:pPr>
              <w:jc w:val="right"/>
              <w:spacing w:after="0"/>
              <w:rPr>
                <w:sz w:val="20"/>
                <w:szCs w:val="20"/>
                <w:color w:val="auto"/>
              </w:rPr>
            </w:pPr>
            <w:r>
              <w:rPr>
                <w:rFonts w:ascii="Arial" w:cs="Arial" w:eastAsia="Arial" w:hAnsi="Arial"/>
                <w:sz w:val="18"/>
                <w:szCs w:val="18"/>
                <w:color w:val="auto"/>
              </w:rPr>
              <w:t>1.2 %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7,164</w:t>
            </w:r>
          </w:p>
        </w:tc>
        <w:tc>
          <w:tcPr>
            <w:tcW w:w="980" w:type="dxa"/>
            <w:vAlign w:val="bottom"/>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3"/>
                <w:szCs w:val="23"/>
                <w:color w:val="auto"/>
                <w:vertAlign w:val="superscript"/>
              </w:rPr>
              <w:t>(b)</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3"/>
                <w:szCs w:val="23"/>
                <w:color w:val="auto"/>
                <w:vertAlign w:val="superscript"/>
              </w:rPr>
              <w:t>(c)</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4,450</w:t>
            </w:r>
          </w:p>
        </w:tc>
        <w:tc>
          <w:tcPr>
            <w:tcW w:w="980" w:type="dxa"/>
            <w:vAlign w:val="bottom"/>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Amortization of acquisition intangibles </w:t>
            </w:r>
            <w:r>
              <w:rPr>
                <w:rFonts w:ascii="Arial" w:cs="Arial" w:eastAsia="Arial" w:hAnsi="Arial"/>
                <w:sz w:val="23"/>
                <w:szCs w:val="23"/>
                <w:color w:val="auto"/>
                <w:vertAlign w:val="superscript"/>
              </w:rPr>
              <w:t>(d)</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ERP and CRM implementation expenses </w:t>
            </w:r>
            <w:r>
              <w:rPr>
                <w:rFonts w:ascii="Arial" w:cs="Arial" w:eastAsia="Arial" w:hAnsi="Arial"/>
                <w:sz w:val="23"/>
                <w:szCs w:val="23"/>
                <w:color w:val="auto"/>
                <w:vertAlign w:val="superscript"/>
              </w:rPr>
              <w:t>(g)</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1,846</w:t>
            </w:r>
          </w:p>
        </w:tc>
        <w:tc>
          <w:tcPr>
            <w:tcW w:w="820" w:type="dxa"/>
            <w:vAlign w:val="bottom"/>
          </w:tcPr>
          <w:p>
            <w:pPr>
              <w:jc w:val="right"/>
              <w:spacing w:after="0"/>
              <w:rPr>
                <w:sz w:val="20"/>
                <w:szCs w:val="20"/>
                <w:color w:val="auto"/>
              </w:rPr>
            </w:pPr>
            <w:r>
              <w:rPr>
                <w:rFonts w:ascii="Arial" w:cs="Arial" w:eastAsia="Arial" w:hAnsi="Arial"/>
                <w:sz w:val="18"/>
                <w:szCs w:val="18"/>
                <w:color w:val="auto"/>
              </w:rPr>
              <w:t>0.4 %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2,141</w:t>
            </w:r>
          </w:p>
        </w:tc>
        <w:tc>
          <w:tcPr>
            <w:tcW w:w="800" w:type="dxa"/>
            <w:vAlign w:val="bottom"/>
          </w:tcPr>
          <w:p>
            <w:pPr>
              <w:jc w:val="right"/>
              <w:spacing w:after="0"/>
              <w:rPr>
                <w:sz w:val="20"/>
                <w:szCs w:val="20"/>
                <w:color w:val="auto"/>
              </w:rPr>
            </w:pPr>
            <w:r>
              <w:rPr>
                <w:rFonts w:ascii="Arial" w:cs="Arial" w:eastAsia="Arial" w:hAnsi="Arial"/>
                <w:sz w:val="18"/>
                <w:szCs w:val="18"/>
                <w:color w:val="auto"/>
              </w:rPr>
              <w:t>0.5 %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4,161</w:t>
            </w:r>
          </w:p>
        </w:tc>
        <w:tc>
          <w:tcPr>
            <w:tcW w:w="960" w:type="dxa"/>
            <w:vAlign w:val="bottom"/>
          </w:tcPr>
          <w:p>
            <w:pPr>
              <w:jc w:val="right"/>
              <w:spacing w:after="0"/>
              <w:rPr>
                <w:sz w:val="20"/>
                <w:szCs w:val="20"/>
                <w:color w:val="auto"/>
              </w:rPr>
            </w:pPr>
            <w:r>
              <w:rPr>
                <w:rFonts w:ascii="Arial" w:cs="Arial" w:eastAsia="Arial" w:hAnsi="Arial"/>
                <w:sz w:val="18"/>
                <w:szCs w:val="18"/>
                <w:color w:val="auto"/>
              </w:rPr>
              <w:t>0.4 %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2,657</w:t>
            </w:r>
          </w:p>
        </w:tc>
        <w:tc>
          <w:tcPr>
            <w:tcW w:w="980" w:type="dxa"/>
            <w:vAlign w:val="bottom"/>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(h)</w:t>
            </w: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4,925</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156"/>
        </w:trPr>
        <w:tc>
          <w:tcPr>
            <w:tcW w:w="3640" w:type="dxa"/>
            <w:vAlign w:val="bottom"/>
          </w:tcPr>
          <w:p>
            <w:pPr>
              <w:ind w:left="140"/>
              <w:spacing w:after="0" w:line="156" w:lineRule="exact"/>
              <w:rPr>
                <w:sz w:val="20"/>
                <w:szCs w:val="20"/>
                <w:color w:val="auto"/>
              </w:rPr>
            </w:pPr>
            <w:r>
              <w:rPr>
                <w:rFonts w:ascii="Arial" w:cs="Arial" w:eastAsia="Arial" w:hAnsi="Arial"/>
                <w:sz w:val="18"/>
                <w:szCs w:val="18"/>
                <w:b w:val="1"/>
                <w:bCs w:val="1"/>
                <w:color w:val="auto"/>
              </w:rPr>
              <w:t>Adjusted Operating Income from</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640" w:type="dxa"/>
            <w:vAlign w:val="bottom"/>
          </w:tcPr>
          <w:p>
            <w:pPr>
              <w:ind w:left="140"/>
              <w:spacing w:after="0" w:line="183" w:lineRule="exact"/>
              <w:rPr>
                <w:sz w:val="20"/>
                <w:szCs w:val="20"/>
                <w:color w:val="auto"/>
              </w:rPr>
            </w:pPr>
            <w:r>
              <w:rPr>
                <w:rFonts w:ascii="Arial" w:cs="Arial" w:eastAsia="Arial" w:hAnsi="Arial"/>
                <w:sz w:val="18"/>
                <w:szCs w:val="18"/>
                <w:b w:val="1"/>
                <w:bCs w:val="1"/>
                <w:color w:val="auto"/>
              </w:rPr>
              <w:t>continuing operations / Adjusted</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640" w:type="dxa"/>
            <w:vAlign w:val="bottom"/>
          </w:tcPr>
          <w:p>
            <w:pPr>
              <w:ind w:left="140"/>
              <w:spacing w:after="0" w:line="181" w:lineRule="exact"/>
              <w:rPr>
                <w:sz w:val="20"/>
                <w:szCs w:val="20"/>
                <w:color w:val="auto"/>
              </w:rPr>
            </w:pPr>
            <w:r>
              <w:rPr>
                <w:rFonts w:ascii="Arial" w:cs="Arial" w:eastAsia="Arial" w:hAnsi="Arial"/>
                <w:sz w:val="18"/>
                <w:szCs w:val="18"/>
                <w:b w:val="1"/>
                <w:bCs w:val="1"/>
                <w:color w:val="auto"/>
              </w:rPr>
              <w:t>Operating Margin from continuing</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23,801</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4.9 %</w:t>
            </w:r>
          </w:p>
        </w:tc>
        <w:tc>
          <w:tcPr>
            <w:tcW w:w="8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14,073</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3.1 %</w:t>
            </w:r>
          </w:p>
        </w:tc>
        <w:tc>
          <w:tcPr>
            <w:tcW w:w="80" w:type="dxa"/>
            <w:vAlign w:val="bottom"/>
          </w:tcPr>
          <w:p>
            <w:pPr>
              <w:spacing w:after="0"/>
              <w:rPr>
                <w:sz w:val="15"/>
                <w:szCs w:val="15"/>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65,076</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6.5 %</w:t>
            </w:r>
          </w:p>
        </w:tc>
        <w:tc>
          <w:tcPr>
            <w:tcW w:w="80" w:type="dxa"/>
            <w:vAlign w:val="bottom"/>
          </w:tcPr>
          <w:p>
            <w:pPr>
              <w:spacing w:after="0"/>
              <w:rPr>
                <w:sz w:val="15"/>
                <w:szCs w:val="15"/>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47,967</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08"/>
        </w:trPr>
        <w:tc>
          <w:tcPr>
            <w:tcW w:w="364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operations</w:t>
            </w:r>
          </w:p>
        </w:tc>
        <w:tc>
          <w:tcPr>
            <w:tcW w:w="18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ind w:left="80"/>
        <w:spacing w:after="0" w:line="233" w:lineRule="auto"/>
        <w:rPr>
          <w:sz w:val="20"/>
          <w:szCs w:val="20"/>
          <w:color w:val="auto"/>
        </w:rPr>
      </w:pPr>
      <w:r>
        <w:rPr>
          <w:rFonts w:ascii="Arial" w:cs="Arial" w:eastAsia="Arial" w:hAnsi="Arial"/>
          <w:sz w:val="18"/>
          <w:szCs w:val="18"/>
          <w:i w:val="1"/>
          <w:iCs w:val="1"/>
          <w:color w:val="auto"/>
        </w:rPr>
        <w:t>Note: Percentages reflect line item as a percentage of net revenue, adjusted for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-109855</wp:posOffset>
            </wp:positionV>
            <wp:extent cx="65151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-109855</wp:posOffset>
            </wp:positionV>
            <wp:extent cx="65151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-109855</wp:posOffset>
            </wp:positionV>
            <wp:extent cx="5568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6895" cy="8890"/>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-109855</wp:posOffset>
            </wp:positionV>
            <wp:extent cx="5575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ind w:left="80"/>
        <w:spacing w:after="0"/>
        <w:rPr>
          <w:sz w:val="20"/>
          <w:szCs w:val="20"/>
          <w:color w:val="auto"/>
        </w:rPr>
      </w:pPr>
      <w:r>
        <w:rPr>
          <w:rFonts w:ascii="Arial" w:cs="Arial" w:eastAsia="Arial" w:hAnsi="Arial"/>
          <w:sz w:val="18"/>
          <w:szCs w:val="18"/>
          <w:i w:val="1"/>
          <w:iCs w:val="1"/>
          <w:color w:val="auto"/>
        </w:rPr>
        <w:t>Some of the percentage totals in the table above do not foot due to rounding differences.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35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9"/>
        </w:trPr>
        <w:tc>
          <w:tcPr>
            <w:tcW w:w="1400" w:type="dxa"/>
            <w:vAlign w:val="bottom"/>
            <w:tcBorders>
              <w:top w:val="single" w:sz="8" w:color="0000FF"/>
            </w:tcBorders>
          </w:tcPr>
          <w:p>
            <w:pPr>
              <w:spacing w:after="0"/>
              <w:rPr>
                <w:sz w:val="24"/>
                <w:szCs w:val="24"/>
                <w:color w:val="auto"/>
              </w:rPr>
            </w:pPr>
          </w:p>
        </w:tc>
        <w:tc>
          <w:tcPr>
            <w:tcW w:w="214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9"/>
              </w:rPr>
              <w:t>Three Months Ended</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color w:val="auto"/>
              </w:rPr>
              <w:t>Six Months Ended</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54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1980" w:type="dxa"/>
            <w:vAlign w:val="bottom"/>
            <w:gridSpan w:val="4"/>
          </w:tcPr>
          <w:p>
            <w:pPr>
              <w:jc w:val="right"/>
              <w:ind w:right="470"/>
              <w:spacing w:after="0"/>
              <w:rPr>
                <w:sz w:val="20"/>
                <w:szCs w:val="20"/>
                <w:color w:val="auto"/>
              </w:rPr>
            </w:pPr>
            <w:r>
              <w:rPr>
                <w:rFonts w:ascii="Arial" w:cs="Arial" w:eastAsia="Arial" w:hAnsi="Arial"/>
                <w:sz w:val="18"/>
                <w:szCs w:val="18"/>
                <w:color w:val="auto"/>
              </w:rPr>
              <w:t>June 28, 2025</w:t>
            </w:r>
          </w:p>
        </w:tc>
        <w:tc>
          <w:tcPr>
            <w:tcW w:w="1500" w:type="dxa"/>
            <w:vAlign w:val="bottom"/>
            <w:gridSpan w:val="2"/>
          </w:tcPr>
          <w:p>
            <w:pPr>
              <w:jc w:val="right"/>
              <w:ind w:right="190"/>
              <w:spacing w:after="0"/>
              <w:rPr>
                <w:sz w:val="20"/>
                <w:szCs w:val="20"/>
                <w:color w:val="auto"/>
              </w:rPr>
            </w:pPr>
            <w:r>
              <w:rPr>
                <w:rFonts w:ascii="Arial" w:cs="Arial" w:eastAsia="Arial" w:hAnsi="Arial"/>
                <w:sz w:val="18"/>
                <w:szCs w:val="18"/>
                <w:color w:val="auto"/>
              </w:rPr>
              <w:t>June 29, 2024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20" w:type="dxa"/>
            <w:vAlign w:val="bottom"/>
            <w:gridSpan w:val="4"/>
          </w:tcPr>
          <w:p>
            <w:pPr>
              <w:jc w:val="right"/>
              <w:ind w:right="710"/>
              <w:spacing w:after="0"/>
              <w:rPr>
                <w:sz w:val="20"/>
                <w:szCs w:val="20"/>
                <w:color w:val="auto"/>
              </w:rPr>
            </w:pPr>
            <w:r>
              <w:rPr>
                <w:rFonts w:ascii="Arial" w:cs="Arial" w:eastAsia="Arial" w:hAnsi="Arial"/>
                <w:sz w:val="18"/>
                <w:szCs w:val="18"/>
                <w:color w:val="auto"/>
              </w:rPr>
              <w:t>June 28, 2025</w:t>
            </w:r>
          </w:p>
        </w:tc>
        <w:tc>
          <w:tcPr>
            <w:tcW w:w="1740" w:type="dxa"/>
            <w:vAlign w:val="bottom"/>
            <w:gridSpan w:val="2"/>
          </w:tcPr>
          <w:p>
            <w:pPr>
              <w:ind w:left="180"/>
              <w:spacing w:after="0"/>
              <w:rPr>
                <w:sz w:val="20"/>
                <w:szCs w:val="20"/>
                <w:color w:val="auto"/>
              </w:rPr>
            </w:pPr>
            <w:r>
              <w:rPr>
                <w:rFonts w:ascii="Arial" w:cs="Arial" w:eastAsia="Arial" w:hAnsi="Arial"/>
                <w:sz w:val="18"/>
                <w:szCs w:val="18"/>
                <w:color w:val="auto"/>
              </w:rPr>
              <w:t>June 29, 2024</w:t>
            </w:r>
          </w:p>
        </w:tc>
        <w:tc>
          <w:tcPr>
            <w:tcW w:w="0" w:type="dxa"/>
            <w:vAlign w:val="bottom"/>
          </w:tcPr>
          <w:p>
            <w:pPr>
              <w:spacing w:after="0"/>
              <w:rPr>
                <w:sz w:val="1"/>
                <w:szCs w:val="1"/>
                <w:color w:val="auto"/>
              </w:rPr>
            </w:pPr>
          </w:p>
        </w:tc>
      </w:tr>
      <w:tr>
        <w:trPr>
          <w:trHeight w:val="223"/>
        </w:trPr>
        <w:tc>
          <w:tcPr>
            <w:tcW w:w="35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8,725</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(3,125)</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22,911</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8,560</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175"/>
        </w:trPr>
        <w:tc>
          <w:tcPr>
            <w:tcW w:w="35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Loss from discontinued operations, net of</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vMerge w:val="restart"/>
          </w:tcPr>
          <w:p>
            <w:pPr>
              <w:jc w:val="right"/>
              <w:ind w:right="230"/>
              <w:spacing w:after="0"/>
              <w:rPr>
                <w:sz w:val="20"/>
                <w:szCs w:val="20"/>
                <w:color w:val="auto"/>
              </w:rPr>
            </w:pPr>
            <w:r>
              <w:rPr>
                <w:rFonts w:ascii="Arial" w:cs="Arial" w:eastAsia="Arial" w:hAnsi="Arial"/>
                <w:sz w:val="18"/>
                <w:szCs w:val="18"/>
                <w:color w:val="auto"/>
              </w:rPr>
              <w:t>— %</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(2,084)</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vMerge w:val="restart"/>
          </w:tcPr>
          <w:p>
            <w:pPr>
              <w:jc w:val="right"/>
              <w:ind w:right="290"/>
              <w:spacing w:after="0"/>
              <w:rPr>
                <w:sz w:val="20"/>
                <w:szCs w:val="20"/>
                <w:color w:val="auto"/>
              </w:rPr>
            </w:pPr>
            <w:r>
              <w:rPr>
                <w:rFonts w:ascii="Arial" w:cs="Arial" w:eastAsia="Arial" w:hAnsi="Arial"/>
                <w:sz w:val="18"/>
                <w:szCs w:val="18"/>
                <w:color w:val="auto"/>
              </w:rPr>
              <w:t>— %</w:t>
            </w:r>
          </w:p>
        </w:tc>
        <w:tc>
          <w:tcPr>
            <w:tcW w:w="760" w:type="dxa"/>
            <w:vAlign w:val="bottom"/>
            <w:vMerge w:val="restart"/>
          </w:tcPr>
          <w:p>
            <w:pPr>
              <w:ind w:left="180"/>
              <w:spacing w:after="0"/>
              <w:rPr>
                <w:sz w:val="20"/>
                <w:szCs w:val="20"/>
                <w:color w:val="auto"/>
              </w:rPr>
            </w:pPr>
            <w:r>
              <w:rPr>
                <w:rFonts w:ascii="Arial" w:cs="Arial" w:eastAsia="Arial" w:hAnsi="Arial"/>
                <w:sz w:val="18"/>
                <w:szCs w:val="18"/>
                <w:color w:val="auto"/>
                <w:w w:val="98"/>
              </w:rPr>
              <w:t>(2,152)</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tax (See Note 2)</w:t>
            </w:r>
          </w:p>
        </w:tc>
        <w:tc>
          <w:tcPr>
            <w:tcW w:w="880" w:type="dxa"/>
            <w:vAlign w:val="bottom"/>
            <w:vMerge w:val="continue"/>
          </w:tcPr>
          <w:p>
            <w:pPr>
              <w:spacing w:after="0"/>
              <w:rPr>
                <w:sz w:val="21"/>
                <w:szCs w:val="21"/>
                <w:color w:val="auto"/>
              </w:rPr>
            </w:pPr>
          </w:p>
        </w:tc>
        <w:tc>
          <w:tcPr>
            <w:tcW w:w="1100" w:type="dxa"/>
            <w:vAlign w:val="bottom"/>
            <w:gridSpan w:val="3"/>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1340" w:type="dxa"/>
            <w:vAlign w:val="bottom"/>
            <w:gridSpan w:val="3"/>
            <w:vMerge w:val="continue"/>
          </w:tcPr>
          <w:p>
            <w:pPr>
              <w:spacing w:after="0"/>
              <w:rPr>
                <w:sz w:val="21"/>
                <w:szCs w:val="21"/>
                <w:color w:val="auto"/>
              </w:rPr>
            </w:pPr>
          </w:p>
        </w:tc>
        <w:tc>
          <w:tcPr>
            <w:tcW w:w="760" w:type="dxa"/>
            <w:vAlign w:val="bottom"/>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3540" w:type="dxa"/>
            <w:vAlign w:val="bottom"/>
            <w:tcBorders>
              <w:top w:val="single" w:sz="8" w:color="CCEEFF"/>
            </w:tcBorders>
            <w:gridSpan w:val="2"/>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Income (loss) from continuing</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8,725</w:t>
            </w:r>
          </w:p>
        </w:tc>
        <w:tc>
          <w:tcPr>
            <w:tcW w:w="80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82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22,911</w:t>
            </w:r>
          </w:p>
        </w:tc>
        <w:tc>
          <w:tcPr>
            <w:tcW w:w="98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10,712</w:t>
            </w:r>
          </w:p>
        </w:tc>
        <w:tc>
          <w:tcPr>
            <w:tcW w:w="98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43"/>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operations</w:t>
            </w:r>
          </w:p>
        </w:tc>
        <w:tc>
          <w:tcPr>
            <w:tcW w:w="880" w:type="dxa"/>
            <w:vAlign w:val="bottom"/>
            <w:vMerge w:val="continue"/>
            <w:shd w:val="clear" w:color="auto" w:fill="CCEEFF"/>
          </w:tcPr>
          <w:p>
            <w:pPr>
              <w:spacing w:after="0"/>
              <w:rPr>
                <w:sz w:val="21"/>
                <w:szCs w:val="21"/>
                <w:color w:val="auto"/>
              </w:rPr>
            </w:pPr>
          </w:p>
        </w:tc>
        <w:tc>
          <w:tcPr>
            <w:tcW w:w="8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80" w:type="dxa"/>
            <w:vAlign w:val="bottom"/>
            <w:vMerge w:val="continue"/>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vMerge w:val="continue"/>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Interest expense, net</w:t>
            </w:r>
          </w:p>
        </w:tc>
        <w:tc>
          <w:tcPr>
            <w:tcW w:w="880" w:type="dxa"/>
            <w:vAlign w:val="bottom"/>
          </w:tcPr>
          <w:p>
            <w:pPr>
              <w:jc w:val="right"/>
              <w:spacing w:after="0"/>
              <w:rPr>
                <w:sz w:val="20"/>
                <w:szCs w:val="20"/>
                <w:color w:val="auto"/>
              </w:rPr>
            </w:pPr>
            <w:r>
              <w:rPr>
                <w:rFonts w:ascii="Arial" w:cs="Arial" w:eastAsia="Arial" w:hAnsi="Arial"/>
                <w:sz w:val="18"/>
                <w:szCs w:val="18"/>
                <w:color w:val="auto"/>
              </w:rPr>
              <w:t>4,210</w:t>
            </w:r>
          </w:p>
        </w:tc>
        <w:tc>
          <w:tcPr>
            <w:tcW w:w="800" w:type="dxa"/>
            <w:vAlign w:val="bottom"/>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3,196</w:t>
            </w:r>
          </w:p>
        </w:tc>
        <w:tc>
          <w:tcPr>
            <w:tcW w:w="820" w:type="dxa"/>
            <w:vAlign w:val="bottom"/>
          </w:tcPr>
          <w:p>
            <w:pPr>
              <w:jc w:val="right"/>
              <w:spacing w:after="0"/>
              <w:rPr>
                <w:sz w:val="20"/>
                <w:szCs w:val="20"/>
                <w:color w:val="auto"/>
              </w:rPr>
            </w:pPr>
            <w:r>
              <w:rPr>
                <w:rFonts w:ascii="Arial" w:cs="Arial" w:eastAsia="Arial" w:hAnsi="Arial"/>
                <w:sz w:val="18"/>
                <w:szCs w:val="18"/>
                <w:color w:val="auto"/>
              </w:rPr>
              <w:t>0.7 %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8,782</w:t>
            </w:r>
          </w:p>
        </w:tc>
        <w:tc>
          <w:tcPr>
            <w:tcW w:w="980" w:type="dxa"/>
            <w:vAlign w:val="bottom"/>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7,452</w:t>
            </w:r>
          </w:p>
        </w:tc>
        <w:tc>
          <w:tcPr>
            <w:tcW w:w="980" w:type="dxa"/>
            <w:vAlign w:val="bottom"/>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29"/>
        </w:trPr>
        <w:tc>
          <w:tcPr>
            <w:tcW w:w="35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22,536</w:t>
            </w: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4.6 %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22,692</w:t>
            </w: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45,499</w:t>
            </w: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4.6 %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45,913</w:t>
            </w: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23"/>
        </w:trPr>
        <w:tc>
          <w:tcPr>
            <w:tcW w:w="3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EBITDA from continuing operations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38,985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88,085</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69,946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56"/>
        </w:trPr>
        <w:tc>
          <w:tcPr>
            <w:tcW w:w="3540" w:type="dxa"/>
            <w:vAlign w:val="bottom"/>
            <w:gridSpan w:val="2"/>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3"/>
                <w:szCs w:val="23"/>
                <w:color w:val="auto"/>
                <w:vertAlign w:val="superscript"/>
              </w:rPr>
              <w:t>(a)</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12,335</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29"/>
        </w:trPr>
        <w:tc>
          <w:tcPr>
            <w:tcW w:w="35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3"/>
                <w:szCs w:val="23"/>
                <w:color w:val="auto"/>
                <w:vertAlign w:val="superscript"/>
              </w:rPr>
              <w:t>(b)</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230"/>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3,519</w:t>
            </w:r>
          </w:p>
        </w:tc>
        <w:tc>
          <w:tcPr>
            <w:tcW w:w="820" w:type="dxa"/>
            <w:vAlign w:val="bottom"/>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502</w:t>
            </w:r>
          </w:p>
        </w:tc>
        <w:tc>
          <w:tcPr>
            <w:tcW w:w="98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3,975</w:t>
            </w:r>
          </w:p>
        </w:tc>
        <w:tc>
          <w:tcPr>
            <w:tcW w:w="980" w:type="dxa"/>
            <w:vAlign w:val="bottom"/>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29"/>
        </w:trPr>
        <w:tc>
          <w:tcPr>
            <w:tcW w:w="35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3"/>
                <w:szCs w:val="23"/>
                <w:color w:val="auto"/>
                <w:vertAlign w:val="superscript"/>
              </w:rPr>
              <w:t>(c)</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 %</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290"/>
              <w:spacing w:after="0"/>
              <w:rPr>
                <w:sz w:val="20"/>
                <w:szCs w:val="20"/>
                <w:color w:val="auto"/>
              </w:rPr>
            </w:pPr>
            <w:r>
              <w:rPr>
                <w:rFonts w:ascii="Arial" w:cs="Arial" w:eastAsia="Arial" w:hAnsi="Arial"/>
                <w:sz w:val="18"/>
                <w:szCs w:val="18"/>
                <w:color w:val="auto"/>
              </w:rPr>
              <w:t>— %</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30"/>
        </w:trPr>
        <w:tc>
          <w:tcPr>
            <w:tcW w:w="3540" w:type="dxa"/>
            <w:vAlign w:val="bottom"/>
            <w:gridSpan w:val="2"/>
          </w:tcPr>
          <w:p>
            <w:pPr>
              <w:ind w:left="20"/>
              <w:spacing w:after="0" w:line="230" w:lineRule="exact"/>
              <w:rPr>
                <w:sz w:val="20"/>
                <w:szCs w:val="20"/>
                <w:color w:val="auto"/>
              </w:rPr>
            </w:pPr>
            <w:r>
              <w:rPr>
                <w:rFonts w:ascii="Arial" w:cs="Arial" w:eastAsia="Arial" w:hAnsi="Arial"/>
                <w:sz w:val="18"/>
                <w:szCs w:val="18"/>
                <w:color w:val="auto"/>
                <w:w w:val="99"/>
              </w:rPr>
              <w:t xml:space="preserve">ERP and CRM implementation expenses </w:t>
            </w:r>
            <w:r>
              <w:rPr>
                <w:rFonts w:ascii="Arial" w:cs="Arial" w:eastAsia="Arial" w:hAnsi="Arial"/>
                <w:sz w:val="23"/>
                <w:szCs w:val="23"/>
                <w:color w:val="auto"/>
                <w:w w:val="99"/>
                <w:vertAlign w:val="superscript"/>
              </w:rPr>
              <w:t>(g)</w:t>
            </w:r>
          </w:p>
        </w:tc>
        <w:tc>
          <w:tcPr>
            <w:tcW w:w="880" w:type="dxa"/>
            <w:vAlign w:val="bottom"/>
          </w:tcPr>
          <w:p>
            <w:pPr>
              <w:jc w:val="right"/>
              <w:spacing w:after="0"/>
              <w:rPr>
                <w:sz w:val="20"/>
                <w:szCs w:val="20"/>
                <w:color w:val="auto"/>
              </w:rPr>
            </w:pPr>
            <w:r>
              <w:rPr>
                <w:rFonts w:ascii="Arial" w:cs="Arial" w:eastAsia="Arial" w:hAnsi="Arial"/>
                <w:sz w:val="18"/>
                <w:szCs w:val="18"/>
                <w:color w:val="auto"/>
              </w:rPr>
              <w:t>1,846</w:t>
            </w:r>
          </w:p>
        </w:tc>
        <w:tc>
          <w:tcPr>
            <w:tcW w:w="800" w:type="dxa"/>
            <w:vAlign w:val="bottom"/>
          </w:tcPr>
          <w:p>
            <w:pPr>
              <w:jc w:val="right"/>
              <w:spacing w:after="0"/>
              <w:rPr>
                <w:sz w:val="20"/>
                <w:szCs w:val="20"/>
                <w:color w:val="auto"/>
              </w:rPr>
            </w:pPr>
            <w:r>
              <w:rPr>
                <w:rFonts w:ascii="Arial" w:cs="Arial" w:eastAsia="Arial" w:hAnsi="Arial"/>
                <w:sz w:val="18"/>
                <w:szCs w:val="18"/>
                <w:color w:val="auto"/>
              </w:rPr>
              <w:t>0.4 %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2,141</w:t>
            </w:r>
          </w:p>
        </w:tc>
        <w:tc>
          <w:tcPr>
            <w:tcW w:w="820" w:type="dxa"/>
            <w:vAlign w:val="bottom"/>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4,161</w:t>
            </w:r>
          </w:p>
        </w:tc>
        <w:tc>
          <w:tcPr>
            <w:tcW w:w="980" w:type="dxa"/>
            <w:vAlign w:val="bottom"/>
          </w:tcPr>
          <w:p>
            <w:pPr>
              <w:jc w:val="right"/>
              <w:spacing w:after="0"/>
              <w:rPr>
                <w:sz w:val="20"/>
                <w:szCs w:val="20"/>
                <w:color w:val="auto"/>
              </w:rPr>
            </w:pPr>
            <w:r>
              <w:rPr>
                <w:rFonts w:ascii="Arial" w:cs="Arial" w:eastAsia="Arial" w:hAnsi="Arial"/>
                <w:sz w:val="18"/>
                <w:szCs w:val="18"/>
                <w:color w:val="auto"/>
              </w:rPr>
              <w:t>0.4 %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2,657</w:t>
            </w:r>
          </w:p>
        </w:tc>
        <w:tc>
          <w:tcPr>
            <w:tcW w:w="980" w:type="dxa"/>
            <w:vAlign w:val="bottom"/>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29"/>
        </w:trPr>
        <w:tc>
          <w:tcPr>
            <w:tcW w:w="35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(h)</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4,925</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0</wp:posOffset>
            </wp:positionV>
            <wp:extent cx="6515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151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0</wp:posOffset>
            </wp:positionV>
            <wp:extent cx="6597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976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0</wp:posOffset>
            </wp:positionV>
            <wp:extent cx="5575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753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0</wp:posOffset>
            </wp:positionV>
            <wp:extent cx="5568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6895" cy="8255"/>
                    </a:xfrm>
                    <a:prstGeom prst="rect">
                      <a:avLst/>
                    </a:prstGeom>
                    <a:noFill/>
                  </pic:spPr>
                </pic:pic>
              </a:graphicData>
            </a:graphic>
          </wp:anchor>
        </w:drawing>
      </w:r>
    </w:p>
    <w:p>
      <w:pPr>
        <w:ind w:left="140"/>
        <w:spacing w:after="0" w:line="218" w:lineRule="auto"/>
        <w:rPr>
          <w:sz w:val="20"/>
          <w:szCs w:val="20"/>
          <w:color w:val="auto"/>
        </w:rPr>
      </w:pPr>
      <w:r>
        <w:rPr>
          <w:rFonts w:ascii="Arial" w:cs="Arial" w:eastAsia="Arial" w:hAnsi="Arial"/>
          <w:sz w:val="18"/>
          <w:szCs w:val="18"/>
          <w:b w:val="1"/>
          <w:bCs w:val="1"/>
          <w:color w:val="auto"/>
        </w:rPr>
        <w:t>Adjusted EBITDA from continuing</w:t>
      </w:r>
    </w:p>
    <w:p>
      <w:pPr>
        <w:ind w:left="140"/>
        <w:spacing w:after="0" w:line="187" w:lineRule="auto"/>
        <w:rPr>
          <w:sz w:val="20"/>
          <w:szCs w:val="20"/>
          <w:color w:val="auto"/>
        </w:rPr>
      </w:pPr>
      <w:r>
        <w:rPr>
          <w:rFonts w:ascii="Arial" w:cs="Arial" w:eastAsia="Arial" w:hAnsi="Arial"/>
          <w:sz w:val="18"/>
          <w:szCs w:val="18"/>
          <w:b w:val="1"/>
          <w:bCs w:val="1"/>
          <w:color w:val="auto"/>
        </w:rPr>
        <w:t>operations / Adjusted EBITDA Margin</w:t>
      </w:r>
    </w:p>
    <w:p>
      <w:pPr>
        <w:spacing w:after="0" w:line="1" w:lineRule="exact"/>
        <w:rPr>
          <w:sz w:val="20"/>
          <w:szCs w:val="20"/>
          <w:color w:val="auto"/>
        </w:rPr>
      </w:pPr>
    </w:p>
    <w:p>
      <w:pPr>
        <w:ind w:left="140"/>
        <w:spacing w:after="0"/>
        <w:tabs>
          <w:tab w:leader="none" w:pos="3540" w:val="left"/>
          <w:tab w:leader="none" w:pos="4720" w:val="left"/>
          <w:tab w:leader="none" w:pos="6500" w:val="left"/>
          <w:tab w:leader="none" w:pos="7420" w:val="left"/>
          <w:tab w:leader="none" w:pos="8540" w:val="left"/>
          <w:tab w:leader="none" w:pos="9640" w:val="left"/>
          <w:tab w:leader="none" w:pos="10640" w:val="left"/>
        </w:tabs>
        <w:rPr>
          <w:sz w:val="20"/>
          <w:szCs w:val="20"/>
          <w:color w:val="auto"/>
        </w:rPr>
      </w:pPr>
      <w:r>
        <w:rPr>
          <w:rFonts w:ascii="Arial" w:cs="Arial" w:eastAsia="Arial" w:hAnsi="Arial"/>
          <w:sz w:val="18"/>
          <w:szCs w:val="18"/>
          <w:b w:val="1"/>
          <w:bCs w:val="1"/>
          <w:color w:val="auto"/>
        </w:rPr>
        <w:t>from continuing operations</w:t>
      </w:r>
      <w:r>
        <w:rPr>
          <w:sz w:val="20"/>
          <w:szCs w:val="20"/>
          <w:color w:val="auto"/>
        </w:rPr>
        <w:tab/>
      </w:r>
      <w:r>
        <w:rPr>
          <w:rFonts w:ascii="Arial" w:cs="Arial" w:eastAsia="Arial" w:hAnsi="Arial"/>
          <w:sz w:val="18"/>
          <w:szCs w:val="18"/>
          <w:color w:val="auto"/>
        </w:rPr>
        <w:t>$  46,168</w:t>
      </w:r>
      <w:r>
        <w:rPr>
          <w:sz w:val="20"/>
          <w:szCs w:val="20"/>
          <w:color w:val="auto"/>
        </w:rPr>
        <w:tab/>
      </w:r>
      <w:r>
        <w:rPr>
          <w:rFonts w:ascii="Arial" w:cs="Arial" w:eastAsia="Arial" w:hAnsi="Arial"/>
          <w:sz w:val="18"/>
          <w:szCs w:val="18"/>
          <w:color w:val="auto"/>
        </w:rPr>
        <w:t>9.5 %  $  36,383</w:t>
      </w:r>
      <w:r>
        <w:rPr>
          <w:sz w:val="20"/>
          <w:szCs w:val="20"/>
          <w:color w:val="auto"/>
        </w:rPr>
        <w:tab/>
      </w:r>
      <w:r>
        <w:rPr>
          <w:rFonts w:ascii="Arial" w:cs="Arial" w:eastAsia="Arial" w:hAnsi="Arial"/>
          <w:sz w:val="18"/>
          <w:szCs w:val="18"/>
          <w:color w:val="auto"/>
        </w:rPr>
        <w:t>8.1 %  $</w:t>
        <w:tab/>
        <w:t>110,237</w:t>
      </w:r>
      <w:r>
        <w:rPr>
          <w:sz w:val="20"/>
          <w:szCs w:val="20"/>
          <w:color w:val="auto"/>
        </w:rPr>
        <w:tab/>
      </w:r>
      <w:r>
        <w:rPr>
          <w:rFonts w:ascii="Arial" w:cs="Arial" w:eastAsia="Arial" w:hAnsi="Arial"/>
          <w:sz w:val="18"/>
          <w:szCs w:val="18"/>
          <w:color w:val="auto"/>
        </w:rPr>
        <w:t>11.1 %  $</w:t>
      </w:r>
      <w:r>
        <w:rPr>
          <w:sz w:val="20"/>
          <w:szCs w:val="20"/>
          <w:color w:val="auto"/>
        </w:rPr>
        <w:tab/>
      </w:r>
      <w:r>
        <w:rPr>
          <w:rFonts w:ascii="Arial" w:cs="Arial" w:eastAsia="Arial" w:hAnsi="Arial"/>
          <w:sz w:val="18"/>
          <w:szCs w:val="18"/>
          <w:color w:val="auto"/>
        </w:rPr>
        <w:t>93,117</w:t>
      </w:r>
      <w:r>
        <w:rPr>
          <w:sz w:val="20"/>
          <w:szCs w:val="20"/>
          <w:color w:val="auto"/>
        </w:rPr>
        <w:tab/>
      </w:r>
      <w:r>
        <w:rPr>
          <w:rFonts w:ascii="Arial" w:cs="Arial" w:eastAsia="Arial" w:hAnsi="Arial"/>
          <w:sz w:val="17"/>
          <w:szCs w:val="17"/>
          <w:color w:val="auto"/>
        </w:rPr>
        <w:t>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6350</wp:posOffset>
            </wp:positionV>
            <wp:extent cx="6515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5151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6350</wp:posOffset>
            </wp:positionV>
            <wp:extent cx="6597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976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6350</wp:posOffset>
            </wp:positionV>
            <wp:extent cx="5575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753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6350</wp:posOffset>
            </wp:positionV>
            <wp:extent cx="55689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6895" cy="825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i w:val="1"/>
          <w:iCs w:val="1"/>
          <w:color w:val="auto"/>
        </w:rPr>
        <w:t>Note: Percentages reflect line item as a percentage of net revenue, adjusted for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-110490</wp:posOffset>
            </wp:positionV>
            <wp:extent cx="6515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151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-110490</wp:posOffset>
            </wp:positionV>
            <wp:extent cx="6597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976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-110490</wp:posOffset>
            </wp:positionV>
            <wp:extent cx="55753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753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-110490</wp:posOffset>
            </wp:positionV>
            <wp:extent cx="55689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6895" cy="825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i w:val="1"/>
          <w:iCs w:val="1"/>
          <w:color w:val="auto"/>
        </w:rPr>
        <w:t>Some of the percentage totals in the table above may not foot due to rounding differences.</w:t>
      </w:r>
    </w:p>
    <w:p>
      <w:pPr>
        <w:spacing w:after="0" w:line="248" w:lineRule="exact"/>
        <w:rPr>
          <w:sz w:val="20"/>
          <w:szCs w:val="20"/>
          <w:color w:val="auto"/>
        </w:rPr>
      </w:pPr>
    </w:p>
    <w:tbl>
      <w:tblPr>
        <w:tblLayout w:type="fixed"/>
        <w:tblInd w:w="320" w:type="dxa"/>
        <w:tblCellMar>
          <w:top w:w="0" w:type="dxa"/>
          <w:left w:w="0" w:type="dxa"/>
          <w:bottom w:w="0" w:type="dxa"/>
          <w:right w:w="0" w:type="dxa"/>
        </w:tblCellMar>
      </w:tblPr>
      <w:tr>
        <w:trPr>
          <w:trHeight w:val="235"/>
        </w:trPr>
        <w:tc>
          <w:tcPr>
            <w:tcW w:w="5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20" w:type="dxa"/>
            <w:vAlign w:val="bottom"/>
            <w:gridSpan w:val="5"/>
          </w:tcPr>
          <w:p>
            <w:pPr>
              <w:ind w:left="180"/>
              <w:spacing w:after="0"/>
              <w:rPr>
                <w:sz w:val="20"/>
                <w:szCs w:val="20"/>
                <w:color w:val="auto"/>
              </w:rPr>
            </w:pPr>
            <w:r>
              <w:rPr>
                <w:rFonts w:ascii="Arial" w:cs="Arial" w:eastAsia="Arial" w:hAnsi="Arial"/>
                <w:sz w:val="18"/>
                <w:szCs w:val="18"/>
                <w:color w:val="auto"/>
              </w:rPr>
              <w:t>Three Months Ended</w:t>
            </w:r>
          </w:p>
        </w:tc>
        <w:tc>
          <w:tcPr>
            <w:tcW w:w="340" w:type="dxa"/>
            <w:vAlign w:val="bottom"/>
          </w:tcPr>
          <w:p>
            <w:pPr>
              <w:spacing w:after="0"/>
              <w:rPr>
                <w:sz w:val="20"/>
                <w:szCs w:val="20"/>
                <w:color w:val="auto"/>
              </w:rPr>
            </w:pPr>
          </w:p>
        </w:tc>
        <w:tc>
          <w:tcPr>
            <w:tcW w:w="2240" w:type="dxa"/>
            <w:vAlign w:val="bottom"/>
            <w:gridSpan w:val="4"/>
          </w:tcPr>
          <w:p>
            <w:pPr>
              <w:jc w:val="right"/>
              <w:ind w:right="47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169"/>
        </w:trPr>
        <w:tc>
          <w:tcPr>
            <w:tcW w:w="55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 except per share amounts</w:t>
            </w: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gridSpan w:val="2"/>
          </w:tcPr>
          <w:p>
            <w:pPr>
              <w:ind w:left="40"/>
              <w:spacing w:after="0" w:line="169" w:lineRule="exact"/>
              <w:rPr>
                <w:sz w:val="20"/>
                <w:szCs w:val="20"/>
                <w:color w:val="auto"/>
              </w:rPr>
            </w:pPr>
            <w:r>
              <w:rPr>
                <w:rFonts w:ascii="Arial" w:cs="Arial" w:eastAsia="Arial" w:hAnsi="Arial"/>
                <w:sz w:val="18"/>
                <w:szCs w:val="18"/>
                <w:color w:val="auto"/>
              </w:rPr>
              <w:t>June 28,</w:t>
            </w: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130"/>
              <w:spacing w:after="0" w:line="169" w:lineRule="exact"/>
              <w:rPr>
                <w:sz w:val="20"/>
                <w:szCs w:val="20"/>
                <w:color w:val="auto"/>
              </w:rPr>
            </w:pPr>
            <w:r>
              <w:rPr>
                <w:rFonts w:ascii="Arial" w:cs="Arial" w:eastAsia="Arial" w:hAnsi="Arial"/>
                <w:sz w:val="18"/>
                <w:szCs w:val="18"/>
                <w:color w:val="auto"/>
              </w:rPr>
              <w:t>June 29,</w:t>
            </w:r>
          </w:p>
        </w:tc>
        <w:tc>
          <w:tcPr>
            <w:tcW w:w="120" w:type="dxa"/>
            <w:vAlign w:val="bottom"/>
          </w:tcPr>
          <w:p>
            <w:pPr>
              <w:spacing w:after="0"/>
              <w:rPr>
                <w:sz w:val="14"/>
                <w:szCs w:val="14"/>
                <w:color w:val="auto"/>
              </w:rPr>
            </w:pPr>
          </w:p>
        </w:tc>
        <w:tc>
          <w:tcPr>
            <w:tcW w:w="134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8"/>
                <w:szCs w:val="18"/>
                <w:color w:val="auto"/>
              </w:rPr>
              <w:t>June 28, 2025</w:t>
            </w:r>
          </w:p>
        </w:tc>
        <w:tc>
          <w:tcPr>
            <w:tcW w:w="124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8"/>
                <w:szCs w:val="18"/>
                <w:color w:val="auto"/>
              </w:rPr>
              <w:t>June 29, 2024</w:t>
            </w:r>
          </w:p>
        </w:tc>
        <w:tc>
          <w:tcPr>
            <w:tcW w:w="0" w:type="dxa"/>
            <w:vAlign w:val="bottom"/>
          </w:tcPr>
          <w:p>
            <w:pPr>
              <w:spacing w:after="0"/>
              <w:rPr>
                <w:sz w:val="1"/>
                <w:szCs w:val="1"/>
                <w:color w:val="auto"/>
              </w:rPr>
            </w:pPr>
          </w:p>
        </w:tc>
      </w:tr>
      <w:tr>
        <w:trPr>
          <w:trHeight w:val="243"/>
        </w:trPr>
        <w:tc>
          <w:tcPr>
            <w:tcW w:w="552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1"/>
                <w:szCs w:val="21"/>
                <w:color w:val="auto"/>
              </w:rPr>
            </w:pPr>
          </w:p>
        </w:tc>
        <w:tc>
          <w:tcPr>
            <w:tcW w:w="1340" w:type="dxa"/>
            <w:vAlign w:val="bottom"/>
            <w:gridSpan w:val="3"/>
            <w:vMerge w:val="continue"/>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Diluted EPS from discontinued operations</w:t>
            </w:r>
          </w:p>
        </w:tc>
        <w:tc>
          <w:tcPr>
            <w:tcW w:w="1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3"/>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 from continuing operations</w:t>
            </w:r>
          </w:p>
        </w:tc>
        <w:tc>
          <w:tcPr>
            <w:tcW w:w="1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3"/>
                <w:szCs w:val="23"/>
                <w:color w:val="auto"/>
                <w:vertAlign w:val="superscript"/>
              </w:rPr>
              <w:t>(a)</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3"/>
                <w:szCs w:val="23"/>
                <w:color w:val="auto"/>
                <w:vertAlign w:val="superscript"/>
              </w:rPr>
              <w:t>(b)</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3"/>
                <w:szCs w:val="23"/>
                <w:color w:val="auto"/>
                <w:vertAlign w:val="superscript"/>
              </w:rPr>
              <w:t>(c)</w:t>
            </w:r>
          </w:p>
        </w:tc>
        <w:tc>
          <w:tcPr>
            <w:tcW w:w="1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Amortization of acquisition intangibles </w:t>
            </w:r>
            <w:r>
              <w:rPr>
                <w:rFonts w:ascii="Arial" w:cs="Arial" w:eastAsia="Arial" w:hAnsi="Arial"/>
                <w:sz w:val="23"/>
                <w:szCs w:val="23"/>
                <w:color w:val="auto"/>
                <w:vertAlign w:val="superscript"/>
              </w:rPr>
              <w:t>(d)</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Amortization of debt discount and deferred financing costs </w:t>
            </w:r>
            <w:r>
              <w:rPr>
                <w:rFonts w:ascii="Arial" w:cs="Arial" w:eastAsia="Arial" w:hAnsi="Arial"/>
                <w:sz w:val="23"/>
                <w:szCs w:val="23"/>
                <w:color w:val="auto"/>
                <w:vertAlign w:val="superscript"/>
              </w:rPr>
              <w:t>(e)</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Derivative fair value adjustments </w:t>
            </w:r>
            <w:r>
              <w:rPr>
                <w:rFonts w:ascii="Arial" w:cs="Arial" w:eastAsia="Arial" w:hAnsi="Arial"/>
                <w:sz w:val="23"/>
                <w:szCs w:val="23"/>
                <w:color w:val="auto"/>
                <w:vertAlign w:val="superscript"/>
              </w:rPr>
              <w:t>(f)</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ERP and CRM implementation expenses </w:t>
            </w:r>
            <w:r>
              <w:rPr>
                <w:rFonts w:ascii="Arial" w:cs="Arial" w:eastAsia="Arial" w:hAnsi="Arial"/>
                <w:sz w:val="23"/>
                <w:szCs w:val="23"/>
                <w:color w:val="auto"/>
                <w:vertAlign w:val="superscript"/>
              </w:rPr>
              <w:t>(g)</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(h)</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29"/>
        </w:trPr>
        <w:tc>
          <w:tcPr>
            <w:tcW w:w="55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Tax effects </w:t>
            </w:r>
            <w:r>
              <w:rPr>
                <w:rFonts w:ascii="Arial" w:cs="Arial" w:eastAsia="Arial" w:hAnsi="Arial"/>
                <w:sz w:val="23"/>
                <w:szCs w:val="23"/>
                <w:color w:val="auto"/>
                <w:vertAlign w:val="superscript"/>
              </w:rPr>
              <w:t>(i)</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48"/>
        </w:trPr>
        <w:tc>
          <w:tcPr>
            <w:tcW w:w="5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Adjusted Diluted EPS from continuing operations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Weighted average diluted shares outstanding</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80,057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78,575</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79,658</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78,774</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660" w:right="900" w:hanging="328"/>
        <w:spacing w:after="0" w:line="272" w:lineRule="auto"/>
        <w:tabs>
          <w:tab w:leader="none" w:pos="647" w:val="left"/>
        </w:tabs>
        <w:numPr>
          <w:ilvl w:val="0"/>
          <w:numId w:val="16"/>
        </w:numPr>
        <w:rPr>
          <w:rFonts w:ascii="Arial" w:cs="Arial" w:eastAsia="Arial" w:hAnsi="Arial"/>
          <w:sz w:val="14"/>
          <w:szCs w:val="14"/>
          <w:color w:val="auto"/>
        </w:rPr>
      </w:pPr>
      <w:r>
        <w:rPr>
          <w:rFonts w:ascii="Arial" w:cs="Arial" w:eastAsia="Arial" w:hAnsi="Arial"/>
          <w:sz w:val="14"/>
          <w:szCs w:val="14"/>
          <w:color w:val="auto"/>
        </w:rPr>
        <w:t>Non-cash charges related to stock-based compensation programs, which vary from period to period depending on the timing of awards and performance vesting conditions.</w:t>
      </w:r>
    </w:p>
    <w:p>
      <w:pPr>
        <w:ind w:left="660" w:right="1040" w:hanging="328"/>
        <w:spacing w:after="0" w:line="261" w:lineRule="auto"/>
        <w:tabs>
          <w:tab w:leader="none" w:pos="647"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Reflects write-off related to non-cash impairment charges of long-lived assets, primarily impairment of property, equipment and lease-related assets on closed or underperforming stores.</w:t>
      </w:r>
    </w:p>
    <w:p>
      <w:pPr>
        <w:ind w:left="640" w:hanging="308"/>
        <w:spacing w:after="0"/>
        <w:tabs>
          <w:tab w:leader="none" w:pos="6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Expenses associated with settlement of certain litigation.</w:t>
      </w:r>
    </w:p>
    <w:p>
      <w:pPr>
        <w:spacing w:after="0" w:line="1" w:lineRule="exact"/>
        <w:rPr>
          <w:rFonts w:ascii="Arial" w:cs="Arial" w:eastAsia="Arial" w:hAnsi="Arial"/>
          <w:sz w:val="14"/>
          <w:szCs w:val="14"/>
          <w:color w:val="auto"/>
        </w:rPr>
      </w:pPr>
    </w:p>
    <w:p>
      <w:pPr>
        <w:ind w:left="660" w:right="720" w:hanging="328"/>
        <w:spacing w:after="0" w:line="261" w:lineRule="auto"/>
        <w:tabs>
          <w:tab w:leader="none" w:pos="647" w:val="left"/>
        </w:tabs>
        <w:numPr>
          <w:ilvl w:val="0"/>
          <w:numId w:val="16"/>
        </w:numPr>
        <w:rPr>
          <w:rFonts w:ascii="Arial" w:cs="Arial" w:eastAsia="Arial" w:hAnsi="Arial"/>
          <w:sz w:val="14"/>
          <w:szCs w:val="14"/>
          <w:color w:val="auto"/>
        </w:rPr>
      </w:pPr>
      <w:r>
        <w:rPr>
          <w:rFonts w:ascii="Arial" w:cs="Arial" w:eastAsia="Arial" w:hAnsi="Arial"/>
          <w:sz w:val="14"/>
          <w:szCs w:val="14"/>
          <w:color w:val="auto"/>
        </w:rPr>
        <w:t>Amortization of the increase in carrying values of finite-lived intangible assets resulting from the application of purchase accounting following the acquisition of the Company by affiliates of KKR &amp; Co. Inc.</w:t>
      </w:r>
    </w:p>
    <w:p>
      <w:pPr>
        <w:ind w:left="660" w:right="680" w:hanging="328"/>
        <w:spacing w:after="0" w:line="284" w:lineRule="auto"/>
        <w:tabs>
          <w:tab w:leader="none" w:pos="647" w:val="left"/>
        </w:tabs>
        <w:numPr>
          <w:ilvl w:val="0"/>
          <w:numId w:val="16"/>
        </w:numPr>
        <w:rPr>
          <w:rFonts w:ascii="Arial" w:cs="Arial" w:eastAsia="Arial" w:hAnsi="Arial"/>
          <w:sz w:val="14"/>
          <w:szCs w:val="14"/>
          <w:color w:val="auto"/>
        </w:rPr>
      </w:pPr>
      <w:r>
        <w:rPr>
          <w:rFonts w:ascii="Arial" w:cs="Arial" w:eastAsia="Arial" w:hAnsi="Arial"/>
          <w:sz w:val="14"/>
          <w:szCs w:val="14"/>
          <w:color w:val="auto"/>
        </w:rPr>
        <w:t>Amortization of deferred financing costs and other non-cash charges related to our debt. We adjust for amortization of deferred financing costs related to the 2025 Notes only when adjustment for these costs is not required in the calculation of diluted earnings per share under U.S. GAAP.</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50" w:lineRule="exact"/>
        <w:rPr>
          <w:sz w:val="20"/>
          <w:szCs w:val="20"/>
          <w:color w:val="auto"/>
        </w:rPr>
      </w:pPr>
    </w:p>
    <w:p>
      <w:pPr>
        <w:ind w:left="660" w:right="920" w:hanging="328"/>
        <w:spacing w:after="0" w:line="261" w:lineRule="auto"/>
        <w:tabs>
          <w:tab w:leader="none" w:pos="647"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adjustments for the derivative fair value (gains) and losses have the effect of adjusting the (gain) or loss for changes in the fair value of derivative instruments and amortization of AOCL for derivatives not designated as accounting hedges. This results in reflecting derivative (gains) and losses within Adjusted Diluted EPS during the period the derivative is settled.</w:t>
      </w:r>
    </w:p>
    <w:p>
      <w:pPr>
        <w:spacing w:after="0" w:line="1" w:lineRule="exact"/>
        <w:rPr>
          <w:rFonts w:ascii="Arial" w:cs="Arial" w:eastAsia="Arial" w:hAnsi="Arial"/>
          <w:sz w:val="14"/>
          <w:szCs w:val="14"/>
          <w:color w:val="auto"/>
        </w:rPr>
      </w:pPr>
    </w:p>
    <w:p>
      <w:pPr>
        <w:ind w:left="640" w:hanging="308"/>
        <w:spacing w:after="0"/>
        <w:tabs>
          <w:tab w:leader="none" w:pos="6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Costs related to the Company’s ERP and CRM implementation.</w:t>
      </w:r>
    </w:p>
    <w:p>
      <w:pPr>
        <w:spacing w:after="0" w:line="14" w:lineRule="exact"/>
        <w:rPr>
          <w:rFonts w:ascii="Arial" w:cs="Arial" w:eastAsia="Arial" w:hAnsi="Arial"/>
          <w:sz w:val="14"/>
          <w:szCs w:val="14"/>
          <w:color w:val="auto"/>
        </w:rPr>
      </w:pPr>
    </w:p>
    <w:p>
      <w:pPr>
        <w:jc w:val="both"/>
        <w:ind w:left="660" w:right="1220" w:hanging="328"/>
        <w:spacing w:after="0" w:line="261" w:lineRule="auto"/>
        <w:tabs>
          <w:tab w:leader="none" w:pos="647" w:val="left"/>
        </w:tabs>
        <w:numPr>
          <w:ilvl w:val="0"/>
          <w:numId w:val="17"/>
        </w:numPr>
        <w:rPr>
          <w:rFonts w:ascii="Arial" w:cs="Arial" w:eastAsia="Arial" w:hAnsi="Arial"/>
          <w:sz w:val="14"/>
          <w:szCs w:val="14"/>
          <w:color w:val="auto"/>
        </w:rPr>
      </w:pPr>
      <w:r>
        <w:rPr>
          <w:rFonts w:ascii="Arial" w:cs="Arial" w:eastAsia="Arial" w:hAnsi="Arial"/>
          <w:sz w:val="14"/>
          <w:szCs w:val="14"/>
          <w:color w:val="auto"/>
        </w:rPr>
        <w:t>Other adjustments include amounts that management believes are not representative of our operating performance (amounts in brackets represent reductions in Adjusted Operating Income, Adjusted Diluted EPS and Adjusted EBITDA), which are primarily related to shareholder activism costs of</w:t>
      </w:r>
    </w:p>
    <w:p>
      <w:pPr>
        <w:ind w:left="660" w:right="680"/>
        <w:spacing w:after="0" w:line="254" w:lineRule="auto"/>
        <w:rPr>
          <w:rFonts w:ascii="Arial" w:cs="Arial" w:eastAsia="Arial" w:hAnsi="Arial"/>
          <w:sz w:val="14"/>
          <w:szCs w:val="14"/>
          <w:color w:val="auto"/>
        </w:rPr>
      </w:pPr>
      <w:r>
        <w:rPr>
          <w:rFonts w:ascii="Arial" w:cs="Arial" w:eastAsia="Arial" w:hAnsi="Arial"/>
          <w:sz w:val="14"/>
          <w:szCs w:val="14"/>
          <w:color w:val="auto"/>
        </w:rPr>
        <w:t>$2.1 million and severance and employee-related costs associated with organizational restructuring of $2.1 million for the six months ended June 28, 2025, costs associated with the digitization of paper-based records of $2.3 million and $4.1 million for the three and six months ended June 29, 2024, respectively, and other expenses and adjustments.</w:t>
      </w:r>
    </w:p>
    <w:p>
      <w:pPr>
        <w:spacing w:after="0" w:line="1" w:lineRule="exact"/>
        <w:rPr>
          <w:rFonts w:ascii="Arial" w:cs="Arial" w:eastAsia="Arial" w:hAnsi="Arial"/>
          <w:sz w:val="14"/>
          <w:szCs w:val="14"/>
          <w:color w:val="auto"/>
        </w:rPr>
      </w:pPr>
    </w:p>
    <w:p>
      <w:pPr>
        <w:ind w:left="660" w:right="740" w:hanging="328"/>
        <w:spacing w:after="0" w:line="284" w:lineRule="auto"/>
        <w:tabs>
          <w:tab w:leader="none" w:pos="653"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the income tax effect of the total adjustments at our combined statutory federal and state income tax rates, including tax expense (benefit) from stock-based compensation.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Our primary cash needs are for inventory, payroll, store rent, advertising, capital expenditures associated with new stores and updating existing stores, as well as information and remote medicine technology and infrastructure, including our corporate office, distribution centers, and laboratories. When appropriate, the Company may utilize excess liquidity towards debt service requirements, including voluntary debt prepayments, or required interest and principal payments, if any, as well as repurchases of common stock or other securities, based on excess cash flows. The most significant components of our operating assets and liabilities are inventories, accounts receivable, prepaid expenses and other assets, accounts payable, deferred and unearned revenue and other payables and accrued expenses. We exercise prudence in our use of cash and closely monitor various items related to cash flow including, but not limited to, cash receipts, cash disbursements, payment terms and alternative sources of funding. We continue to be focused on these items in addition to other key measures we use to determine how our consolidated business and operating segments are performing. We believe that cash on hand, cash expected to be generated from operations and the availability of borrowings under our revolving credit loans in an aggregate principal amount of $300.0 million (the “Revolving Loans”) will be sufficient to fund our working capital requirements, liquidity obligations, anticipated capital expenditures, and payments due under our existing debt for the next 12 months and thereafter for the foreseeable future. Depending on our liquidity levels, conditions in the capital markets and other factors, we may from time to time consider the prepayment, refinancing or issuance of debt, issuance of equity or other securities, the proceeds of which could provide additional liquidity for our operations, as well as modifications to our $247.6 million outstanding principal first lien term loan (“Term Loan A”) where possible.</w:t>
      </w:r>
    </w:p>
    <w:p>
      <w:pPr>
        <w:spacing w:after="0" w:line="7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Our ability to maintain sufficient liquidity may be affected by numerous factors, many of which are outside of our control. We primarily fund our working capital needs using cash provided by operations. Our working capital requirements for inventory will increase as we continue to open additional stores.</w:t>
      </w:r>
    </w:p>
    <w:p>
      <w:pPr>
        <w:spacing w:after="0" w:line="63"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During the three months ended June 28, 2025, we fully repaid the $84.8 million outstanding principal balance of the 2025 Notes using a combination of cash on hand and liquidity from our Revolving Loans.</w:t>
      </w:r>
    </w:p>
    <w:p>
      <w:pPr>
        <w:spacing w:after="0" w:line="45"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As of June 28, 2025, we had $48.5 million in cash and cash equivalents, $15.0 million borrowings under our Revolving Loans with $278.6 million of remaining availability, which includes $6.4 million in outstanding letters of credit.</w:t>
      </w:r>
    </w:p>
    <w:p>
      <w:pPr>
        <w:spacing w:after="0" w:line="45"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color w:val="auto"/>
        </w:rPr>
        <w:t>As of June 28, 2025, we had $247.6 million of Term Loan A outstanding under our credit agreement. We were in compliance with all covenants related to our debt as of June 28, 2025.</w:t>
      </w:r>
    </w:p>
    <w:p>
      <w:pPr>
        <w:spacing w:after="0" w:line="45"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The following table summarizes cash flows provided by (used for) operating activities, investing activities and financing activities for the periods indicated: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4"/>
          </w:tcPr>
          <w:p>
            <w:pPr>
              <w:ind w:left="880"/>
              <w:spacing w:after="0"/>
              <w:rPr>
                <w:sz w:val="20"/>
                <w:szCs w:val="20"/>
                <w:color w:val="auto"/>
              </w:rPr>
            </w:pPr>
            <w:r>
              <w:rPr>
                <w:rFonts w:ascii="Arial" w:cs="Arial" w:eastAsia="Arial" w:hAnsi="Arial"/>
                <w:sz w:val="18"/>
                <w:szCs w:val="18"/>
                <w:color w:val="auto"/>
              </w:rPr>
              <w:t>Six Months Ended</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19"/>
                <w:szCs w:val="19"/>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June 28, 2025</w:t>
            </w:r>
          </w:p>
        </w:tc>
        <w:tc>
          <w:tcPr>
            <w:tcW w:w="220" w:type="dxa"/>
            <w:vAlign w:val="bottom"/>
          </w:tcPr>
          <w:p>
            <w:pPr>
              <w:spacing w:after="0"/>
              <w:rPr>
                <w:sz w:val="19"/>
                <w:szCs w:val="19"/>
                <w:color w:val="auto"/>
              </w:rPr>
            </w:pPr>
          </w:p>
        </w:tc>
        <w:tc>
          <w:tcPr>
            <w:tcW w:w="1540" w:type="dxa"/>
            <w:vAlign w:val="bottom"/>
          </w:tcPr>
          <w:p>
            <w:pPr>
              <w:jc w:val="right"/>
              <w:ind w:right="210"/>
              <w:spacing w:after="0"/>
              <w:rPr>
                <w:sz w:val="20"/>
                <w:szCs w:val="20"/>
                <w:color w:val="auto"/>
              </w:rPr>
            </w:pPr>
            <w:r>
              <w:rPr>
                <w:rFonts w:ascii="Arial" w:cs="Arial" w:eastAsia="Arial" w:hAnsi="Arial"/>
                <w:sz w:val="18"/>
                <w:szCs w:val="18"/>
                <w:color w:val="auto"/>
              </w:rPr>
              <w:t>June 29, 2024</w:t>
            </w:r>
          </w:p>
        </w:tc>
      </w:tr>
      <w:tr>
        <w:trPr>
          <w:trHeight w:val="210"/>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provided by (used for):</w:t>
            </w:r>
          </w:p>
        </w:tc>
        <w:tc>
          <w:tcPr>
            <w:tcW w:w="24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r>
      <w:tr>
        <w:trPr>
          <w:trHeight w:val="230"/>
        </w:trPr>
        <w:tc>
          <w:tcPr>
            <w:tcW w:w="7560" w:type="dxa"/>
            <w:vAlign w:val="bottom"/>
          </w:tcPr>
          <w:p>
            <w:pPr>
              <w:ind w:left="14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Pr>
          <w:p>
            <w:pPr>
              <w:ind w:left="940"/>
              <w:spacing w:after="0"/>
              <w:rPr>
                <w:sz w:val="20"/>
                <w:szCs w:val="20"/>
                <w:color w:val="auto"/>
              </w:rPr>
            </w:pPr>
            <w:r>
              <w:rPr>
                <w:rFonts w:ascii="Arial" w:cs="Arial" w:eastAsia="Arial" w:hAnsi="Arial"/>
                <w:sz w:val="18"/>
                <w:szCs w:val="18"/>
                <w:color w:val="auto"/>
              </w:rPr>
              <w:t>86,500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75,448</w:t>
            </w:r>
          </w:p>
        </w:tc>
      </w:tr>
      <w:tr>
        <w:trPr>
          <w:trHeight w:val="229"/>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Investing activities</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(32,924)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(38,043)</w:t>
            </w:r>
          </w:p>
        </w:tc>
      </w:tr>
      <w:tr>
        <w:trPr>
          <w:trHeight w:val="230"/>
        </w:trPr>
        <w:tc>
          <w:tcPr>
            <w:tcW w:w="7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Financing activities</w:t>
            </w: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(78,825)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(7,440)</w:t>
            </w:r>
          </w:p>
        </w:tc>
      </w:tr>
      <w:tr>
        <w:trPr>
          <w:trHeight w:val="248"/>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(25,249)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29,965</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15"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Cash flows provided by operating activities increased by $ 11.1 million to $86.5 million, during the six months ended June 28, 2025 from $75.4 million for the six months ended June 29, 2024 as a result of an increase in net income of $ 14.4 million and changes in net working capital and other assets and liabilities of $1.9 million. These were partially offset by a decrease in non-cash adjustments of $5.2 million primarily driven by changes in deferred income taxes and asset impairment.</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Working capital was primarily impacted by year-over-year changes in other liabilities, accounts payable, other assets, inventory and trade receivables. Increases in other liabilities contributed $34.3 million in year-over-year cash, primarily due to increases in compensation-related and other accruals. Increases in accounts payable contributed $29.0 million in year-over-year cash due to working capital initiatives. These were partially offset by increases in other assets which used $28.1 million in year-over-year cash, primarily due to increased cloud-based software investments related to CRM and ERP. Increases in inventory used $23.5 million in year-over-year cash due to product mix initiatives. Increases in trade receivables used $20.7 million in year-over-year cash and were primarily driven by year-over-year changes in sales. Year-over-year cash changes in working capital were also impacted by the AC Lens wind down and the termination of the Walmart partnership in 2024 that did not recur in 2025.</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for Investing Activities</w:t>
      </w:r>
    </w:p>
    <w:p>
      <w:pPr>
        <w:spacing w:after="0" w:line="11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Net cash used for investing activities decreased by $5.1 million, to $32.9 million, during the six months ended June 28, 2025 from $38.0 million during the six months ended June 29, 2024. The year-over-year decrease was primarily due to lower store openings, partially offset by higher investments in doctor and other in-store equipment in existing stores.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For Financing Activities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cash used for financing activities was $78.8 million during the six months ended June 28, 2025 as compared to $7.4 million during the six months ended June 29, 2024. The $71.4 million year-over-year increase was primarily due to the repayment of the 2025 Notes in the second quarter of 2025, partially offset by borrowings on our Revolving Loans of $15.0 million.</w:t>
      </w:r>
    </w:p>
    <w:p>
      <w:pPr>
        <w:spacing w:after="0" w:line="63"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There were no material changes outside the ordinary course of business in our material cash requirements and commercial commitments from those reported in the 2024 Annual Report on Form 10-K.</w:t>
      </w:r>
    </w:p>
    <w:p>
      <w:pPr>
        <w:spacing w:after="0" w:line="4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follow U.S. GAAP in making the determination as to whether to record an asset or liability related to our arrangements with third parties. Consistent with current accounting guidance, we do not record an asset or liability associated with long-term purchase, marketing and promotional commitments, or commitments to philanthropic endeavors. We have disclosed the amount of future commitments associated with these items in the 2024 Annual Report on Form 10-K. We are not a party to any other material off-balance sheet arrangements.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Management has evaluated the accounting policies used in the preparation of the Company’s unaudited condensed consolidated financial statements and related notes and believes those policies to be reasonable and appropriate. Certain of these accounting policies require the application of significant judgment by management in selecting appropriate assumptions for calculating financial estimates. By their nature, these judgments are subject to an inherent degree of uncertainty. These judgments are based on historical experience, trends in the industry, information provided by customers and information available from other outside sources, as appropriate. The most significant areas involving management judgments and estimates may be found in the 2024 Annual Report on Form 10-K, in the “Critical Accounting Policies and Estimates” section of “Management’s Discussion and Analysis of Financial Condition and Results of Operations.” There have been no material changes to our critical accounting policies as compared to the critical accounting policies described in the 2024 Annual Report on Form 10-K.</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Pronouncements</w:t>
      </w:r>
    </w:p>
    <w:p>
      <w:pPr>
        <w:spacing w:after="0" w:line="117"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There have been no material changes due to recently issued or adopted accounting standards since those disclosed in our 2024 Annual Report on Form 10-K.</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 significant portion of our debt bears interest at variable rates. If market interest rates increase, the interest rate on our variable rate debt will increase and will create higher debt service requirements, which would adversely affect our cash flow and could adversely impact our results of operations.</w:t>
      </w:r>
    </w:p>
    <w:p>
      <w:pPr>
        <w:spacing w:after="0" w:line="6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As of June 28, 2025, $262.6 million of combined term loan and revolving loans borrowings were subject to changes in variable market interest rates. A 1.0% increase in market rates would result in a $ 2.6 million increase in annual interest expense. For more information about quantitative and qualitative disclosures about market risk, please see Item 7A. “Quantitative and Qualitative Disclosures About Market Risk” in Part II. of the 2024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maintain disclosure controls and procedures (as that term is defined in Rules 13a-15(e) and 15d-15(e) of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disclosures. Any controls and procedures, no matter how well designed and operated, can provide only reasonable assurance of achieving the desired control objectives.</w:t>
      </w:r>
    </w:p>
    <w:p>
      <w:pPr>
        <w:spacing w:after="0" w:line="7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accordance with Rule 13a-15(b) of the Exchange Act, the Company carried out an evaluation, under the supervision and with the participation of its management, including its CEO and CFO, of the effectiveness of the design and operation of the Company’s disclosure controls and procedures as of June 28, 2025. Based on that evaluation, the CEO and the CFO have concluded that the Company’s current disclosure controls and procedures are effective in ensuring that material information relating to the Company required to be disclosed in the Company’s periodic filings with the SEC is made known to them in a timely manner.</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There were no changes in our internal control over financial reporting (as that term is defined in Rules 13a-15(f) and 15d-15(f) of the Exchange Act) that occurred during the second quarter of fiscal year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7" w:lineRule="exact"/>
        <w:rPr>
          <w:sz w:val="20"/>
          <w:szCs w:val="20"/>
          <w:color w:val="auto"/>
        </w:rPr>
      </w:pPr>
    </w:p>
    <w:p>
      <w:pPr>
        <w:ind w:right="140"/>
        <w:spacing w:after="0" w:line="318" w:lineRule="auto"/>
        <w:rPr>
          <w:sz w:val="20"/>
          <w:szCs w:val="20"/>
          <w:color w:val="auto"/>
        </w:rPr>
      </w:pPr>
      <w:r>
        <w:rPr>
          <w:rFonts w:ascii="Arial" w:cs="Arial" w:eastAsia="Arial" w:hAnsi="Arial"/>
          <w:sz w:val="17"/>
          <w:szCs w:val="17"/>
          <w:color w:val="auto"/>
        </w:rPr>
        <w:t>See Note 8. “Commitments and Contingencies” in our condensed consolidated financial statements included in Part I. Item 1. of this Form 10-Q for information regarding certain legal proceedings in which we are involved, which discussion is incorporated herein by reference.</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For information regarding factors that could affect the Company’s results of operations, financial condition and liquidity, see the risk factors discussed in Part I. Item 1A. “Risk Factors” in our 2024 Annual Report on Form 10-K. There have been no material changes to the risk factors described in our 2024 Annual Report on Form 10-K.</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17" w:lineRule="exact"/>
        <w:rPr>
          <w:sz w:val="20"/>
          <w:szCs w:val="20"/>
          <w:color w:val="auto"/>
        </w:rPr>
      </w:pPr>
    </w:p>
    <w:p>
      <w:pPr>
        <w:ind w:left="260" w:hanging="252"/>
        <w:spacing w:after="0"/>
        <w:tabs>
          <w:tab w:leader="none" w:pos="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Except as set forth below, during the three months ended June 28, 2025, none of the Company’s directors or officers (as defined in Rule</w:t>
      </w:r>
    </w:p>
    <w:p>
      <w:pPr>
        <w:spacing w:after="0" w:line="38" w:lineRule="exact"/>
        <w:rPr>
          <w:rFonts w:ascii="Arial" w:cs="Arial" w:eastAsia="Arial" w:hAnsi="Arial"/>
          <w:sz w:val="17"/>
          <w:szCs w:val="17"/>
          <w:color w:val="auto"/>
        </w:rPr>
      </w:pPr>
    </w:p>
    <w:p>
      <w:pPr>
        <w:ind w:right="900"/>
        <w:spacing w:after="0" w:line="266" w:lineRule="auto"/>
        <w:rPr>
          <w:rFonts w:ascii="Arial" w:cs="Arial" w:eastAsia="Arial" w:hAnsi="Arial"/>
          <w:sz w:val="17"/>
          <w:szCs w:val="17"/>
          <w:color w:val="auto"/>
        </w:rPr>
      </w:pPr>
      <w:r>
        <w:rPr>
          <w:rFonts w:ascii="Arial" w:cs="Arial" w:eastAsia="Arial" w:hAnsi="Arial"/>
          <w:sz w:val="18"/>
          <w:szCs w:val="18"/>
          <w:color w:val="auto"/>
        </w:rPr>
        <w:t>16a-1(f) of the Exchange Act) adopted, terminated or modified a “Rule 10b5-1 trading arrangement” or “non-Rule 10b5-1 trading arrangement” (as such terms are defined in Item 408(a) of Regulation S-K).</w:t>
      </w:r>
    </w:p>
    <w:p>
      <w:pPr>
        <w:spacing w:after="0" w:line="63" w:lineRule="exact"/>
        <w:rPr>
          <w:sz w:val="20"/>
          <w:szCs w:val="20"/>
          <w:color w:val="auto"/>
        </w:rPr>
      </w:pPr>
    </w:p>
    <w:p>
      <w:pPr>
        <w:jc w:val="both"/>
        <w:ind w:right="80"/>
        <w:spacing w:after="0" w:line="262" w:lineRule="auto"/>
        <w:rPr>
          <w:sz w:val="20"/>
          <w:szCs w:val="20"/>
          <w:color w:val="auto"/>
        </w:rPr>
      </w:pPr>
      <w:r>
        <w:rPr>
          <w:rFonts w:ascii="Arial" w:cs="Arial" w:eastAsia="Arial" w:hAnsi="Arial"/>
          <w:sz w:val="18"/>
          <w:szCs w:val="18"/>
          <w:color w:val="auto"/>
        </w:rPr>
        <w:t>On May 28, 2025, L. Reade Fahs, the Company’s prior Chief Executive Officer at such time, adopted a trading arrangement for the sale of the Company’s common stock (a “Rule 10b5-1 Trading Plan”) that is intended to satisfy the affirmative defense conditions of the Exchange Act Rule 10b5-1(c). Mr. Fahs’ Rule 10b5-1 Trading Plan provides for the sale of up to 150,000 shares of common stock pursuant to one or more limit orders from August 28, 2025 until April 30, 2026.</w:t>
      </w:r>
    </w:p>
    <w:p>
      <w:pPr>
        <w:spacing w:after="0" w:line="200" w:lineRule="exact"/>
        <w:rPr>
          <w:sz w:val="20"/>
          <w:szCs w:val="20"/>
          <w:color w:val="auto"/>
        </w:rPr>
      </w:pPr>
    </w:p>
    <w:p>
      <w:pPr>
        <w:spacing w:after="0" w:line="3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142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8"/>
              </w:rPr>
              <w:t>Table of Contents</w:t>
            </w:r>
          </w:p>
        </w:tc>
        <w:tc>
          <w:tcPr>
            <w:tcW w:w="3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060" w:type="dxa"/>
            <w:vAlign w:val="bottom"/>
          </w:tcPr>
          <w:p>
            <w:pPr>
              <w:spacing w:after="0"/>
              <w:rPr>
                <w:sz w:val="17"/>
                <w:szCs w:val="17"/>
                <w:color w:val="auto"/>
              </w:rPr>
            </w:pPr>
          </w:p>
        </w:tc>
      </w:tr>
      <w:tr>
        <w:trPr>
          <w:trHeight w:val="680"/>
        </w:trPr>
        <w:tc>
          <w:tcPr>
            <w:tcW w:w="1420" w:type="dxa"/>
            <w:vAlign w:val="bottom"/>
            <w:gridSpan w:val="6"/>
          </w:tcPr>
          <w:p>
            <w:pPr>
              <w:spacing w:after="0"/>
              <w:rPr>
                <w:sz w:val="20"/>
                <w:szCs w:val="20"/>
                <w:color w:val="auto"/>
              </w:rPr>
            </w:pPr>
            <w:r>
              <w:rPr>
                <w:rFonts w:ascii="Arial" w:cs="Arial" w:eastAsia="Arial" w:hAnsi="Arial"/>
                <w:sz w:val="18"/>
                <w:szCs w:val="18"/>
                <w:b w:val="1"/>
                <w:bCs w:val="1"/>
                <w:color w:val="auto"/>
              </w:rPr>
              <w:t>Item 6. Exhibits.</w:t>
            </w:r>
          </w:p>
        </w:tc>
        <w:tc>
          <w:tcPr>
            <w:tcW w:w="3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272"/>
        </w:trPr>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618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385"/>
        </w:trPr>
        <w:tc>
          <w:tcPr>
            <w:tcW w:w="20" w:type="dxa"/>
            <w:vAlign w:val="bottom"/>
          </w:tcPr>
          <w:p>
            <w:pPr>
              <w:spacing w:after="0"/>
              <w:rPr>
                <w:sz w:val="24"/>
                <w:szCs w:val="24"/>
                <w:color w:val="auto"/>
              </w:rPr>
            </w:pPr>
          </w:p>
        </w:tc>
        <w:tc>
          <w:tcPr>
            <w:tcW w:w="1400" w:type="dxa"/>
            <w:vAlign w:val="bottom"/>
            <w:gridSpan w:val="5"/>
          </w:tcPr>
          <w:p>
            <w:pPr>
              <w:spacing w:after="0"/>
              <w:rPr>
                <w:sz w:val="20"/>
                <w:szCs w:val="20"/>
                <w:color w:val="auto"/>
              </w:rPr>
            </w:pPr>
            <w:r>
              <w:rPr>
                <w:rFonts w:ascii="Arial" w:cs="Arial" w:eastAsia="Arial" w:hAnsi="Arial"/>
                <w:sz w:val="18"/>
                <w:szCs w:val="18"/>
                <w:b w:val="1"/>
                <w:bCs w:val="1"/>
                <w:color w:val="auto"/>
              </w:rPr>
              <w:t>Exhibit No.</w:t>
            </w:r>
          </w:p>
        </w:tc>
        <w:tc>
          <w:tcPr>
            <w:tcW w:w="3640" w:type="dxa"/>
            <w:vAlign w:val="bottom"/>
          </w:tcPr>
          <w:p>
            <w:pPr>
              <w:spacing w:after="0"/>
              <w:rPr>
                <w:sz w:val="20"/>
                <w:szCs w:val="20"/>
                <w:color w:val="auto"/>
              </w:rPr>
            </w:pPr>
            <w:r>
              <w:rPr>
                <w:rFonts w:ascii="Arial" w:cs="Arial" w:eastAsia="Arial" w:hAnsi="Arial"/>
                <w:sz w:val="18"/>
                <w:szCs w:val="18"/>
                <w:b w:val="1"/>
                <w:bCs w:val="1"/>
                <w:color w:val="auto"/>
              </w:rPr>
              <w:t>Exhibit Description</w:t>
            </w:r>
          </w:p>
        </w:tc>
        <w:tc>
          <w:tcPr>
            <w:tcW w:w="1120" w:type="dxa"/>
            <w:vAlign w:val="bottom"/>
            <w:tcBorders>
              <w:top w:val="single" w:sz="8" w:color="auto"/>
            </w:tcBorders>
          </w:tcPr>
          <w:p>
            <w:pPr>
              <w:spacing w:after="0"/>
              <w:rPr>
                <w:sz w:val="24"/>
                <w:szCs w:val="24"/>
                <w:color w:val="auto"/>
              </w:rPr>
            </w:pPr>
          </w:p>
        </w:tc>
        <w:tc>
          <w:tcPr>
            <w:tcW w:w="5060" w:type="dxa"/>
            <w:vAlign w:val="bottom"/>
          </w:tcPr>
          <w:p>
            <w:pPr>
              <w:spacing w:after="0"/>
              <w:rPr>
                <w:sz w:val="24"/>
                <w:szCs w:val="24"/>
                <w:color w:val="auto"/>
              </w:rPr>
            </w:pPr>
          </w:p>
        </w:tc>
      </w:tr>
      <w:tr>
        <w:trPr>
          <w:trHeight w:val="176"/>
        </w:trPr>
        <w:tc>
          <w:tcPr>
            <w:tcW w:w="380" w:type="dxa"/>
            <w:vAlign w:val="bottom"/>
            <w:tcBorders>
              <w:top w:val="single" w:sz="8" w:color="auto"/>
            </w:tcBorders>
            <w:gridSpan w:val="3"/>
          </w:tcPr>
          <w:p>
            <w:pPr>
              <w:ind w:left="20"/>
              <w:spacing w:after="0" w:line="169" w:lineRule="exact"/>
              <w:rPr>
                <w:rFonts w:ascii="Arial" w:cs="Arial" w:eastAsia="Arial" w:hAnsi="Arial"/>
                <w:sz w:val="18"/>
                <w:szCs w:val="18"/>
                <w:color w:val="0000FF"/>
              </w:rPr>
            </w:pPr>
            <w:hyperlink r:id="rId74">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820" w:type="dxa"/>
            <w:vAlign w:val="bottom"/>
            <w:tcBorders>
              <w:top w:val="single" w:sz="8" w:color="auto"/>
            </w:tcBorders>
            <w:gridSpan w:val="3"/>
          </w:tcPr>
          <w:p>
            <w:pPr>
              <w:spacing w:after="0" w:line="169" w:lineRule="exact"/>
              <w:rPr>
                <w:sz w:val="20"/>
                <w:szCs w:val="20"/>
                <w:color w:val="auto"/>
              </w:rPr>
            </w:pPr>
            <w:r>
              <w:rPr>
                <w:rFonts w:ascii="Arial" w:cs="Arial" w:eastAsia="Arial" w:hAnsi="Arial"/>
                <w:sz w:val="18"/>
                <w:szCs w:val="18"/>
                <w:color w:val="auto"/>
              </w:rPr>
              <w:t>Third Amended and Restated Certificate of Incorporation of National Vision Holdings, Inc. - incorporated herein by</w:t>
            </w:r>
          </w:p>
        </w:tc>
      </w:tr>
      <w:tr>
        <w:trPr>
          <w:trHeight w:val="211"/>
        </w:trPr>
        <w:tc>
          <w:tcPr>
            <w:tcW w:w="2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20" w:type="dxa"/>
            <w:vAlign w:val="bottom"/>
            <w:gridSpan w:val="3"/>
          </w:tcPr>
          <w:p>
            <w:pPr>
              <w:spacing w:after="0"/>
              <w:rPr>
                <w:sz w:val="20"/>
                <w:szCs w:val="20"/>
                <w:color w:val="auto"/>
              </w:rPr>
            </w:pPr>
            <w:r>
              <w:rPr>
                <w:rFonts w:ascii="Arial" w:cs="Arial" w:eastAsia="Arial" w:hAnsi="Arial"/>
                <w:sz w:val="18"/>
                <w:szCs w:val="18"/>
                <w:color w:val="auto"/>
              </w:rPr>
              <w:t>reference to Exhibit 3.1 to the Company’s Current Report on Form 8-K filed on June 10, 2021.</w:t>
            </w:r>
          </w:p>
        </w:tc>
      </w:tr>
      <w:tr>
        <w:trPr>
          <w:trHeight w:val="188"/>
        </w:trPr>
        <w:tc>
          <w:tcPr>
            <w:tcW w:w="380" w:type="dxa"/>
            <w:vAlign w:val="bottom"/>
            <w:gridSpan w:val="3"/>
          </w:tcPr>
          <w:p>
            <w:pPr>
              <w:ind w:left="20"/>
              <w:spacing w:after="0" w:line="181" w:lineRule="exact"/>
              <w:rPr>
                <w:rFonts w:ascii="Arial" w:cs="Arial" w:eastAsia="Arial" w:hAnsi="Arial"/>
                <w:sz w:val="18"/>
                <w:szCs w:val="18"/>
                <w:color w:val="0000FF"/>
              </w:rPr>
            </w:pPr>
            <w:hyperlink r:id="rId75">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20" w:type="dxa"/>
            <w:vAlign w:val="bottom"/>
            <w:gridSpan w:val="3"/>
          </w:tcPr>
          <w:p>
            <w:pPr>
              <w:spacing w:after="0" w:line="181" w:lineRule="exact"/>
              <w:rPr>
                <w:sz w:val="20"/>
                <w:szCs w:val="20"/>
                <w:color w:val="auto"/>
              </w:rPr>
            </w:pPr>
            <w:r>
              <w:rPr>
                <w:rFonts w:ascii="Arial" w:cs="Arial" w:eastAsia="Arial" w:hAnsi="Arial"/>
                <w:sz w:val="18"/>
                <w:szCs w:val="18"/>
                <w:color w:val="auto"/>
              </w:rPr>
              <w:t>Fourth Amended and Restated Bylaws of National Vision Holdings, Inc. - incorporated herein by reference to Exhibit 3.1 to</w:t>
            </w:r>
          </w:p>
        </w:tc>
      </w:tr>
      <w:tr>
        <w:trPr>
          <w:trHeight w:val="211"/>
        </w:trPr>
        <w:tc>
          <w:tcPr>
            <w:tcW w:w="2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20" w:type="dxa"/>
            <w:vAlign w:val="bottom"/>
            <w:gridSpan w:val="3"/>
          </w:tcPr>
          <w:p>
            <w:pPr>
              <w:spacing w:after="0"/>
              <w:rPr>
                <w:sz w:val="20"/>
                <w:szCs w:val="20"/>
                <w:color w:val="auto"/>
              </w:rPr>
            </w:pPr>
            <w:r>
              <w:rPr>
                <w:rFonts w:ascii="Arial" w:cs="Arial" w:eastAsia="Arial" w:hAnsi="Arial"/>
                <w:sz w:val="18"/>
                <w:szCs w:val="18"/>
                <w:color w:val="auto"/>
              </w:rPr>
              <w:t>the Company’s Current Report on Form 8-K filed on December 12, 2023.</w:t>
            </w:r>
          </w:p>
        </w:tc>
      </w:tr>
      <w:tr>
        <w:trPr>
          <w:trHeight w:val="194"/>
        </w:trPr>
        <w:tc>
          <w:tcPr>
            <w:tcW w:w="20" w:type="dxa"/>
            <w:vAlign w:val="bottom"/>
          </w:tcPr>
          <w:p>
            <w:pPr>
              <w:spacing w:after="0"/>
              <w:rPr>
                <w:sz w:val="16"/>
                <w:szCs w:val="16"/>
                <w:color w:val="auto"/>
              </w:rPr>
            </w:pPr>
          </w:p>
        </w:tc>
        <w:tc>
          <w:tcPr>
            <w:tcW w:w="360" w:type="dxa"/>
            <w:vAlign w:val="bottom"/>
            <w:tcBorders>
              <w:bottom w:val="single" w:sz="8" w:color="0000FF"/>
            </w:tcBorders>
            <w:gridSpan w:val="2"/>
          </w:tcPr>
          <w:p>
            <w:pPr>
              <w:spacing w:after="0" w:line="195" w:lineRule="exact"/>
              <w:rPr>
                <w:sz w:val="20"/>
                <w:szCs w:val="20"/>
                <w:color w:val="auto"/>
              </w:rPr>
            </w:pPr>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1</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20" w:type="dxa"/>
            <w:vAlign w:val="bottom"/>
            <w:gridSpan w:val="3"/>
          </w:tcPr>
          <w:p>
            <w:pPr>
              <w:spacing w:after="0" w:line="195" w:lineRule="exact"/>
              <w:rPr>
                <w:sz w:val="20"/>
                <w:szCs w:val="20"/>
                <w:color w:val="auto"/>
              </w:rPr>
            </w:pPr>
            <w:r>
              <w:rPr>
                <w:rFonts w:ascii="Arial" w:cs="Arial" w:eastAsia="Arial" w:hAnsi="Arial"/>
                <w:sz w:val="18"/>
                <w:szCs w:val="18"/>
                <w:color w:val="auto"/>
              </w:rPr>
              <w:t>Executive Chair Agreement, dated April 28, 2025, by and between National Vision Holdings, Inc. and L. Reade Fahs.</w:t>
            </w:r>
          </w:p>
        </w:tc>
      </w:tr>
      <w:tr>
        <w:trPr>
          <w:trHeight w:val="203"/>
        </w:trPr>
        <w:tc>
          <w:tcPr>
            <w:tcW w:w="380" w:type="dxa"/>
            <w:vAlign w:val="bottom"/>
            <w:gridSpan w:val="3"/>
          </w:tcPr>
          <w:p>
            <w:pPr>
              <w:ind w:left="20"/>
              <w:spacing w:after="0" w:line="196" w:lineRule="exact"/>
              <w:rPr>
                <w:sz w:val="20"/>
                <w:szCs w:val="20"/>
                <w:color w:val="auto"/>
              </w:rPr>
            </w:pPr>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1</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gridSpan w:val="3"/>
          </w:tcPr>
          <w:p>
            <w:pPr>
              <w:spacing w:after="0" w:line="196" w:lineRule="exact"/>
              <w:rPr>
                <w:sz w:val="20"/>
                <w:szCs w:val="20"/>
                <w:color w:val="auto"/>
              </w:rPr>
            </w:pPr>
            <w:r>
              <w:rPr>
                <w:rFonts w:ascii="Arial" w:cs="Arial" w:eastAsia="Arial" w:hAnsi="Arial"/>
                <w:sz w:val="18"/>
                <w:szCs w:val="18"/>
                <w:color w:val="auto"/>
              </w:rPr>
              <w:t>Certification of Periodic Report by Chief Executive Officer under Section 302 of the Sarbanes-Oxley Act of 2002 (filed</w:t>
            </w:r>
          </w:p>
        </w:tc>
      </w:tr>
      <w:tr>
        <w:trPr>
          <w:trHeight w:val="211"/>
        </w:trPr>
        <w:tc>
          <w:tcPr>
            <w:tcW w:w="2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20" w:type="dxa"/>
            <w:vAlign w:val="bottom"/>
            <w:gridSpan w:val="3"/>
          </w:tcPr>
          <w:p>
            <w:pPr>
              <w:spacing w:after="0"/>
              <w:rPr>
                <w:sz w:val="20"/>
                <w:szCs w:val="20"/>
                <w:color w:val="auto"/>
              </w:rPr>
            </w:pPr>
            <w:r>
              <w:rPr>
                <w:rFonts w:ascii="Arial" w:cs="Arial" w:eastAsia="Arial" w:hAnsi="Arial"/>
                <w:sz w:val="18"/>
                <w:szCs w:val="18"/>
                <w:color w:val="auto"/>
              </w:rPr>
              <w:t>herewith).</w:t>
            </w:r>
          </w:p>
        </w:tc>
      </w:tr>
      <w:tr>
        <w:trPr>
          <w:trHeight w:val="188"/>
        </w:trPr>
        <w:tc>
          <w:tcPr>
            <w:tcW w:w="380" w:type="dxa"/>
            <w:vAlign w:val="bottom"/>
            <w:gridSpan w:val="3"/>
          </w:tcPr>
          <w:p>
            <w:pPr>
              <w:ind w:left="20"/>
              <w:spacing w:after="0" w:line="181" w:lineRule="exact"/>
              <w:rPr>
                <w:sz w:val="20"/>
                <w:szCs w:val="20"/>
                <w:color w:val="auto"/>
              </w:rPr>
            </w:pPr>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2</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20" w:type="dxa"/>
            <w:vAlign w:val="bottom"/>
            <w:gridSpan w:val="3"/>
          </w:tcPr>
          <w:p>
            <w:pPr>
              <w:spacing w:after="0" w:line="181" w:lineRule="exact"/>
              <w:rPr>
                <w:sz w:val="20"/>
                <w:szCs w:val="20"/>
                <w:color w:val="auto"/>
              </w:rPr>
            </w:pPr>
            <w:r>
              <w:rPr>
                <w:rFonts w:ascii="Arial" w:cs="Arial" w:eastAsia="Arial" w:hAnsi="Arial"/>
                <w:sz w:val="18"/>
                <w:szCs w:val="18"/>
                <w:color w:val="auto"/>
              </w:rPr>
              <w:t>Certification of Periodic Report by Chief Financial Officer under Section 302 of the Sarbanes-Oxley Act of 2002 (filed</w:t>
            </w:r>
          </w:p>
        </w:tc>
      </w:tr>
      <w:tr>
        <w:trPr>
          <w:trHeight w:val="211"/>
        </w:trPr>
        <w:tc>
          <w:tcPr>
            <w:tcW w:w="2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20" w:type="dxa"/>
            <w:vAlign w:val="bottom"/>
            <w:gridSpan w:val="3"/>
          </w:tcPr>
          <w:p>
            <w:pPr>
              <w:spacing w:after="0"/>
              <w:rPr>
                <w:sz w:val="20"/>
                <w:szCs w:val="20"/>
                <w:color w:val="auto"/>
              </w:rPr>
            </w:pPr>
            <w:r>
              <w:rPr>
                <w:rFonts w:ascii="Arial" w:cs="Arial" w:eastAsia="Arial" w:hAnsi="Arial"/>
                <w:sz w:val="18"/>
                <w:szCs w:val="18"/>
                <w:color w:val="auto"/>
              </w:rPr>
              <w:t>herewith).</w:t>
            </w:r>
          </w:p>
        </w:tc>
      </w:tr>
      <w:tr>
        <w:trPr>
          <w:trHeight w:val="188"/>
        </w:trPr>
        <w:tc>
          <w:tcPr>
            <w:tcW w:w="380" w:type="dxa"/>
            <w:vAlign w:val="bottom"/>
            <w:gridSpan w:val="3"/>
          </w:tcPr>
          <w:p>
            <w:pPr>
              <w:ind w:left="20"/>
              <w:spacing w:after="0" w:line="181" w:lineRule="exact"/>
              <w:rPr>
                <w:sz w:val="20"/>
                <w:szCs w:val="20"/>
                <w:color w:val="auto"/>
              </w:rPr>
            </w:pPr>
            <w:r>
              <w:rPr>
                <w:rFonts w:ascii="Arial" w:cs="Arial" w:eastAsia="Arial" w:hAnsi="Arial"/>
                <w:sz w:val="18"/>
                <w:szCs w:val="18"/>
                <w:color w:val="0000FF"/>
                <w:w w:val="96"/>
              </w:rPr>
              <w:t>32.</w:t>
            </w:r>
            <w:r>
              <w:rPr>
                <w:rFonts w:ascii="Arial" w:cs="Arial" w:eastAsia="Arial" w:hAnsi="Arial"/>
                <w:sz w:val="18"/>
                <w:szCs w:val="18"/>
                <w:u w:val="single" w:color="auto"/>
                <w:color w:val="0000FF"/>
                <w:w w:val="96"/>
              </w:rPr>
              <w:t>1</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20" w:type="dxa"/>
            <w:vAlign w:val="bottom"/>
            <w:gridSpan w:val="3"/>
          </w:tcPr>
          <w:p>
            <w:pPr>
              <w:spacing w:after="0" w:line="181" w:lineRule="exact"/>
              <w:rPr>
                <w:sz w:val="20"/>
                <w:szCs w:val="20"/>
                <w:color w:val="auto"/>
              </w:rPr>
            </w:pPr>
            <w:r>
              <w:rPr>
                <w:rFonts w:ascii="Arial" w:cs="Arial" w:eastAsia="Arial" w:hAnsi="Arial"/>
                <w:sz w:val="18"/>
                <w:szCs w:val="18"/>
                <w:color w:val="auto"/>
              </w:rPr>
              <w:t>Certification of Chief Executive Officer Pursuant to 18 U.S.C. Section 1350 as Adopted Pursuant to Section 906 of the</w:t>
            </w:r>
          </w:p>
        </w:tc>
      </w:tr>
      <w:tr>
        <w:trPr>
          <w:trHeight w:val="211"/>
        </w:trPr>
        <w:tc>
          <w:tcPr>
            <w:tcW w:w="2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20" w:type="dxa"/>
            <w:vAlign w:val="bottom"/>
            <w:gridSpan w:val="3"/>
          </w:tcPr>
          <w:p>
            <w:pPr>
              <w:spacing w:after="0"/>
              <w:rPr>
                <w:sz w:val="20"/>
                <w:szCs w:val="20"/>
                <w:color w:val="auto"/>
              </w:rPr>
            </w:pPr>
            <w:r>
              <w:rPr>
                <w:rFonts w:ascii="Arial" w:cs="Arial" w:eastAsia="Arial" w:hAnsi="Arial"/>
                <w:sz w:val="18"/>
                <w:szCs w:val="18"/>
                <w:color w:val="auto"/>
              </w:rPr>
              <w:t>Sarbanes-Oxley Act of 2002 (furnished herewith).</w:t>
            </w:r>
          </w:p>
        </w:tc>
      </w:tr>
      <w:tr>
        <w:trPr>
          <w:trHeight w:val="188"/>
        </w:trPr>
        <w:tc>
          <w:tcPr>
            <w:tcW w:w="380" w:type="dxa"/>
            <w:vAlign w:val="bottom"/>
            <w:gridSpan w:val="3"/>
          </w:tcPr>
          <w:p>
            <w:pPr>
              <w:ind w:left="20"/>
              <w:spacing w:after="0" w:line="181" w:lineRule="exact"/>
              <w:rPr>
                <w:sz w:val="20"/>
                <w:szCs w:val="20"/>
                <w:color w:val="auto"/>
              </w:rPr>
            </w:pPr>
            <w:r>
              <w:rPr>
                <w:rFonts w:ascii="Arial" w:cs="Arial" w:eastAsia="Arial" w:hAnsi="Arial"/>
                <w:sz w:val="18"/>
                <w:szCs w:val="18"/>
                <w:color w:val="0000FF"/>
                <w:w w:val="96"/>
              </w:rPr>
              <w:t>32.</w:t>
            </w:r>
            <w:r>
              <w:rPr>
                <w:rFonts w:ascii="Arial" w:cs="Arial" w:eastAsia="Arial" w:hAnsi="Arial"/>
                <w:sz w:val="18"/>
                <w:szCs w:val="18"/>
                <w:u w:val="single" w:color="auto"/>
                <w:color w:val="0000FF"/>
                <w:w w:val="96"/>
              </w:rPr>
              <w:t>2</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20" w:type="dxa"/>
            <w:vAlign w:val="bottom"/>
            <w:gridSpan w:val="3"/>
          </w:tcPr>
          <w:p>
            <w:pPr>
              <w:spacing w:after="0" w:line="181" w:lineRule="exact"/>
              <w:rPr>
                <w:sz w:val="20"/>
                <w:szCs w:val="20"/>
                <w:color w:val="auto"/>
              </w:rPr>
            </w:pPr>
            <w:r>
              <w:rPr>
                <w:rFonts w:ascii="Arial" w:cs="Arial" w:eastAsia="Arial" w:hAnsi="Arial"/>
                <w:sz w:val="18"/>
                <w:szCs w:val="18"/>
                <w:color w:val="auto"/>
              </w:rPr>
              <w:t>Certification of Chief Financial Officer Pursuant to 18 U.S.C. Section 1350 as Adopted Pursuant to Section 906 of the</w:t>
            </w:r>
          </w:p>
        </w:tc>
      </w:tr>
      <w:tr>
        <w:trPr>
          <w:trHeight w:val="211"/>
        </w:trPr>
        <w:tc>
          <w:tcPr>
            <w:tcW w:w="2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20" w:type="dxa"/>
            <w:vAlign w:val="bottom"/>
            <w:gridSpan w:val="3"/>
          </w:tcPr>
          <w:p>
            <w:pPr>
              <w:spacing w:after="0"/>
              <w:rPr>
                <w:sz w:val="20"/>
                <w:szCs w:val="20"/>
                <w:color w:val="auto"/>
              </w:rPr>
            </w:pPr>
            <w:r>
              <w:rPr>
                <w:rFonts w:ascii="Arial" w:cs="Arial" w:eastAsia="Arial" w:hAnsi="Arial"/>
                <w:sz w:val="18"/>
                <w:szCs w:val="18"/>
                <w:color w:val="auto"/>
              </w:rPr>
              <w:t>Sarbanes-Oxley Act of 2002 (furnished herewith).</w:t>
            </w:r>
          </w:p>
        </w:tc>
      </w:tr>
      <w:tr>
        <w:trPr>
          <w:trHeight w:val="181"/>
        </w:trPr>
        <w:tc>
          <w:tcPr>
            <w:tcW w:w="20" w:type="dxa"/>
            <w:vAlign w:val="bottom"/>
          </w:tcPr>
          <w:p>
            <w:pPr>
              <w:spacing w:after="0"/>
              <w:rPr>
                <w:sz w:val="15"/>
                <w:szCs w:val="15"/>
                <w:color w:val="auto"/>
              </w:rPr>
            </w:pPr>
          </w:p>
        </w:tc>
        <w:tc>
          <w:tcPr>
            <w:tcW w:w="1400" w:type="dxa"/>
            <w:vAlign w:val="bottom"/>
            <w:gridSpan w:val="5"/>
          </w:tcPr>
          <w:p>
            <w:pPr>
              <w:spacing w:after="0" w:line="181" w:lineRule="exact"/>
              <w:rPr>
                <w:sz w:val="20"/>
                <w:szCs w:val="20"/>
                <w:color w:val="auto"/>
              </w:rPr>
            </w:pPr>
            <w:r>
              <w:rPr>
                <w:rFonts w:ascii="Arial" w:cs="Arial" w:eastAsia="Arial" w:hAnsi="Arial"/>
                <w:sz w:val="18"/>
                <w:szCs w:val="18"/>
                <w:color w:val="auto"/>
              </w:rPr>
              <w:t>101.INS</w:t>
            </w:r>
          </w:p>
        </w:tc>
        <w:tc>
          <w:tcPr>
            <w:tcW w:w="9820" w:type="dxa"/>
            <w:vAlign w:val="bottom"/>
            <w:gridSpan w:val="3"/>
          </w:tcPr>
          <w:p>
            <w:pPr>
              <w:spacing w:after="0" w:line="181" w:lineRule="exact"/>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w:t>
            </w:r>
          </w:p>
        </w:tc>
      </w:tr>
      <w:tr>
        <w:trPr>
          <w:trHeight w:val="238"/>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20" w:type="dxa"/>
            <w:vAlign w:val="bottom"/>
            <w:gridSpan w:val="3"/>
          </w:tcPr>
          <w:p>
            <w:pPr>
              <w:spacing w:after="0"/>
              <w:rPr>
                <w:sz w:val="20"/>
                <w:szCs w:val="20"/>
                <w:color w:val="auto"/>
              </w:rPr>
            </w:pPr>
            <w:r>
              <w:rPr>
                <w:rFonts w:ascii="Arial" w:cs="Arial" w:eastAsia="Arial" w:hAnsi="Arial"/>
                <w:sz w:val="18"/>
                <w:szCs w:val="18"/>
                <w:color w:val="auto"/>
              </w:rPr>
              <w:t>tags are embedded within Inline XBRL document.</w:t>
            </w:r>
          </w:p>
        </w:tc>
      </w:tr>
      <w:tr>
        <w:trPr>
          <w:trHeight w:val="229"/>
        </w:trPr>
        <w:tc>
          <w:tcPr>
            <w:tcW w:w="20" w:type="dxa"/>
            <w:vAlign w:val="bottom"/>
          </w:tcPr>
          <w:p>
            <w:pPr>
              <w:spacing w:after="0"/>
              <w:rPr>
                <w:sz w:val="19"/>
                <w:szCs w:val="19"/>
                <w:color w:val="auto"/>
              </w:rPr>
            </w:pPr>
          </w:p>
        </w:tc>
        <w:tc>
          <w:tcPr>
            <w:tcW w:w="1400" w:type="dxa"/>
            <w:vAlign w:val="bottom"/>
            <w:gridSpan w:val="5"/>
          </w:tcPr>
          <w:p>
            <w:pPr>
              <w:spacing w:after="0"/>
              <w:rPr>
                <w:sz w:val="20"/>
                <w:szCs w:val="20"/>
                <w:color w:val="auto"/>
              </w:rPr>
            </w:pPr>
            <w:r>
              <w:rPr>
                <w:rFonts w:ascii="Arial" w:cs="Arial" w:eastAsia="Arial" w:hAnsi="Arial"/>
                <w:sz w:val="18"/>
                <w:szCs w:val="18"/>
                <w:color w:val="auto"/>
              </w:rPr>
              <w:t>101.SCH</w:t>
            </w:r>
          </w:p>
        </w:tc>
        <w:tc>
          <w:tcPr>
            <w:tcW w:w="9820" w:type="dxa"/>
            <w:vAlign w:val="bottom"/>
            <w:gridSpan w:val="3"/>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30"/>
        </w:trPr>
        <w:tc>
          <w:tcPr>
            <w:tcW w:w="20" w:type="dxa"/>
            <w:vAlign w:val="bottom"/>
          </w:tcPr>
          <w:p>
            <w:pPr>
              <w:spacing w:after="0"/>
              <w:rPr>
                <w:sz w:val="19"/>
                <w:szCs w:val="19"/>
                <w:color w:val="auto"/>
              </w:rPr>
            </w:pPr>
          </w:p>
        </w:tc>
        <w:tc>
          <w:tcPr>
            <w:tcW w:w="1400" w:type="dxa"/>
            <w:vAlign w:val="bottom"/>
            <w:gridSpan w:val="5"/>
          </w:tcPr>
          <w:p>
            <w:pPr>
              <w:spacing w:after="0"/>
              <w:rPr>
                <w:sz w:val="20"/>
                <w:szCs w:val="20"/>
                <w:color w:val="auto"/>
              </w:rPr>
            </w:pPr>
            <w:r>
              <w:rPr>
                <w:rFonts w:ascii="Arial" w:cs="Arial" w:eastAsia="Arial" w:hAnsi="Arial"/>
                <w:sz w:val="18"/>
                <w:szCs w:val="18"/>
                <w:color w:val="auto"/>
              </w:rPr>
              <w:t>101.CAL</w:t>
            </w:r>
          </w:p>
        </w:tc>
        <w:tc>
          <w:tcPr>
            <w:tcW w:w="9820" w:type="dxa"/>
            <w:vAlign w:val="bottom"/>
            <w:gridSpan w:val="3"/>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29"/>
        </w:trPr>
        <w:tc>
          <w:tcPr>
            <w:tcW w:w="20" w:type="dxa"/>
            <w:vAlign w:val="bottom"/>
          </w:tcPr>
          <w:p>
            <w:pPr>
              <w:spacing w:after="0"/>
              <w:rPr>
                <w:sz w:val="19"/>
                <w:szCs w:val="19"/>
                <w:color w:val="auto"/>
              </w:rPr>
            </w:pPr>
          </w:p>
        </w:tc>
        <w:tc>
          <w:tcPr>
            <w:tcW w:w="1400" w:type="dxa"/>
            <w:vAlign w:val="bottom"/>
            <w:gridSpan w:val="5"/>
          </w:tcPr>
          <w:p>
            <w:pPr>
              <w:spacing w:after="0"/>
              <w:rPr>
                <w:sz w:val="20"/>
                <w:szCs w:val="20"/>
                <w:color w:val="auto"/>
              </w:rPr>
            </w:pPr>
            <w:r>
              <w:rPr>
                <w:rFonts w:ascii="Arial" w:cs="Arial" w:eastAsia="Arial" w:hAnsi="Arial"/>
                <w:sz w:val="18"/>
                <w:szCs w:val="18"/>
                <w:color w:val="auto"/>
              </w:rPr>
              <w:t>101.DEF</w:t>
            </w:r>
          </w:p>
        </w:tc>
        <w:tc>
          <w:tcPr>
            <w:tcW w:w="9820" w:type="dxa"/>
            <w:vAlign w:val="bottom"/>
            <w:gridSpan w:val="3"/>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30"/>
        </w:trPr>
        <w:tc>
          <w:tcPr>
            <w:tcW w:w="20" w:type="dxa"/>
            <w:vAlign w:val="bottom"/>
          </w:tcPr>
          <w:p>
            <w:pPr>
              <w:spacing w:after="0"/>
              <w:rPr>
                <w:sz w:val="19"/>
                <w:szCs w:val="19"/>
                <w:color w:val="auto"/>
              </w:rPr>
            </w:pPr>
          </w:p>
        </w:tc>
        <w:tc>
          <w:tcPr>
            <w:tcW w:w="1400" w:type="dxa"/>
            <w:vAlign w:val="bottom"/>
            <w:gridSpan w:val="5"/>
          </w:tcPr>
          <w:p>
            <w:pPr>
              <w:spacing w:after="0"/>
              <w:rPr>
                <w:sz w:val="20"/>
                <w:szCs w:val="20"/>
                <w:color w:val="auto"/>
              </w:rPr>
            </w:pPr>
            <w:r>
              <w:rPr>
                <w:rFonts w:ascii="Arial" w:cs="Arial" w:eastAsia="Arial" w:hAnsi="Arial"/>
                <w:sz w:val="18"/>
                <w:szCs w:val="18"/>
                <w:color w:val="auto"/>
              </w:rPr>
              <w:t>101.LAB</w:t>
            </w:r>
          </w:p>
        </w:tc>
        <w:tc>
          <w:tcPr>
            <w:tcW w:w="9820" w:type="dxa"/>
            <w:vAlign w:val="bottom"/>
            <w:gridSpan w:val="3"/>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39"/>
        </w:trPr>
        <w:tc>
          <w:tcPr>
            <w:tcW w:w="20" w:type="dxa"/>
            <w:vAlign w:val="bottom"/>
          </w:tcPr>
          <w:p>
            <w:pPr>
              <w:spacing w:after="0"/>
              <w:rPr>
                <w:sz w:val="20"/>
                <w:szCs w:val="20"/>
                <w:color w:val="auto"/>
              </w:rPr>
            </w:pPr>
          </w:p>
        </w:tc>
        <w:tc>
          <w:tcPr>
            <w:tcW w:w="1400" w:type="dxa"/>
            <w:vAlign w:val="bottom"/>
            <w:gridSpan w:val="5"/>
          </w:tcPr>
          <w:p>
            <w:pPr>
              <w:spacing w:after="0"/>
              <w:rPr>
                <w:sz w:val="20"/>
                <w:szCs w:val="20"/>
                <w:color w:val="auto"/>
              </w:rPr>
            </w:pPr>
            <w:r>
              <w:rPr>
                <w:rFonts w:ascii="Arial" w:cs="Arial" w:eastAsia="Arial" w:hAnsi="Arial"/>
                <w:sz w:val="18"/>
                <w:szCs w:val="18"/>
                <w:color w:val="auto"/>
              </w:rPr>
              <w:t>101.PRE</w:t>
            </w:r>
          </w:p>
        </w:tc>
        <w:tc>
          <w:tcPr>
            <w:tcW w:w="9820" w:type="dxa"/>
            <w:vAlign w:val="bottom"/>
            <w:gridSpan w:val="3"/>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ind w:left="1420" w:right="40" w:hanging="1394"/>
        <w:spacing w:after="0" w:line="234" w:lineRule="auto"/>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cover page of the Company’s Quarterly Report on Form 10-Q for the quarter ended June 28, 2025, formatted in Inline XBRL (included within the Exhibit 101 attachments).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National Vision Holdings, Inc.</w:t>
      </w:r>
    </w:p>
    <w:p>
      <w:pPr>
        <w:spacing w:after="0" w:line="252" w:lineRule="exact"/>
        <w:rPr>
          <w:sz w:val="20"/>
          <w:szCs w:val="20"/>
          <w:color w:val="auto"/>
        </w:rPr>
      </w:pPr>
    </w:p>
    <w:p>
      <w:pPr>
        <w:ind w:left="20"/>
        <w:spacing w:after="0"/>
        <w:tabs>
          <w:tab w:leader="none" w:pos="5780" w:val="left"/>
          <w:tab w:leader="none" w:pos="6220" w:val="left"/>
        </w:tabs>
        <w:rPr>
          <w:sz w:val="20"/>
          <w:szCs w:val="20"/>
          <w:color w:val="auto"/>
        </w:rPr>
      </w:pPr>
      <w:r>
        <w:rPr>
          <w:rFonts w:ascii="Arial" w:cs="Arial" w:eastAsia="Arial" w:hAnsi="Arial"/>
          <w:sz w:val="18"/>
          <w:szCs w:val="18"/>
          <w:color w:val="auto"/>
        </w:rPr>
        <w:t>Dated: August 7, 2025</w:t>
      </w:r>
      <w:r>
        <w:rPr>
          <w:sz w:val="20"/>
          <w:szCs w:val="20"/>
          <w:color w:val="auto"/>
        </w:rPr>
        <w:tab/>
      </w:r>
      <w:r>
        <w:rPr>
          <w:rFonts w:ascii="Arial" w:cs="Arial" w:eastAsia="Arial" w:hAnsi="Arial"/>
          <w:sz w:val="18"/>
          <w:szCs w:val="18"/>
          <w:color w:val="auto"/>
        </w:rPr>
        <w:t>By:</w:t>
        <w:tab/>
        <w:t>/s/ Alex Wilkes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17780</wp:posOffset>
            </wp:positionV>
            <wp:extent cx="31800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6"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Alex Wilkes</w:t>
      </w:r>
    </w:p>
    <w:p>
      <w:pPr>
        <w:spacing w:after="0" w:line="32"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Chief Executive Officer</w:t>
      </w:r>
    </w:p>
    <w:p>
      <w:pPr>
        <w:spacing w:after="0" w:line="31" w:lineRule="exact"/>
        <w:rPr>
          <w:sz w:val="20"/>
          <w:szCs w:val="20"/>
          <w:color w:val="auto"/>
        </w:rPr>
      </w:pPr>
    </w:p>
    <w:p>
      <w:pPr>
        <w:ind w:left="6240"/>
        <w:spacing w:after="0"/>
        <w:rPr>
          <w:sz w:val="20"/>
          <w:szCs w:val="20"/>
          <w:color w:val="auto"/>
        </w:rPr>
      </w:pPr>
      <w:r>
        <w:rPr>
          <w:rFonts w:ascii="Arial" w:cs="Arial" w:eastAsia="Arial" w:hAnsi="Arial"/>
          <w:sz w:val="18"/>
          <w:szCs w:val="18"/>
          <w:i w:val="1"/>
          <w:iCs w:val="1"/>
          <w:color w:val="auto"/>
        </w:rPr>
        <w:t>(Principal Executive Officer)</w:t>
      </w:r>
    </w:p>
    <w:p>
      <w:pPr>
        <w:spacing w:after="0" w:line="235" w:lineRule="exact"/>
        <w:rPr>
          <w:sz w:val="20"/>
          <w:szCs w:val="20"/>
          <w:color w:val="auto"/>
        </w:rPr>
      </w:pPr>
    </w:p>
    <w:p>
      <w:pPr>
        <w:ind w:left="20"/>
        <w:spacing w:after="0"/>
        <w:tabs>
          <w:tab w:leader="none" w:pos="5780" w:val="left"/>
          <w:tab w:leader="none" w:pos="6220" w:val="left"/>
        </w:tabs>
        <w:rPr>
          <w:sz w:val="20"/>
          <w:szCs w:val="20"/>
          <w:color w:val="auto"/>
        </w:rPr>
      </w:pPr>
      <w:r>
        <w:rPr>
          <w:rFonts w:ascii="Arial" w:cs="Arial" w:eastAsia="Arial" w:hAnsi="Arial"/>
          <w:sz w:val="18"/>
          <w:szCs w:val="18"/>
          <w:color w:val="auto"/>
        </w:rPr>
        <w:t>Dated: August 7,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Christopher Laden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17780</wp:posOffset>
            </wp:positionV>
            <wp:extent cx="31800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6"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Christopher Laden</w:t>
      </w:r>
    </w:p>
    <w:p>
      <w:pPr>
        <w:spacing w:after="0" w:line="32"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Senior Vice President, Chief Financial Officer</w:t>
      </w:r>
    </w:p>
    <w:p>
      <w:pPr>
        <w:spacing w:after="0" w:line="31" w:lineRule="exact"/>
        <w:rPr>
          <w:sz w:val="20"/>
          <w:szCs w:val="20"/>
          <w:color w:val="auto"/>
        </w:rPr>
      </w:pPr>
    </w:p>
    <w:p>
      <w:pPr>
        <w:ind w:left="62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121" w:right="45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EXECUTIVE CHAIR AGREEMENT</w:t>
      </w:r>
    </w:p>
    <w:p>
      <w:pPr>
        <w:spacing w:after="0" w:line="22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This Executive Chair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dated as of April 28, 2025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is by and between National Vision Holdings, Inc., a Delaware corporation (together with its subsidiaries and affiliates,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L. Reade Fahs (the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The Company and the Executive are collectively referred to herein as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2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the Executive presently serves as the Chief Executive Officer of the Company and as a director on the Company’s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and</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WHEREAS, in connection with the Company’s CEO succession plan, the Company wishes to provide for the orderly and effective transition of Company leadership to a new Chief Executive Officer and to secure the Executive’s ongoing services in connection with and following such transition, in accordance with the terms and conditions of this Agreement.</w:t>
      </w:r>
    </w:p>
    <w:p>
      <w:pPr>
        <w:spacing w:after="0" w:line="16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foregoing and of the mutual covenants and agreements set forth herein, and other good and valuable consideration, the receipt and sufficiency of which are hereby acknowledged, the Parties agree as follows:</w:t>
      </w:r>
    </w:p>
    <w:p>
      <w:pPr>
        <w:spacing w:after="0" w:line="173" w:lineRule="exact"/>
        <w:rPr>
          <w:sz w:val="20"/>
          <w:szCs w:val="20"/>
          <w:color w:val="auto"/>
        </w:rPr>
      </w:pPr>
    </w:p>
    <w:p>
      <w:pPr>
        <w:jc w:val="both"/>
        <w:ind w:firstLine="656"/>
        <w:spacing w:after="0" w:line="251" w:lineRule="auto"/>
        <w:tabs>
          <w:tab w:leader="none" w:pos="129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of Agreement</w:t>
      </w:r>
      <w:r>
        <w:rPr>
          <w:rFonts w:ascii="Times New Roman" w:cs="Times New Roman" w:eastAsia="Times New Roman" w:hAnsi="Times New Roman"/>
          <w:sz w:val="22"/>
          <w:szCs w:val="22"/>
          <w:color w:val="auto"/>
        </w:rPr>
        <w:t>. This Agreement shall commence on the Effective Date and shall end at the end of the day of the Company’s annual meeting of stockholders in 2027 (the “</w:t>
      </w:r>
      <w:r>
        <w:rPr>
          <w:rFonts w:ascii="Times New Roman" w:cs="Times New Roman" w:eastAsia="Times New Roman" w:hAnsi="Times New Roman"/>
          <w:sz w:val="22"/>
          <w:szCs w:val="22"/>
          <w:u w:val="single" w:color="auto"/>
          <w:color w:val="auto"/>
        </w:rPr>
        <w:t>Initial Term</w:t>
      </w:r>
      <w:r>
        <w:rPr>
          <w:rFonts w:ascii="Times New Roman" w:cs="Times New Roman" w:eastAsia="Times New Roman" w:hAnsi="Times New Roman"/>
          <w:sz w:val="22"/>
          <w:szCs w:val="22"/>
          <w:color w:val="auto"/>
        </w:rPr>
        <w:t>”), unless the Executive’s employment is terminated earlier by the Executive or the Company; provided that the Parties may extend the Term indefinitely by mutual written agreement (each such extension, an “</w:t>
      </w:r>
      <w:r>
        <w:rPr>
          <w:rFonts w:ascii="Times New Roman" w:cs="Times New Roman" w:eastAsia="Times New Roman" w:hAnsi="Times New Roman"/>
          <w:sz w:val="22"/>
          <w:szCs w:val="22"/>
          <w:u w:val="single" w:color="auto"/>
          <w:color w:val="auto"/>
        </w:rPr>
        <w:t>Additional Term</w:t>
      </w:r>
      <w:r>
        <w:rPr>
          <w:rFonts w:ascii="Times New Roman" w:cs="Times New Roman" w:eastAsia="Times New Roman" w:hAnsi="Times New Roman"/>
          <w:sz w:val="22"/>
          <w:szCs w:val="22"/>
          <w:color w:val="auto"/>
        </w:rPr>
        <w:t>” and, together with the Initial Term,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Following the expiration of the Term, this Agreement (and any obligations of the parties thereunder) will be of no further force and effect, except as otherwise provided herein.</w:t>
      </w:r>
    </w:p>
    <w:p>
      <w:pPr>
        <w:spacing w:after="0" w:line="194" w:lineRule="exact"/>
        <w:rPr>
          <w:rFonts w:ascii="Times New Roman" w:cs="Times New Roman" w:eastAsia="Times New Roman" w:hAnsi="Times New Roman"/>
          <w:sz w:val="22"/>
          <w:szCs w:val="22"/>
          <w:color w:val="auto"/>
        </w:rPr>
      </w:pPr>
    </w:p>
    <w:p>
      <w:pPr>
        <w:ind w:left="1300" w:hanging="643"/>
        <w:spacing w:after="0"/>
        <w:tabs>
          <w:tab w:leader="none" w:pos="130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 and Duties</w:t>
      </w:r>
      <w:r>
        <w:rPr>
          <w:rFonts w:ascii="Times New Roman" w:cs="Times New Roman" w:eastAsia="Times New Roman" w:hAnsi="Times New Roman"/>
          <w:sz w:val="22"/>
          <w:szCs w:val="22"/>
          <w:color w:val="auto"/>
        </w:rPr>
        <w:t>.</w:t>
      </w:r>
    </w:p>
    <w:p>
      <w:pPr>
        <w:spacing w:after="0" w:line="215" w:lineRule="exact"/>
        <w:rPr>
          <w:rFonts w:ascii="Times New Roman" w:cs="Times New Roman" w:eastAsia="Times New Roman" w:hAnsi="Times New Roman"/>
          <w:sz w:val="22"/>
          <w:szCs w:val="22"/>
          <w:color w:val="auto"/>
        </w:rPr>
      </w:pPr>
    </w:p>
    <w:p>
      <w:pPr>
        <w:jc w:val="both"/>
        <w:ind w:firstLine="1304"/>
        <w:spacing w:after="0" w:line="254" w:lineRule="auto"/>
        <w:tabs>
          <w:tab w:leader="none" w:pos="1941"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Service as Chief Executive Officer. </w:t>
      </w:r>
      <w:r>
        <w:rPr>
          <w:rFonts w:ascii="Times New Roman" w:cs="Times New Roman" w:eastAsia="Times New Roman" w:hAnsi="Times New Roman"/>
          <w:sz w:val="22"/>
          <w:szCs w:val="22"/>
          <w:color w:val="auto"/>
        </w:rPr>
        <w:t>The Company shall continue to employ the Executive as Chief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Executive Officer through the end of the day on July 31, 2025. During this period, the Executive shall continue to report directly to the Board of Directors and shall perform such duties and responsibilities and maintain such authority as is consistent with his title and status, as determined by the Board. Such duties and responsibilities shall be carried out in a manner consistent with applicable regulatory requirements and sound business practices.</w:t>
      </w:r>
    </w:p>
    <w:p>
      <w:pPr>
        <w:spacing w:after="0" w:line="173"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39"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Service as Executive Chair. </w:t>
      </w:r>
      <w:r>
        <w:rPr>
          <w:rFonts w:ascii="Times New Roman" w:cs="Times New Roman" w:eastAsia="Times New Roman" w:hAnsi="Times New Roman"/>
          <w:sz w:val="22"/>
          <w:szCs w:val="22"/>
          <w:color w:val="auto"/>
        </w:rPr>
        <w:t>As of August 1, 2025 (the “</w:t>
      </w:r>
      <w:r>
        <w:rPr>
          <w:rFonts w:ascii="Times New Roman" w:cs="Times New Roman" w:eastAsia="Times New Roman" w:hAnsi="Times New Roman"/>
          <w:sz w:val="22"/>
          <w:szCs w:val="22"/>
          <w:u w:val="single" w:color="auto"/>
          <w:color w:val="auto"/>
        </w:rPr>
        <w:t>Transition Date</w:t>
      </w:r>
      <w:r>
        <w:rPr>
          <w:rFonts w:ascii="Times New Roman" w:cs="Times New Roman" w:eastAsia="Times New Roman" w:hAnsi="Times New Roman"/>
          <w:sz w:val="22"/>
          <w:szCs w:val="22"/>
          <w:color w:val="auto"/>
        </w:rPr>
        <w:t>”), the Company shall employ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Executive as Executive Chair of the Board. In his role as Executive Chair, Executive shall report directly to the Board of Directors, shall perform such duties and responsibilities as will be determined by the Board and/or the then-current Chief Executive Officer of the Company from time to time, and shall maintain such authority as is consistent with his title and status, as determined by the Board. Effective as of the Transition Date, Executive’s initial duties as Executive Chair shall consist of the following, in addition to</w:t>
      </w:r>
    </w:p>
    <w:p>
      <w:pPr>
        <w:sectPr>
          <w:pgSz w:w="11900" w:h="16838" w:orient="portrait"/>
          <w:cols w:equalWidth="0" w:num="1">
            <w:col w:w="11240"/>
          </w:cols>
          <w:pgMar w:left="320" w:top="122" w:right="339" w:bottom="1440" w:gutter="0" w:footer="0" w:header="0"/>
        </w:sectPr>
      </w:pPr>
    </w:p>
    <w:bookmarkStart w:id="39" w:name="page40"/>
    <w:bookmarkEnd w:id="39"/>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other duties as assigned by the Board or the Chief Executive Officer: (i) acting as advisor and mentor to the Chief Executive Officer; (ii) serving as an ambassador for the Company within the communities in which the Corporation operates; (iii) acting as a spokesperson for the Company and maintaining good relations with external constituents, including customers, shareholders, investors and analysts; (iv) engaging with customers at events as requested by the Board or the Chief Executive Officer; and (v) providing the Board and the Chief Executive Officer with insight based on the Executive’s depth of industry experience and historical knowledge of the Company’s operations. Such duties and responsibilities shall be carried out in a manner consistent with applicable regulatory requirements and sound business practices. The Company will furnish the Executive such office space, equipment, supplies, and other facilities and personnel, as the Company deems necessary or appropriate for the performance of the Executive’s duties as Executive Chair under this Agreement.</w:t>
      </w:r>
    </w:p>
    <w:p>
      <w:pPr>
        <w:spacing w:after="0" w:line="176" w:lineRule="exact"/>
        <w:rPr>
          <w:sz w:val="20"/>
          <w:szCs w:val="20"/>
          <w:color w:val="auto"/>
        </w:rPr>
      </w:pPr>
    </w:p>
    <w:p>
      <w:pPr>
        <w:jc w:val="both"/>
        <w:ind w:firstLine="1304"/>
        <w:spacing w:after="0" w:line="251" w:lineRule="auto"/>
        <w:tabs>
          <w:tab w:leader="none" w:pos="1941"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Outside Enterprises</w:t>
      </w:r>
      <w:r>
        <w:rPr>
          <w:rFonts w:ascii="Times New Roman" w:cs="Times New Roman" w:eastAsia="Times New Roman" w:hAnsi="Times New Roman"/>
          <w:sz w:val="22"/>
          <w:szCs w:val="22"/>
          <w:color w:val="auto"/>
        </w:rPr>
        <w:t>. The Company acknowledges that the Executive currently serves on the board of one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outside non-competitive for-profit Company. While employed by the Company, The Executive shall not, directly or indirectly, render services to any other person or organization for compensation, without the prior written approval of the Board; provided that with the approval of the Board (which shall not be unreasonably withheld) the Executive may serve on up to two additional outside non-competitive for-profit boards.</w:t>
      </w:r>
    </w:p>
    <w:p>
      <w:pPr>
        <w:spacing w:after="0" w:line="193" w:lineRule="exact"/>
        <w:rPr>
          <w:rFonts w:ascii="Times New Roman" w:cs="Times New Roman" w:eastAsia="Times New Roman" w:hAnsi="Times New Roman"/>
          <w:sz w:val="22"/>
          <w:szCs w:val="22"/>
          <w:color w:val="auto"/>
        </w:rPr>
      </w:pPr>
    </w:p>
    <w:p>
      <w:pPr>
        <w:ind w:firstLine="656"/>
        <w:spacing w:after="0" w:line="271" w:lineRule="auto"/>
        <w:tabs>
          <w:tab w:leader="none" w:pos="129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and Other Benefits</w:t>
      </w:r>
      <w:r>
        <w:rPr>
          <w:rFonts w:ascii="Times New Roman" w:cs="Times New Roman" w:eastAsia="Times New Roman" w:hAnsi="Times New Roman"/>
          <w:sz w:val="22"/>
          <w:szCs w:val="22"/>
          <w:color w:val="auto"/>
        </w:rPr>
        <w:t>. As compensation for services rendered during the Term, the Company shall pay and provide the Executive with the following:</w:t>
      </w:r>
    </w:p>
    <w:p>
      <w:pPr>
        <w:spacing w:after="0" w:line="153" w:lineRule="exact"/>
        <w:rPr>
          <w:rFonts w:ascii="Times New Roman" w:cs="Times New Roman" w:eastAsia="Times New Roman" w:hAnsi="Times New Roman"/>
          <w:sz w:val="22"/>
          <w:szCs w:val="22"/>
          <w:color w:val="auto"/>
        </w:rPr>
      </w:pPr>
    </w:p>
    <w:p>
      <w:pPr>
        <w:jc w:val="both"/>
        <w:ind w:firstLine="1304"/>
        <w:spacing w:after="0" w:line="258" w:lineRule="auto"/>
        <w:tabs>
          <w:tab w:leader="none" w:pos="1941"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Salary</w:t>
      </w:r>
      <w:r>
        <w:rPr>
          <w:rFonts w:ascii="Times New Roman" w:cs="Times New Roman" w:eastAsia="Times New Roman" w:hAnsi="Times New Roman"/>
          <w:sz w:val="22"/>
          <w:szCs w:val="22"/>
          <w:color w:val="auto"/>
        </w:rPr>
        <w:t>. Prior to the Transition Date, the Executive’s base salary (the “</w:t>
      </w:r>
      <w:r>
        <w:rPr>
          <w:rFonts w:ascii="Times New Roman" w:cs="Times New Roman" w:eastAsia="Times New Roman" w:hAnsi="Times New Roman"/>
          <w:sz w:val="22"/>
          <w:szCs w:val="22"/>
          <w:u w:val="single" w:color="auto"/>
          <w:color w:val="auto"/>
        </w:rPr>
        <w:t>Salary</w:t>
      </w:r>
      <w:r>
        <w:rPr>
          <w:rFonts w:ascii="Times New Roman" w:cs="Times New Roman" w:eastAsia="Times New Roman" w:hAnsi="Times New Roman"/>
          <w:sz w:val="22"/>
          <w:szCs w:val="22"/>
          <w:color w:val="auto"/>
        </w:rPr>
        <w:t>”) shall remain at the rate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$1,030,000 per year. Effective as of the Transition Date and for the remainder of the Term, the Executive’s Salary shall be paid at a rate of $700,000 per year. The Salary shall be payable to the Executive in accordance with the normal payroll practices of the Company as are in effect from time to time, and subject to all withholdings required by law and Company policy.</w:t>
      </w:r>
    </w:p>
    <w:p>
      <w:pPr>
        <w:spacing w:after="0" w:line="167"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39"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Annual Incentive Awards</w:t>
      </w:r>
      <w:r>
        <w:rPr>
          <w:rFonts w:ascii="Times New Roman" w:cs="Times New Roman" w:eastAsia="Times New Roman" w:hAnsi="Times New Roman"/>
          <w:sz w:val="22"/>
          <w:szCs w:val="22"/>
          <w:color w:val="auto"/>
        </w:rPr>
        <w:t>. The Executive shall be eligible to participate in the Company’s annual cash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incentive program for 2025 and 2026. For 2025, the Executive’s target annual cash incentive opportunity shall be $1,030,000, with the final earned amount to be determined based on the performance goals and parameters established by the Compensation Committee for 2025, or as otherwise determined by the Compensation Committee pursuant to the program. For 2026, the Executive’s target annual incentive opportunity shall be $560,000, with the final earned amount to be determined based on performance goals and parameters to be established by the Compensation Committee for 2026, or as otherwise determined by the Compensation Committee pursuant to the program. The Executive shall not be eligible to receive an annual cash bonus for 2027 or any subsequent years during the Term. Nothing herein requires the Board or the Compensation Committee to make or authorize annual cash incentive awards in any year, and nothing herein guarantees that the Executive will earn the target annual cash incentive award for any year.</w:t>
      </w:r>
    </w:p>
    <w:p>
      <w:pPr>
        <w:spacing w:after="0" w:line="193" w:lineRule="exact"/>
        <w:rPr>
          <w:rFonts w:ascii="Times New Roman" w:cs="Times New Roman" w:eastAsia="Times New Roman" w:hAnsi="Times New Roman"/>
          <w:sz w:val="22"/>
          <w:szCs w:val="22"/>
          <w:color w:val="auto"/>
        </w:rPr>
      </w:pPr>
    </w:p>
    <w:p>
      <w:pPr>
        <w:ind w:firstLine="1304"/>
        <w:spacing w:after="0" w:line="275" w:lineRule="auto"/>
        <w:tabs>
          <w:tab w:leader="none" w:pos="1941"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Equity Award</w:t>
      </w:r>
      <w:r>
        <w:rPr>
          <w:rFonts w:ascii="Times New Roman" w:cs="Times New Roman" w:eastAsia="Times New Roman" w:hAnsi="Times New Roman"/>
          <w:sz w:val="22"/>
          <w:szCs w:val="22"/>
          <w:color w:val="auto"/>
        </w:rPr>
        <w:t>. In 2026, at the time the Compensation Committee grants annual equity awards to the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executive officers of the Company, the Company shall grant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40" w:right="339" w:bottom="1440" w:gutter="0" w:footer="0" w:header="0"/>
        </w:sectPr>
      </w:pPr>
    </w:p>
    <w:bookmarkStart w:id="40" w:name="page41"/>
    <w:bookmarkEnd w:id="40"/>
    <w:p>
      <w:pPr>
        <w:spacing w:after="0" w:line="19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the Executive an award of restricted stock units relating to a number of shares of Company common stock determined by dividing $2,000,000 by the closing price per share on the grant date thereof (the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The RSUs shall vest in three equal installments on each of the first three anniversaries of the grant date, conditioned upon the Executive’s continuing employment or service with the Company through the end of the Initial Term, but not thereafter. The RSUs shall be subject to the terms and conditions set forth in the Company’s Amended and Restated 2017 Omnibus Incentive Plan (the “</w:t>
      </w:r>
      <w:r>
        <w:rPr>
          <w:rFonts w:ascii="Times New Roman" w:cs="Times New Roman" w:eastAsia="Times New Roman" w:hAnsi="Times New Roman"/>
          <w:sz w:val="22"/>
          <w:szCs w:val="22"/>
          <w:u w:val="single" w:color="auto"/>
          <w:color w:val="auto"/>
        </w:rPr>
        <w:t>Omnibus Plan</w:t>
      </w:r>
      <w:r>
        <w:rPr>
          <w:rFonts w:ascii="Times New Roman" w:cs="Times New Roman" w:eastAsia="Times New Roman" w:hAnsi="Times New Roman"/>
          <w:sz w:val="22"/>
          <w:szCs w:val="22"/>
          <w:color w:val="auto"/>
        </w:rPr>
        <w:t>”) and the award agreement memorializing the RSUs, which shall be substantially the same as the RSUs granted to the other executive officers of the Company in 2026 other that as described in this Agreement. The Executive shall not be eligible to receive an equity award in 2027 or any subsequent years during the Term.</w:t>
      </w:r>
    </w:p>
    <w:p>
      <w:pPr>
        <w:spacing w:after="0" w:line="191" w:lineRule="exact"/>
        <w:rPr>
          <w:sz w:val="20"/>
          <w:szCs w:val="20"/>
          <w:color w:val="auto"/>
        </w:rPr>
      </w:pPr>
    </w:p>
    <w:p>
      <w:pPr>
        <w:jc w:val="both"/>
        <w:ind w:firstLine="1304"/>
        <w:spacing w:after="0" w:line="251" w:lineRule="auto"/>
        <w:tabs>
          <w:tab w:leader="none" w:pos="1939"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Expenses</w:t>
      </w:r>
      <w:r>
        <w:rPr>
          <w:rFonts w:ascii="Times New Roman" w:cs="Times New Roman" w:eastAsia="Times New Roman" w:hAnsi="Times New Roman"/>
          <w:sz w:val="22"/>
          <w:szCs w:val="22"/>
          <w:color w:val="auto"/>
        </w:rPr>
        <w:t>. The Company shall reimburse the Executive for all reasonable out-of-pocket expenses incurred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by the Executive in connection with his employment upon submission of appropriate documentation or receipts in accordance with the policies and procedures of the Company as in effect from time to time. The Company shall pay Executive’s reasonable attorneys fees incurred in connection with the negotiation and documentation of this Agreement and any related agreements, not to exceed $20,000 in the aggregate.</w:t>
      </w:r>
    </w:p>
    <w:p>
      <w:pPr>
        <w:spacing w:after="0" w:line="175" w:lineRule="exact"/>
        <w:rPr>
          <w:rFonts w:ascii="Times New Roman" w:cs="Times New Roman" w:eastAsia="Times New Roman" w:hAnsi="Times New Roman"/>
          <w:sz w:val="22"/>
          <w:szCs w:val="22"/>
          <w:color w:val="auto"/>
        </w:rPr>
      </w:pPr>
    </w:p>
    <w:p>
      <w:pPr>
        <w:jc w:val="both"/>
        <w:ind w:firstLine="1295"/>
        <w:spacing w:after="0" w:line="258" w:lineRule="auto"/>
        <w:tabs>
          <w:tab w:leader="none" w:pos="1932"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Benefit Plans</w:t>
      </w:r>
      <w:r>
        <w:rPr>
          <w:rFonts w:ascii="Times New Roman" w:cs="Times New Roman" w:eastAsia="Times New Roman" w:hAnsi="Times New Roman"/>
          <w:sz w:val="22"/>
          <w:szCs w:val="22"/>
          <w:color w:val="auto"/>
        </w:rPr>
        <w:t>. During the Term, the Executive shall be eligible to participate in all benefit plans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programs maintained by the Company and available to senior employees of the Company generally in accordance with the terms and conditions of such plans as in effect from time to time; provided that nothing herein shall limit the ability of the Company to amend, modify or terminate any such benefit plans, policies or programs at any time and from time to time.</w:t>
      </w:r>
    </w:p>
    <w:p>
      <w:pPr>
        <w:spacing w:after="0" w:line="171"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and Obligations of the Company Upon Termination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41"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for Cause</w:t>
      </w:r>
      <w:r>
        <w:rPr>
          <w:rFonts w:ascii="Times New Roman" w:cs="Times New Roman" w:eastAsia="Times New Roman" w:hAnsi="Times New Roman"/>
          <w:sz w:val="22"/>
          <w:szCs w:val="22"/>
          <w:color w:val="auto"/>
        </w:rPr>
        <w:t>. The Company may, at any time, terminate this Agreement and Executive’s employment for “Cause.” For purposes of this Agreement, “Cause” shall mean the Executive’s (A) willful neglect in the performance of his duties for the Company or willful and repeated failure or refusal to perform such duties; (B) engagement in conduct in connection with his employment or service with the Company, which results in, or could reasonably be expected to result in, material harm to the business or reputation of the Company or any of its affiliates; (C) conviction of, or plea of guilty or no contest to, (I) any felony; or (II) any other crime that results in, or could reasonably be expected to result in, material harm to the business or reputation of the Company or any of its affiliates; (D) material violation of the written policies of the Company, including, but not limited to, those relating to sexual harassment or the disclosure or misuse of confidential information, or those set forth in the manuals or statements of policy of the Company; (E) fraud or misappropriation, embezzlement or misuse of funds or property belonging to the Company or any of its affiliates; or (F) act of personal dishonesty that involves personal profit in connection with the Executive’s employment or service to the Company.</w:t>
      </w:r>
    </w:p>
    <w:p>
      <w:pPr>
        <w:spacing w:after="0" w:line="215" w:lineRule="exact"/>
        <w:rPr>
          <w:rFonts w:ascii="Times New Roman" w:cs="Times New Roman" w:eastAsia="Times New Roman" w:hAnsi="Times New Roman"/>
          <w:sz w:val="22"/>
          <w:szCs w:val="22"/>
          <w:color w:val="auto"/>
        </w:rPr>
      </w:pPr>
    </w:p>
    <w:p>
      <w:pPr>
        <w:ind w:right="20" w:firstLine="1304"/>
        <w:spacing w:after="0" w:line="284" w:lineRule="auto"/>
        <w:tabs>
          <w:tab w:leader="none" w:pos="1939"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Resignation without Good Reason</w:t>
      </w:r>
      <w:r>
        <w:rPr>
          <w:rFonts w:ascii="Times New Roman" w:cs="Times New Roman" w:eastAsia="Times New Roman" w:hAnsi="Times New Roman"/>
          <w:sz w:val="22"/>
          <w:szCs w:val="22"/>
          <w:color w:val="auto"/>
        </w:rPr>
        <w:t>. The Executive may terminate his employment at any time without “Good Reason” (as defined below) during the Term by giving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40" w:right="339" w:bottom="1440" w:gutter="0" w:footer="0" w:header="0"/>
        </w:sectPr>
      </w:pPr>
    </w:p>
    <w:bookmarkStart w:id="41" w:name="page42"/>
    <w:bookmarkEnd w:id="41"/>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sixty (60) day’s prior notice in writing to the Company. During the notice period, the Executive must fulfill all duties and responsibilities set forth above and use reasonable best efforts to train and assist in the transition of his replacement, if any. Notwithstanding the foregoing, the Company shall have the authority to direct the Executive not to report to work or perform any duties on behalf of the Company during the notice period, or waive the notice period or make the Executive’s termination of employment effective prior to the end of such notice period.</w:t>
      </w:r>
    </w:p>
    <w:p>
      <w:pPr>
        <w:spacing w:after="0" w:line="179" w:lineRule="exact"/>
        <w:rPr>
          <w:sz w:val="20"/>
          <w:szCs w:val="20"/>
          <w:color w:val="auto"/>
        </w:rPr>
      </w:pPr>
    </w:p>
    <w:p>
      <w:pPr>
        <w:jc w:val="both"/>
        <w:ind w:firstLine="1304"/>
        <w:spacing w:after="0" w:line="275" w:lineRule="auto"/>
        <w:tabs>
          <w:tab w:leader="none" w:pos="1941"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Obligations of the Company upon Termination for Cause or Resignation without Good Reason</w:t>
      </w:r>
      <w:r>
        <w:rPr>
          <w:rFonts w:ascii="Times New Roman" w:cs="Times New Roman" w:eastAsia="Times New Roman" w:hAnsi="Times New Roman"/>
          <w:sz w:val="21"/>
          <w:szCs w:val="21"/>
          <w:color w:val="auto"/>
        </w:rPr>
        <w:t>. If, during the Term, the Company shall terminate the Executive’s employment for Cause or the Executive shall terminate his employment without Good Reason, then the Executive shall be entitled to receive the following (collectively, the “</w:t>
      </w:r>
      <w:r>
        <w:rPr>
          <w:rFonts w:ascii="Times New Roman" w:cs="Times New Roman" w:eastAsia="Times New Roman" w:hAnsi="Times New Roman"/>
          <w:sz w:val="21"/>
          <w:szCs w:val="21"/>
          <w:u w:val="single" w:color="auto"/>
          <w:color w:val="auto"/>
        </w:rPr>
        <w:t>Accrued Amounts</w:t>
      </w:r>
      <w:r>
        <w:rPr>
          <w:rFonts w:ascii="Times New Roman" w:cs="Times New Roman" w:eastAsia="Times New Roman" w:hAnsi="Times New Roman"/>
          <w:sz w:val="21"/>
          <w:szCs w:val="21"/>
          <w:color w:val="auto"/>
        </w:rPr>
        <w:t>”):</w:t>
      </w:r>
    </w:p>
    <w:p>
      <w:pPr>
        <w:spacing w:after="0" w:line="195" w:lineRule="exact"/>
        <w:rPr>
          <w:rFonts w:ascii="Times New Roman" w:cs="Times New Roman" w:eastAsia="Times New Roman" w:hAnsi="Times New Roman"/>
          <w:sz w:val="21"/>
          <w:szCs w:val="21"/>
          <w:color w:val="auto"/>
        </w:rPr>
      </w:pPr>
    </w:p>
    <w:p>
      <w:pPr>
        <w:jc w:val="both"/>
        <w:ind w:left="2120" w:hanging="330"/>
        <w:spacing w:after="0" w:line="257" w:lineRule="auto"/>
        <w:tabs>
          <w:tab w:leader="none" w:pos="2112"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accrued but unpaid Salary, which shall be paid on the pay date immediately following the last day of the Executive’s employment (the “</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in accordance with the Company’s customary payroll procedures;</w:t>
      </w:r>
    </w:p>
    <w:p>
      <w:pPr>
        <w:spacing w:after="0" w:line="172" w:lineRule="exact"/>
        <w:rPr>
          <w:rFonts w:ascii="Times New Roman" w:cs="Times New Roman" w:eastAsia="Times New Roman" w:hAnsi="Times New Roman"/>
          <w:sz w:val="22"/>
          <w:szCs w:val="22"/>
          <w:color w:val="auto"/>
        </w:rPr>
      </w:pPr>
    </w:p>
    <w:p>
      <w:pPr>
        <w:jc w:val="both"/>
        <w:ind w:left="2120" w:hanging="330"/>
        <w:spacing w:after="0" w:line="257" w:lineRule="auto"/>
        <w:tabs>
          <w:tab w:leader="none" w:pos="2119"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reimbursement for unreimbursed business expenses properly incurred by the Executive, which shall be subject to and paid in accordance with the Company’s expense reimbursement policies, practices and procedures; and</w:t>
      </w:r>
    </w:p>
    <w:p>
      <w:pPr>
        <w:spacing w:after="0" w:line="186" w:lineRule="exact"/>
        <w:rPr>
          <w:rFonts w:ascii="Times New Roman" w:cs="Times New Roman" w:eastAsia="Times New Roman" w:hAnsi="Times New Roman"/>
          <w:sz w:val="22"/>
          <w:szCs w:val="22"/>
          <w:color w:val="auto"/>
        </w:rPr>
      </w:pPr>
    </w:p>
    <w:p>
      <w:pPr>
        <w:ind w:left="2120" w:hanging="330"/>
        <w:spacing w:after="0" w:line="271" w:lineRule="auto"/>
        <w:tabs>
          <w:tab w:leader="none" w:pos="2111"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employee benefits, if any, as to which the Executive may be entitled under any employee benefit plans, practices, policies, or programs of the Company as of the Termination Date.</w:t>
      </w:r>
    </w:p>
    <w:p>
      <w:pPr>
        <w:spacing w:after="0" w:line="157"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85"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Continued Vesting in Certain Circumstances</w:t>
      </w:r>
      <w:r>
        <w:rPr>
          <w:rFonts w:ascii="Times New Roman" w:cs="Times New Roman" w:eastAsia="Times New Roman" w:hAnsi="Times New Roman"/>
          <w:sz w:val="22"/>
          <w:szCs w:val="22"/>
          <w:color w:val="auto"/>
        </w:rPr>
        <w:t>. If the Executive terminates his employment without Good Reason following the Initial Term, then in addition to receiving the Accrued Amounts, Executive’s then-outstanding equity awards (including the RSUs described in Section 3(c) above) will remain outstanding and continue to vest by their terms, as if the Executive remained in service through the end of the applicable vesting period. Any performance conditions for such awards shall be earned based upon actual performance results over the applicable performance period. For the avoidance of doubt, this continued vesting shall not apply in the event of a termination by the Executive without Good Reason prior to the end of the Initial Term or a termination by the Company for Cause.</w:t>
      </w:r>
    </w:p>
    <w:p>
      <w:pPr>
        <w:spacing w:after="0" w:line="180" w:lineRule="exact"/>
        <w:rPr>
          <w:rFonts w:ascii="Times New Roman" w:cs="Times New Roman" w:eastAsia="Times New Roman" w:hAnsi="Times New Roman"/>
          <w:sz w:val="22"/>
          <w:szCs w:val="22"/>
          <w:color w:val="auto"/>
        </w:rPr>
      </w:pPr>
    </w:p>
    <w:p>
      <w:pPr>
        <w:ind w:right="20" w:firstLine="1304"/>
        <w:spacing w:after="0" w:line="284" w:lineRule="auto"/>
        <w:tabs>
          <w:tab w:leader="none" w:pos="1941"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Without Cause.</w:t>
      </w:r>
      <w:r>
        <w:rPr>
          <w:rFonts w:ascii="Times New Roman" w:cs="Times New Roman" w:eastAsia="Times New Roman" w:hAnsi="Times New Roman"/>
          <w:sz w:val="22"/>
          <w:szCs w:val="22"/>
          <w:color w:val="auto"/>
        </w:rPr>
        <w:t xml:space="preserve"> The Company may terminate this Agreement and the Executive’s employment at any time during the Term without Cause, by providing written notice to Executive.</w:t>
      </w:r>
    </w:p>
    <w:p>
      <w:pPr>
        <w:spacing w:after="0" w:line="143"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44"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Resignation for Good Reason</w:t>
      </w:r>
      <w:r>
        <w:rPr>
          <w:rFonts w:ascii="Times New Roman" w:cs="Times New Roman" w:eastAsia="Times New Roman" w:hAnsi="Times New Roman"/>
          <w:sz w:val="22"/>
          <w:szCs w:val="22"/>
          <w:color w:val="auto"/>
        </w:rPr>
        <w:t>. The Executive may terminate his employment for “Good Reason” under the circumstances described below by providing written notice to the Company. For purposes of this Agreement, “</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shall mean: (i) a material reduction in the Executive’s Salary; (ii) removal of the Executive from the Chief Executive Officer position before the Transition Date, or removal of the Executive from the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Executive Chair position following the Transition Date but before the end of the Term; (iii) a change in the geographic location of the primary office at which the Executive must regularly perform the services to be performed by the Executive pursuant to this Agreement to which the Executive objects and that adds more than 50 miles to the Executive’s daily commute; or (iv) any other action or inaction that constitutes a material breach by the Company of this Agreement; provided, however, that the Executive must provide notice to the Company of any condition or occurrence the Executive contends amounts to “Good Reason” within 90 days after the initial existence of the condition or occurrence, and the Company must have a period of 30 days to remedy or cure the claimed “Good Reason.” If and only if the “Good Reason” is not remedied within such 30-day period, then the Executive must resign within 30 days after the end of the Company’s remedy/cure period to qualify for a Good Reason departure.</w:t>
      </w:r>
    </w:p>
    <w:p>
      <w:pPr>
        <w:spacing w:after="0" w:line="213" w:lineRule="exact"/>
        <w:rPr>
          <w:sz w:val="20"/>
          <w:szCs w:val="20"/>
          <w:color w:val="auto"/>
        </w:rPr>
      </w:pPr>
    </w:p>
    <w:p>
      <w:pPr>
        <w:jc w:val="both"/>
        <w:ind w:firstLine="1304"/>
        <w:spacing w:after="0" w:line="259" w:lineRule="auto"/>
        <w:tabs>
          <w:tab w:leader="none" w:pos="1939"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Obligations of the Company upon Termination without Cause or Resignation for Good Reason</w:t>
      </w:r>
      <w:r>
        <w:rPr>
          <w:rFonts w:ascii="Times New Roman" w:cs="Times New Roman" w:eastAsia="Times New Roman" w:hAnsi="Times New Roman"/>
          <w:sz w:val="21"/>
          <w:szCs w:val="21"/>
          <w:color w:val="auto"/>
        </w:rPr>
        <w:t>. If, during the Term, the Company shall terminate the Executive’s employment without Cause or the Executive shall terminate his employment for Good Reason, then the Executive shall be entitled to receive the Accrued Amounts and, subject to the Executive’s (y) execution of a separation agreement and release of claims in the form attached hereto (the “</w:t>
      </w: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within 45 days following the Termination Date (such 45-day period, for purposes of this Agreement, the “</w:t>
      </w:r>
      <w:r>
        <w:rPr>
          <w:rFonts w:ascii="Times New Roman" w:cs="Times New Roman" w:eastAsia="Times New Roman" w:hAnsi="Times New Roman"/>
          <w:sz w:val="21"/>
          <w:szCs w:val="21"/>
          <w:u w:val="single" w:color="auto"/>
          <w:color w:val="auto"/>
        </w:rPr>
        <w:t>Release Execution Period</w:t>
      </w:r>
      <w:r>
        <w:rPr>
          <w:rFonts w:ascii="Times New Roman" w:cs="Times New Roman" w:eastAsia="Times New Roman" w:hAnsi="Times New Roman"/>
          <w:sz w:val="21"/>
          <w:szCs w:val="21"/>
          <w:color w:val="auto"/>
        </w:rPr>
        <w:t>”), and</w:t>
      </w:r>
    </w:p>
    <w:p>
      <w:pPr>
        <w:spacing w:after="0" w:line="3" w:lineRule="exact"/>
        <w:rPr>
          <w:rFonts w:ascii="Times New Roman" w:cs="Times New Roman" w:eastAsia="Times New Roman" w:hAnsi="Times New Roman"/>
          <w:sz w:val="21"/>
          <w:szCs w:val="21"/>
          <w:color w:val="auto"/>
        </w:rPr>
      </w:pPr>
    </w:p>
    <w:p>
      <w:pPr>
        <w:ind w:right="20" w:firstLine="8"/>
        <w:spacing w:after="0" w:line="261" w:lineRule="auto"/>
        <w:tabs>
          <w:tab w:leader="none" w:pos="314"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revoking the Release within the 7-day period following his execution of the Release, the Executive shall be entitled to receive the following:</w:t>
      </w:r>
    </w:p>
    <w:p>
      <w:pPr>
        <w:spacing w:after="0" w:line="168" w:lineRule="exact"/>
        <w:rPr>
          <w:rFonts w:ascii="Times New Roman" w:cs="Times New Roman" w:eastAsia="Times New Roman" w:hAnsi="Times New Roman"/>
          <w:sz w:val="22"/>
          <w:szCs w:val="22"/>
          <w:color w:val="auto"/>
        </w:rPr>
      </w:pPr>
    </w:p>
    <w:p>
      <w:pPr>
        <w:jc w:val="both"/>
        <w:ind w:firstLine="1952"/>
        <w:spacing w:after="0" w:line="253" w:lineRule="auto"/>
        <w:tabs>
          <w:tab w:leader="none" w:pos="2584" w:val="left"/>
        </w:tabs>
        <w:numPr>
          <w:ilvl w:val="2"/>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Severance in an amount equal to the Executive’s Salary for the remainder of the Term, to be paid in approximately equal installments over the remainder of the Term in accordance with the Company’s normal payroll procedures, commencing after the Release is fully executed and on or before the 60th day after the Termination Date, or such later date as may be required by Section 6(c);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if the Release Execution Period begins in one taxable year and ends in another taxable year, then payments shall not commence until the beginning of the second taxable year;</w:t>
      </w:r>
    </w:p>
    <w:p>
      <w:pPr>
        <w:spacing w:after="0" w:line="205" w:lineRule="exact"/>
        <w:rPr>
          <w:rFonts w:ascii="Times New Roman" w:cs="Times New Roman" w:eastAsia="Times New Roman" w:hAnsi="Times New Roman"/>
          <w:sz w:val="22"/>
          <w:szCs w:val="22"/>
          <w:color w:val="auto"/>
        </w:rPr>
      </w:pPr>
    </w:p>
    <w:p>
      <w:pPr>
        <w:jc w:val="both"/>
        <w:ind w:firstLine="1952"/>
        <w:spacing w:after="0" w:line="253" w:lineRule="auto"/>
        <w:tabs>
          <w:tab w:leader="none" w:pos="2591" w:val="left"/>
        </w:tabs>
        <w:numPr>
          <w:ilvl w:val="2"/>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such termination occurs during 2025 or 2026, an amount equal to the Executive’s target cash bonus for the year in which the Termination Date occurs, to be paid in a lump sum after the Release is fully executed and on or before the 60th day after the Termination Date, or such later date as may be required by Section 6(c);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the Release Execution Period begins in one taxable year and ends in another taxable year, then payment shall occur after the beginning of the second taxable year;</w:t>
      </w:r>
    </w:p>
    <w:p>
      <w:pPr>
        <w:spacing w:after="0" w:line="205" w:lineRule="exact"/>
        <w:rPr>
          <w:rFonts w:ascii="Times New Roman" w:cs="Times New Roman" w:eastAsia="Times New Roman" w:hAnsi="Times New Roman"/>
          <w:sz w:val="22"/>
          <w:szCs w:val="22"/>
          <w:color w:val="auto"/>
        </w:rPr>
      </w:pPr>
    </w:p>
    <w:p>
      <w:pPr>
        <w:jc w:val="both"/>
        <w:ind w:firstLine="1952"/>
        <w:spacing w:after="0" w:line="251" w:lineRule="auto"/>
        <w:tabs>
          <w:tab w:leader="none" w:pos="2583" w:val="left"/>
        </w:tabs>
        <w:numPr>
          <w:ilvl w:val="2"/>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Continued health insurance coverage at substantially the same level as provided to the Executive immediately prior to such termination, for which the Company will provide such coverage, to the extent permissible under the applicable Company Group plan, for the remainder of the Term at the same cost to the Executive as is generally provided to similarly-situated active employees of the Company, which, to the extent required to comply with Section 105 of the Code, shall be provided as a taxable benefit;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Company may, in its sole discretion, require the Executive to elect to participate in COBRA for such continued health insurance coverage; and</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40" w:right="339" w:bottom="1440" w:gutter="0" w:footer="0" w:header="0"/>
        </w:sectPr>
      </w:pPr>
    </w:p>
    <w:bookmarkStart w:id="43" w:name="page44"/>
    <w:bookmarkEnd w:id="43"/>
    <w:p>
      <w:pPr>
        <w:spacing w:after="0" w:line="200" w:lineRule="exact"/>
        <w:rPr>
          <w:sz w:val="20"/>
          <w:szCs w:val="20"/>
          <w:color w:val="auto"/>
        </w:rPr>
      </w:pPr>
    </w:p>
    <w:p>
      <w:pPr>
        <w:spacing w:after="0" w:line="241" w:lineRule="exact"/>
        <w:rPr>
          <w:sz w:val="20"/>
          <w:szCs w:val="20"/>
          <w:color w:val="auto"/>
        </w:rPr>
      </w:pPr>
    </w:p>
    <w:p>
      <w:pPr>
        <w:jc w:val="both"/>
        <w:ind w:firstLine="1952"/>
        <w:spacing w:after="0" w:line="256" w:lineRule="auto"/>
        <w:tabs>
          <w:tab w:leader="none" w:pos="2570" w:val="left"/>
        </w:tabs>
        <w:numPr>
          <w:ilvl w:val="2"/>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then-outstanding equity awards (including the RSUs described in Section 3(c) above) will remain outstanding and continue to vest by their terms, as if the Executive remained in service through the end of the applicable vesting period. Any performance conditions for such awards shall be earned based upon actual performance results over the applicable performance period.</w:t>
      </w:r>
    </w:p>
    <w:p>
      <w:pPr>
        <w:spacing w:after="0" w:line="176"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39"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due to Death or Disability</w:t>
      </w:r>
      <w:r>
        <w:rPr>
          <w:rFonts w:ascii="Times New Roman" w:cs="Times New Roman" w:eastAsia="Times New Roman" w:hAnsi="Times New Roman"/>
          <w:sz w:val="22"/>
          <w:szCs w:val="22"/>
          <w:color w:val="auto"/>
        </w:rPr>
        <w:t>. If the Executive’s employment is terminated during the Term on account of Employee’s death or Disability, then the Executive (or the Executive’s estate or beneficiaries, as the case may be) shall be entitled to receive the Accrued Amounts, and the continued vesting provisions of Section 4(d) shall apply to the extent that the provisions of the Omnibus Plan or the applicable award agreement do not provide for more favorable vesting treatment. For purposes of this Agreement, “</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shall mean the inability of the Executive to perform his duties with Company, even with reasonable accommodation where necessary, on a full-time basis for 120 days in any one-year period as a result of incapacity due to mental or physical illness or injury.</w:t>
      </w:r>
    </w:p>
    <w:p>
      <w:pPr>
        <w:spacing w:after="0" w:line="207"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6"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Non-Exclusivity of Rights</w:t>
      </w:r>
      <w:r>
        <w:rPr>
          <w:rFonts w:ascii="Times New Roman" w:cs="Times New Roman" w:eastAsia="Times New Roman" w:hAnsi="Times New Roman"/>
          <w:sz w:val="22"/>
          <w:szCs w:val="22"/>
          <w:color w:val="auto"/>
        </w:rPr>
        <w:t>. Amounts which are vested benefits or which the Executive is otherwise entitled to receive under any plan, policy, practice or program of or any contract or agreement with the Company (other than a separate severance benefit plan) at or subsequent to the Termination Date shall be payable in accordance with such plan, policy, practice or program or such contract or agreement, except as expressly modified by this Agreement. For avoidance of doubt, the parties agree that this Agreement sets forth the exclusive severance benefits to which the Executive may be eligible during the Term.</w:t>
      </w:r>
    </w:p>
    <w:p>
      <w:pPr>
        <w:spacing w:after="0" w:line="20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firstLine="1304"/>
        <w:spacing w:after="0" w:line="249" w:lineRule="auto"/>
        <w:tabs>
          <w:tab w:leader="none" w:pos="1941"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This Agreement shall be interpreted and administered in a manner so that any amount or benefit payable hereunder shall be paid or provided in a manner that is either exempt from or compliant with the requirements of Section 409A of the Internal Revenue Code of 1986, as amended (the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and applicable Internal Revenue Service guidance and Treasury Regulations issued thereunder (and any applicable transition relief under Section 409A of the Code). Nevertheless, the tax treatment of the benefits provided under the Agreement is not warranted or guaranteed. Neither the Company nor any of its directors, officers, employees or advisers (other than the Executive, in his capacity as the taxpayer) shall be held liable for any taxes, interest, penalties or other monetary amounts owed by the Executive as a result of the application of Section 409A of the Code.</w:t>
      </w:r>
    </w:p>
    <w:p>
      <w:pPr>
        <w:spacing w:after="0" w:line="208"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39"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Definitional Restrictions</w:t>
      </w:r>
      <w:r>
        <w:rPr>
          <w:rFonts w:ascii="Times New Roman" w:cs="Times New Roman" w:eastAsia="Times New Roman" w:hAnsi="Times New Roman"/>
          <w:sz w:val="22"/>
          <w:szCs w:val="22"/>
          <w:color w:val="auto"/>
        </w:rPr>
        <w:t>. Notwithstanding anything in this Agreement to the contrary, to the extent that any amount or benefit that would constitute non-exempt “deferred compensation” for purposes of Section 409A of the Code (“</w:t>
      </w:r>
      <w:r>
        <w:rPr>
          <w:rFonts w:ascii="Times New Roman" w:cs="Times New Roman" w:eastAsia="Times New Roman" w:hAnsi="Times New Roman"/>
          <w:sz w:val="22"/>
          <w:szCs w:val="22"/>
          <w:u w:val="single" w:color="auto"/>
          <w:color w:val="auto"/>
        </w:rPr>
        <w:t>Non-Exempt Deferred Compensation</w:t>
      </w:r>
      <w:r>
        <w:rPr>
          <w:rFonts w:ascii="Times New Roman" w:cs="Times New Roman" w:eastAsia="Times New Roman" w:hAnsi="Times New Roman"/>
          <w:sz w:val="22"/>
          <w:szCs w:val="22"/>
          <w:color w:val="auto"/>
        </w:rPr>
        <w:t>”) would otherwise be payable or distributable hereunder, or a different form of payment of such Non-Exempt Deferred Compensation would be effected, by reason of the Executive’s Disability or termination of employment, such Non-Exempt Deferred Compensation will not be payable or distributable to the Executive, and/or such different form of payment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40" w:right="339" w:bottom="1440" w:gutter="0" w:footer="0" w:header="0"/>
        </w:sectPr>
      </w:pPr>
    </w:p>
    <w:bookmarkStart w:id="44" w:name="page45"/>
    <w:bookmarkEnd w:id="44"/>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not be effected, by reason of such circumstance unless the circumstances giving rise to such Disability or termination of employment, as the case may be, meet any description or definition of “disability” or “separation from service,” as applicable, in Section 409A of the Code and applicable regulations (without giving effect to any elective provisions that may be available under such definition). This provision does not prohibit the </w:t>
      </w:r>
      <w:r>
        <w:rPr>
          <w:rFonts w:ascii="Times New Roman" w:cs="Times New Roman" w:eastAsia="Times New Roman" w:hAnsi="Times New Roman"/>
          <w:sz w:val="22"/>
          <w:szCs w:val="22"/>
          <w:i w:val="1"/>
          <w:iCs w:val="1"/>
          <w:color w:val="auto"/>
        </w:rPr>
        <w:t>vesting</w:t>
      </w:r>
      <w:r>
        <w:rPr>
          <w:rFonts w:ascii="Times New Roman" w:cs="Times New Roman" w:eastAsia="Times New Roman" w:hAnsi="Times New Roman"/>
          <w:sz w:val="22"/>
          <w:szCs w:val="22"/>
          <w:color w:val="auto"/>
        </w:rPr>
        <w:t xml:space="preserve"> of any Non-Exempt Deferred Compensation upon a Disability or termination of employment, however defined. If this provision prevents the payment or distribution of any Non-Exempt Deferred Compensation, such payment or distribution shall be made on the date, if any, on which an event occurs that constitutes a Section 409A-compliant “disability” or “separation from service,” as the case may be, or such later date as may be required by Section 7(c) below. If this provision prevents the application of a different form of payment of any amount or benefit, such payment shall be made in the same form as would have applied absent such designated event or circumstance.</w:t>
      </w:r>
    </w:p>
    <w:p>
      <w:pPr>
        <w:spacing w:after="0" w:line="180" w:lineRule="exact"/>
        <w:rPr>
          <w:sz w:val="20"/>
          <w:szCs w:val="20"/>
          <w:color w:val="auto"/>
        </w:rPr>
      </w:pPr>
    </w:p>
    <w:p>
      <w:pPr>
        <w:jc w:val="both"/>
        <w:ind w:firstLine="1304"/>
        <w:spacing w:after="0" w:line="260" w:lineRule="auto"/>
        <w:tabs>
          <w:tab w:leader="none" w:pos="1941"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Six-Month Delay in Certain Circumstances</w:t>
      </w:r>
      <w:r>
        <w:rPr>
          <w:rFonts w:ascii="Times New Roman" w:cs="Times New Roman" w:eastAsia="Times New Roman" w:hAnsi="Times New Roman"/>
          <w:sz w:val="21"/>
          <w:szCs w:val="21"/>
          <w:color w:val="auto"/>
        </w:rPr>
        <w:t>. Notwithstanding anything in this Agreement to the contrary, if any amount or benefit that would constitute Non-Exempt Deferred Compensation would otherwise be payable or distributable under this Agreement by reason of the Executive’s separation from service during a period in which he is a Specified Employee (as defined below), then, subject to any permissible acceleration of payment by the Company under Treas. Reg. Section 1.409A-</w:t>
      </w:r>
    </w:p>
    <w:p>
      <w:pPr>
        <w:spacing w:after="0" w:line="3"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3(j)(4)(ii) (domestic relations order), (j)(4)(iii) (conflicts of interest), or (j)(4)(vi) (payment of employment taxes):</w:t>
      </w:r>
    </w:p>
    <w:p>
      <w:pPr>
        <w:spacing w:after="0" w:line="209" w:lineRule="exact"/>
        <w:rPr>
          <w:rFonts w:ascii="Times New Roman" w:cs="Times New Roman" w:eastAsia="Times New Roman" w:hAnsi="Times New Roman"/>
          <w:sz w:val="21"/>
          <w:szCs w:val="21"/>
          <w:color w:val="auto"/>
        </w:rPr>
      </w:pPr>
    </w:p>
    <w:p>
      <w:pPr>
        <w:jc w:val="both"/>
        <w:ind w:firstLine="1952"/>
        <w:spacing w:after="0" w:line="252" w:lineRule="auto"/>
        <w:tabs>
          <w:tab w:leader="none" w:pos="2584"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such Non-Exempt Deferred Compensation that would otherwise be payable during the six-month period immediately following the Executive’s separation from service will be accumulated through and paid or provided on the first day of the seventh month following the Executive’s separation from service (or, if the Executive dies during such period, within 30 days after the Executive’s death) (in either case, the “</w:t>
      </w:r>
      <w:r>
        <w:rPr>
          <w:rFonts w:ascii="Times New Roman" w:cs="Times New Roman" w:eastAsia="Times New Roman" w:hAnsi="Times New Roman"/>
          <w:sz w:val="22"/>
          <w:szCs w:val="22"/>
          <w:u w:val="single" w:color="auto"/>
          <w:color w:val="auto"/>
        </w:rPr>
        <w:t>Required Delay Period</w:t>
      </w:r>
      <w:r>
        <w:rPr>
          <w:rFonts w:ascii="Times New Roman" w:cs="Times New Roman" w:eastAsia="Times New Roman" w:hAnsi="Times New Roman"/>
          <w:sz w:val="22"/>
          <w:szCs w:val="22"/>
          <w:color w:val="auto"/>
        </w:rPr>
        <w:t>”); and</w:t>
      </w:r>
    </w:p>
    <w:p>
      <w:pPr>
        <w:spacing w:after="0" w:line="179" w:lineRule="exact"/>
        <w:rPr>
          <w:rFonts w:ascii="Times New Roman" w:cs="Times New Roman" w:eastAsia="Times New Roman" w:hAnsi="Times New Roman"/>
          <w:sz w:val="22"/>
          <w:szCs w:val="22"/>
          <w:color w:val="auto"/>
        </w:rPr>
      </w:pPr>
    </w:p>
    <w:p>
      <w:pPr>
        <w:ind w:right="20" w:firstLine="1952"/>
        <w:spacing w:after="0" w:line="284" w:lineRule="auto"/>
        <w:tabs>
          <w:tab w:leader="none" w:pos="2591"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normal payment or distribution schedule for any remaining payments or distributions will resume at the end of the Required Delay Period.</w:t>
      </w:r>
    </w:p>
    <w:p>
      <w:pPr>
        <w:spacing w:after="0" w:line="14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For purposes of this Agreement, the term “</w:t>
      </w:r>
      <w:r>
        <w:rPr>
          <w:rFonts w:ascii="Times New Roman" w:cs="Times New Roman" w:eastAsia="Times New Roman" w:hAnsi="Times New Roman"/>
          <w:sz w:val="22"/>
          <w:szCs w:val="22"/>
          <w:u w:val="single" w:color="auto"/>
          <w:color w:val="auto"/>
        </w:rPr>
        <w:t>Specified Employee</w:t>
      </w:r>
      <w:r>
        <w:rPr>
          <w:rFonts w:ascii="Times New Roman" w:cs="Times New Roman" w:eastAsia="Times New Roman" w:hAnsi="Times New Roman"/>
          <w:sz w:val="22"/>
          <w:szCs w:val="22"/>
          <w:color w:val="auto"/>
        </w:rPr>
        <w:t>” has the meaning given such term in Section 409A of the Code and the final regulations thereunder; provided, however, that the Company’s Specified Employees and its application of the six-month delay rule of Section 409A(a)(2)(B)(i) of the Code shall be determined in accordance with rules adopted by the Board or a committee thereof, which shall be applied consistently with respect to all nonqualified deferred compensation arrangements of the Company, including this Agreement.</w:t>
      </w:r>
    </w:p>
    <w:p>
      <w:pPr>
        <w:spacing w:after="0" w:line="179" w:lineRule="exact"/>
        <w:rPr>
          <w:sz w:val="20"/>
          <w:szCs w:val="20"/>
          <w:color w:val="auto"/>
        </w:rPr>
      </w:pPr>
    </w:p>
    <w:p>
      <w:pPr>
        <w:ind w:right="20" w:firstLine="1304"/>
        <w:spacing w:after="0" w:line="271" w:lineRule="auto"/>
        <w:tabs>
          <w:tab w:leader="none" w:pos="1939"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Treatment of Installment Payments</w:t>
      </w:r>
      <w:r>
        <w:rPr>
          <w:rFonts w:ascii="Times New Roman" w:cs="Times New Roman" w:eastAsia="Times New Roman" w:hAnsi="Times New Roman"/>
          <w:sz w:val="22"/>
          <w:szCs w:val="22"/>
          <w:color w:val="auto"/>
        </w:rPr>
        <w:t>. Each payment of termination benefits under this Agreement shall be considered a separate payment, as described in Treas. Reg. Section 1.409A-2(b)(2), for purposes of Section 409A of the Code.</w:t>
      </w:r>
    </w:p>
    <w:p>
      <w:pPr>
        <w:spacing w:after="0" w:line="157" w:lineRule="exact"/>
        <w:rPr>
          <w:rFonts w:ascii="Times New Roman" w:cs="Times New Roman" w:eastAsia="Times New Roman" w:hAnsi="Times New Roman"/>
          <w:sz w:val="22"/>
          <w:szCs w:val="22"/>
          <w:color w:val="auto"/>
        </w:rPr>
      </w:pPr>
    </w:p>
    <w:p>
      <w:pPr>
        <w:jc w:val="both"/>
        <w:ind w:right="20" w:firstLine="1304"/>
        <w:spacing w:after="0" w:line="257" w:lineRule="auto"/>
        <w:tabs>
          <w:tab w:leader="none" w:pos="1941"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Timing of Release of Claims</w:t>
      </w:r>
      <w:r>
        <w:rPr>
          <w:rFonts w:ascii="Times New Roman" w:cs="Times New Roman" w:eastAsia="Times New Roman" w:hAnsi="Times New Roman"/>
          <w:sz w:val="22"/>
          <w:szCs w:val="22"/>
          <w:color w:val="auto"/>
        </w:rPr>
        <w:t>. Whenever in this Agreement a payment or benefit is conditioned on the Executive’s execution of a Release, such Release must be executed within 45 days after the Termination Date and all revocation periods shall have expired within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days after the Executive’s execution of the Release; failing which such payment or benefit shall be forfeited.</w:t>
      </w:r>
    </w:p>
    <w:p>
      <w:pPr>
        <w:spacing w:after="0" w:line="220" w:lineRule="exact"/>
        <w:rPr>
          <w:sz w:val="20"/>
          <w:szCs w:val="20"/>
          <w:color w:val="auto"/>
        </w:rPr>
      </w:pPr>
    </w:p>
    <w:p>
      <w:pPr>
        <w:jc w:val="both"/>
        <w:ind w:firstLine="1304"/>
        <w:spacing w:after="0" w:line="250" w:lineRule="auto"/>
        <w:tabs>
          <w:tab w:leader="none" w:pos="1944"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Timing of Reimbursements and In-kind Benefits</w:t>
      </w:r>
      <w:r>
        <w:rPr>
          <w:rFonts w:ascii="Times New Roman" w:cs="Times New Roman" w:eastAsia="Times New Roman" w:hAnsi="Times New Roman"/>
          <w:sz w:val="22"/>
          <w:szCs w:val="22"/>
          <w:color w:val="auto"/>
        </w:rPr>
        <w:t>. If the Executive is entitled to be paid or reimbursed for any taxable expenses under this Agreement, and such payments or reimbursements are includible in the Executive’s federal gross taxable income, the amount of such expenses reimbursable in any one calendar year shall not affect the amount reimbursable in any other calendar year, and the reimbursement of an eligible expense must be made no later than December 31 of the year after the year in which the expense was incurred. The Executive’s rights to payment or reimbursement of expenses pursuant to this Agreement shall expire at the end of two years after the end of the Term. No right of the Executive to reimbursement of expenses under this Agreement shall be subject to liquidation or exchange for another benefit.</w:t>
      </w:r>
    </w:p>
    <w:p>
      <w:pPr>
        <w:spacing w:after="0" w:line="193"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9"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Permitted Acceleration</w:t>
      </w:r>
      <w:r>
        <w:rPr>
          <w:rFonts w:ascii="Times New Roman" w:cs="Times New Roman" w:eastAsia="Times New Roman" w:hAnsi="Times New Roman"/>
          <w:sz w:val="22"/>
          <w:szCs w:val="22"/>
          <w:color w:val="auto"/>
        </w:rPr>
        <w:t>. The Company shall have the sole authority to make any accelerated distribution permissible under Treas. Reg. Section 1.409A-3(j)(4) to the Executive of deferred amounts, provided that such distribution meets the requirements of Treas. Reg. Section 1.409A-3(j)(4).</w:t>
      </w:r>
    </w:p>
    <w:p>
      <w:pPr>
        <w:spacing w:after="0" w:line="172"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39"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 and Successors</w:t>
      </w:r>
      <w:r>
        <w:rPr>
          <w:rFonts w:ascii="Times New Roman" w:cs="Times New Roman" w:eastAsia="Times New Roman" w:hAnsi="Times New Roman"/>
          <w:sz w:val="22"/>
          <w:szCs w:val="22"/>
          <w:color w:val="auto"/>
        </w:rPr>
        <w:t>. This Agreement is personal to the Executive and without the prior written consent of the Company shall not be assignable by the Executive. This Agreement shall inure to the benefit of and be enforceable by the Executive’s legal representatives. This Agreement also shall inure to the benefit of and be binding upon the Company and its successors and assigns.</w:t>
      </w:r>
    </w:p>
    <w:p>
      <w:pPr>
        <w:spacing w:after="0" w:line="17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41"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Failure of either party to insist, in one or more instances, on performance by the other in strict accordance with the terms and conditions of this Agreement shall not be deemed a waiver or relinquishment of any right granted in this Agreement or of the future performance of any such term or condition or of any other term or condition of this Agreement, unless such waiver is contained in a writing signed by the party making the waiver.</w:t>
      </w:r>
    </w:p>
    <w:p>
      <w:pPr>
        <w:spacing w:after="0" w:line="176"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39"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Except as provided herein, this Agreement contains the entire agreement between the Company and the Executive with respect to the subject matter hereof and from and after the Effective Date supersedes and invalidates all previous offer letters, employment and severance agreements with the Executive. No representations, inducements, promises or agreements, oral or otherwise, which are not embodied herein shall be of any force or effect.</w:t>
      </w:r>
    </w:p>
    <w:p>
      <w:pPr>
        <w:spacing w:after="0" w:line="192"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41"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Withholdings</w:t>
      </w:r>
      <w:r>
        <w:rPr>
          <w:rFonts w:ascii="Times New Roman" w:cs="Times New Roman" w:eastAsia="Times New Roman" w:hAnsi="Times New Roman"/>
          <w:sz w:val="22"/>
          <w:szCs w:val="22"/>
          <w:color w:val="auto"/>
        </w:rPr>
        <w:t>. Notwithstanding any other provision of this Agreement, the Company shall withhold from any amounts payable or benefits provided under this Agreement any federal, state, and local taxes as shall be required to be withheld pursuant to any applicable law or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98" w:lineRule="exact"/>
        <w:rPr>
          <w:sz w:val="20"/>
          <w:szCs w:val="20"/>
          <w:color w:val="auto"/>
        </w:rPr>
      </w:pPr>
    </w:p>
    <w:p>
      <w:pPr>
        <w:jc w:val="both"/>
        <w:ind w:firstLine="1304"/>
        <w:spacing w:after="0" w:line="253" w:lineRule="auto"/>
        <w:tabs>
          <w:tab w:leader="none" w:pos="1939"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Clawback Provisions</w:t>
      </w:r>
      <w:r>
        <w:rPr>
          <w:rFonts w:ascii="Times New Roman" w:cs="Times New Roman" w:eastAsia="Times New Roman" w:hAnsi="Times New Roman"/>
          <w:sz w:val="22"/>
          <w:szCs w:val="22"/>
          <w:color w:val="auto"/>
        </w:rPr>
        <w:t>. Notwithstanding any other provisions in this Agreement to the contrary, any bonus, incentive-based, equity-based or other similar compensation paid to the Executive pursuant to this Agreement which is subject to recovery under any law, government regulation or stock exchange listing requirement, or any clawback or recoupment policy adopted by the Company, will be subject to such deductions and clawback as may be required to be made pursuant to such law, government regulation, stock exchange listing requirement, or Company policy.</w:t>
      </w:r>
    </w:p>
    <w:p>
      <w:pPr>
        <w:spacing w:after="0" w:line="178"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41"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Headings; Construction</w:t>
      </w:r>
      <w:r>
        <w:rPr>
          <w:rFonts w:ascii="Times New Roman" w:cs="Times New Roman" w:eastAsia="Times New Roman" w:hAnsi="Times New Roman"/>
          <w:sz w:val="22"/>
          <w:szCs w:val="22"/>
          <w:color w:val="auto"/>
        </w:rPr>
        <w:t>. The headings of sections in this Agreement are provided for convenience only and will not affect its construction or interpretation. All references to “Section” or “Sections” refer to the corresponding Section or Sections of this Agreement unless otherwise specified. All words used in this Agreement will be construed to be of such gender or number, as the circumstances require. Unless otherwise expressly provided, the word “including” does not limit the preceding words or terms.</w:t>
      </w:r>
    </w:p>
    <w:p>
      <w:pPr>
        <w:spacing w:after="0" w:line="178" w:lineRule="exact"/>
        <w:rPr>
          <w:rFonts w:ascii="Times New Roman" w:cs="Times New Roman" w:eastAsia="Times New Roman" w:hAnsi="Times New Roman"/>
          <w:sz w:val="22"/>
          <w:szCs w:val="22"/>
          <w:color w:val="auto"/>
        </w:rPr>
      </w:pPr>
    </w:p>
    <w:p>
      <w:pPr>
        <w:jc w:val="both"/>
        <w:ind w:firstLine="1304"/>
        <w:spacing w:after="0" w:line="275" w:lineRule="auto"/>
        <w:tabs>
          <w:tab w:leader="none" w:pos="1944"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If any provision of this Agreement is held invalid or unenforceable by any court of competent jurisdiction, the other provisions of this Agreement will remain in full force and effect. Any provision of this Agreement held invalid or unenforceable only in part or degree will remain in full force and effect to the extent not held invalid or unenforceable.</w:t>
      </w:r>
    </w:p>
    <w:p>
      <w:pPr>
        <w:spacing w:after="0" w:line="155" w:lineRule="exact"/>
        <w:rPr>
          <w:rFonts w:ascii="Times New Roman" w:cs="Times New Roman" w:eastAsia="Times New Roman" w:hAnsi="Times New Roman"/>
          <w:sz w:val="21"/>
          <w:szCs w:val="21"/>
          <w:color w:val="auto"/>
        </w:rPr>
      </w:pPr>
    </w:p>
    <w:p>
      <w:pPr>
        <w:jc w:val="both"/>
        <w:ind w:firstLine="1304"/>
        <w:spacing w:after="0" w:line="253" w:lineRule="auto"/>
        <w:tabs>
          <w:tab w:leader="none" w:pos="1939"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 by Counsel; Interpretation</w:t>
      </w:r>
      <w:r>
        <w:rPr>
          <w:rFonts w:ascii="Times New Roman" w:cs="Times New Roman" w:eastAsia="Times New Roman" w:hAnsi="Times New Roman"/>
          <w:sz w:val="22"/>
          <w:szCs w:val="22"/>
          <w:color w:val="auto"/>
        </w:rPr>
        <w:t>. Each party to this Agreement acknowledges that it has had the opportunity to be represented by counsel in the negotiation, preparation, and execution of this Agreement and the transactions contemplated by this Agreement. Accordingly, any rule of law or any legal decision which would require interpretation of any claimed ambiguities in this Agreement against the drafting party has no application and is expressly waived. The provisions of this Agreement shall be interpreted in a reasonable manner to effect the intent of the parties hereto.</w:t>
      </w:r>
    </w:p>
    <w:p>
      <w:pPr>
        <w:spacing w:after="0" w:line="178"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39"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Jurisdiction and Venue</w:t>
      </w:r>
      <w:r>
        <w:rPr>
          <w:rFonts w:ascii="Times New Roman" w:cs="Times New Roman" w:eastAsia="Times New Roman" w:hAnsi="Times New Roman"/>
          <w:sz w:val="22"/>
          <w:szCs w:val="22"/>
          <w:color w:val="auto"/>
        </w:rPr>
        <w:t>. This Agreement is made and entered into in the State of Georgia and shall in all respects be interpreted, enforced, and governed under the laws of Georgia. Any action or proceeding seeking to enforce any provision of, or based on any right arising out of, this Agreement may be brought against any party hereto in the courts of the State of Georgia, Gwinnett County, or in a United States District court that can acquire jurisdiction, and each of the parties consents to the jurisdiction of such courts (and of the appropriate appellate courts) in any such action or proceeding and waives any objection to venue laid therein.</w:t>
      </w:r>
    </w:p>
    <w:p>
      <w:pPr>
        <w:spacing w:after="0" w:line="194"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32"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 or other communication required or permitted hereunder shall be in writing and shall be delivered personally, by nationally recognized overnight courier service or sent by certified, registered, or express mail, postage prepaid. Any such notice shall be deemed given when so delivered personally, when delivered by nationally recognized overnight courier service or, if mailed with postage prepaid, five days after the date of deposit in the United States mail, as follows: (i) if to the Company: [Address] Attention: [Contact]; and (ii) if to the Executive: at the most recent address on file for the Executive with the Company. Any party may change the address to which notices, requests, demands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communications shall be delivered or mailed by giving notice thereof to the other party in the same manner provided herein.</w:t>
      </w:r>
    </w:p>
    <w:p>
      <w:pPr>
        <w:spacing w:after="0" w:line="220" w:lineRule="exact"/>
        <w:rPr>
          <w:sz w:val="20"/>
          <w:szCs w:val="20"/>
          <w:color w:val="auto"/>
        </w:rPr>
      </w:pPr>
    </w:p>
    <w:p>
      <w:pPr>
        <w:ind w:firstLine="1304"/>
        <w:spacing w:after="0" w:line="271" w:lineRule="auto"/>
        <w:tabs>
          <w:tab w:leader="none" w:pos="1932"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This Agreement may be amended or modified only by a writing signed by all parties hereto that makes specific reference to this Agreement.</w:t>
      </w:r>
    </w:p>
    <w:p>
      <w:pPr>
        <w:spacing w:after="0" w:line="171" w:lineRule="exact"/>
        <w:rPr>
          <w:rFonts w:ascii="Times New Roman" w:cs="Times New Roman" w:eastAsia="Times New Roman" w:hAnsi="Times New Roman"/>
          <w:sz w:val="22"/>
          <w:szCs w:val="22"/>
          <w:color w:val="auto"/>
        </w:rPr>
      </w:pPr>
    </w:p>
    <w:p>
      <w:pPr>
        <w:ind w:firstLine="1304"/>
        <w:spacing w:after="0" w:line="271" w:lineRule="auto"/>
        <w:tabs>
          <w:tab w:leader="none" w:pos="1939"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multiple original counterparts, each of which shall be deemed an original and all of which together shall constitute but one and the same document.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[signatures appear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40" w:right="339" w:bottom="1440" w:gutter="0" w:footer="0" w:header="0"/>
        </w:sectPr>
      </w:pPr>
    </w:p>
    <w:bookmarkStart w:id="48" w:name="page49"/>
    <w:bookmarkEnd w:id="48"/>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executed this Executive Chair Agreement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NATIONAL VISION, INC.</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Bill Clark</w:t>
            </w: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40" w:type="dxa"/>
            <w:vAlign w:val="bottom"/>
            <w:tcBorders>
              <w:bottom w:val="single" w:sz="8" w:color="auto"/>
            </w:tcBorders>
            <w:gridSpan w:val="2"/>
          </w:tcPr>
          <w:p>
            <w:pPr>
              <w:jc w:val="right"/>
              <w:ind w:right="552"/>
              <w:spacing w:after="0"/>
              <w:rPr>
                <w:sz w:val="20"/>
                <w:szCs w:val="20"/>
                <w:color w:val="auto"/>
              </w:rPr>
            </w:pPr>
            <w:r>
              <w:rPr>
                <w:rFonts w:ascii="Times New Roman" w:cs="Times New Roman" w:eastAsia="Times New Roman" w:hAnsi="Times New Roman"/>
                <w:sz w:val="22"/>
                <w:szCs w:val="22"/>
                <w:color w:val="auto"/>
                <w:w w:val="95"/>
              </w:rPr>
              <w:t>04/28/2025</w:t>
            </w:r>
          </w:p>
        </w:tc>
      </w:tr>
      <w:tr>
        <w:trPr>
          <w:trHeight w:val="263"/>
        </w:trPr>
        <w:tc>
          <w:tcPr>
            <w:tcW w:w="23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 Bill Clark</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2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Date</w:t>
            </w:r>
          </w:p>
        </w:tc>
      </w:tr>
      <w:tr>
        <w:trPr>
          <w:trHeight w:val="282"/>
        </w:trPr>
        <w:tc>
          <w:tcPr>
            <w:tcW w:w="23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Title: Chief People Officer</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743"/>
        </w:trPr>
        <w:tc>
          <w:tcPr>
            <w:tcW w:w="23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EXECUTIVE</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447"/>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 L. Reade Fahs</w:t>
            </w:r>
          </w:p>
        </w:tc>
        <w:tc>
          <w:tcPr>
            <w:tcW w:w="580" w:type="dxa"/>
            <w:vAlign w:val="bottom"/>
          </w:tcPr>
          <w:p>
            <w:pPr>
              <w:spacing w:after="0"/>
              <w:rPr>
                <w:sz w:val="24"/>
                <w:szCs w:val="24"/>
                <w:color w:val="auto"/>
              </w:rPr>
            </w:pPr>
          </w:p>
        </w:tc>
        <w:tc>
          <w:tcPr>
            <w:tcW w:w="1700" w:type="dxa"/>
            <w:vAlign w:val="bottom"/>
            <w:gridSpan w:val="3"/>
          </w:tcPr>
          <w:p>
            <w:pPr>
              <w:jc w:val="right"/>
              <w:ind w:right="552"/>
              <w:spacing w:after="0"/>
              <w:rPr>
                <w:sz w:val="20"/>
                <w:szCs w:val="20"/>
                <w:color w:val="auto"/>
              </w:rPr>
            </w:pPr>
            <w:r>
              <w:rPr>
                <w:rFonts w:ascii="Times New Roman" w:cs="Times New Roman" w:eastAsia="Times New Roman" w:hAnsi="Times New Roman"/>
                <w:sz w:val="22"/>
                <w:szCs w:val="22"/>
                <w:color w:val="auto"/>
              </w:rPr>
              <w:t>04/28/2025</w:t>
            </w:r>
          </w:p>
        </w:tc>
      </w:tr>
      <w:tr>
        <w:trPr>
          <w:trHeight w:val="20"/>
        </w:trPr>
        <w:tc>
          <w:tcPr>
            <w:tcW w:w="17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r>
      <w:tr>
        <w:trPr>
          <w:trHeight w:val="289"/>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 Reade Fahs</w:t>
            </w:r>
          </w:p>
        </w:tc>
        <w:tc>
          <w:tcPr>
            <w:tcW w:w="580" w:type="dxa"/>
            <w:vAlign w:val="bottom"/>
          </w:tcPr>
          <w:p>
            <w:pPr>
              <w:spacing w:after="0"/>
              <w:rPr>
                <w:sz w:val="24"/>
                <w:szCs w:val="24"/>
                <w:color w:val="auto"/>
              </w:rPr>
            </w:pPr>
          </w:p>
        </w:tc>
        <w:tc>
          <w:tcPr>
            <w:tcW w:w="1700" w:type="dxa"/>
            <w:vAlign w:val="bottom"/>
            <w:gridSpan w:val="3"/>
          </w:tcPr>
          <w:p>
            <w:pPr>
              <w:jc w:val="right"/>
              <w:ind w:right="1152"/>
              <w:spacing w:after="0"/>
              <w:rPr>
                <w:sz w:val="20"/>
                <w:szCs w:val="20"/>
                <w:color w:val="auto"/>
              </w:rPr>
            </w:pPr>
            <w:r>
              <w:rPr>
                <w:rFonts w:ascii="Times New Roman" w:cs="Times New Roman" w:eastAsia="Times New Roman" w:hAnsi="Times New Roman"/>
                <w:sz w:val="22"/>
                <w:szCs w:val="22"/>
                <w:color w:val="auto"/>
              </w:rPr>
              <w:t>Date</w:t>
            </w:r>
          </w:p>
        </w:tc>
      </w:tr>
    </w:tbl>
    <w:p>
      <w:pPr>
        <w:sectPr>
          <w:pgSz w:w="11900" w:h="16838" w:orient="portrait"/>
          <w:cols w:equalWidth="0" w:num="1">
            <w:col w:w="11060"/>
          </w:cols>
          <w:pgMar w:left="320" w:top="1440" w:right="519" w:bottom="1440" w:gutter="0" w:footer="0" w:header="0"/>
        </w:sectPr>
      </w:pPr>
    </w:p>
    <w:bookmarkStart w:id="49" w:name="page50"/>
    <w:bookmarkEnd w:id="49"/>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General Release and Waiver of Claims</w:t>
      </w:r>
    </w:p>
    <w:p>
      <w:pPr>
        <w:spacing w:after="0" w:line="2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This General Release and Waiver of Claims (this “Release”) is entered into effective as of ____ (the “Termination Date”)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L. Reade Fahs (“Executive”) and National Vision, Inc. (the “Company”).</w:t>
      </w:r>
    </w:p>
    <w:p>
      <w:pPr>
        <w:spacing w:after="0" w:line="206" w:lineRule="exact"/>
        <w:rPr>
          <w:sz w:val="20"/>
          <w:szCs w:val="20"/>
          <w:color w:val="auto"/>
        </w:rPr>
      </w:pPr>
    </w:p>
    <w:p>
      <w:pPr>
        <w:ind w:firstLine="648"/>
        <w:spacing w:after="0" w:line="309" w:lineRule="auto"/>
        <w:rPr>
          <w:sz w:val="20"/>
          <w:szCs w:val="20"/>
          <w:color w:val="auto"/>
        </w:rPr>
      </w:pPr>
      <w:r>
        <w:rPr>
          <w:rFonts w:ascii="Times New Roman" w:cs="Times New Roman" w:eastAsia="Times New Roman" w:hAnsi="Times New Roman"/>
          <w:sz w:val="22"/>
          <w:szCs w:val="22"/>
          <w:color w:val="auto"/>
        </w:rPr>
        <w:t>WHEREAS, Executive and the Company are party to that certain Executive Chair Agreement dated April 28, 2025 (the “Agreement”); and</w:t>
      </w:r>
    </w:p>
    <w:p>
      <w:pPr>
        <w:spacing w:after="0" w:line="105" w:lineRule="exact"/>
        <w:rPr>
          <w:sz w:val="20"/>
          <w:szCs w:val="20"/>
          <w:color w:val="auto"/>
        </w:rPr>
      </w:pPr>
    </w:p>
    <w:p>
      <w:pPr>
        <w:ind w:firstLine="648"/>
        <w:spacing w:after="0" w:line="296" w:lineRule="auto"/>
        <w:rPr>
          <w:sz w:val="20"/>
          <w:szCs w:val="20"/>
          <w:color w:val="auto"/>
        </w:rPr>
      </w:pPr>
      <w:r>
        <w:rPr>
          <w:rFonts w:ascii="Times New Roman" w:cs="Times New Roman" w:eastAsia="Times New Roman" w:hAnsi="Times New Roman"/>
          <w:sz w:val="22"/>
          <w:szCs w:val="22"/>
          <w:color w:val="auto"/>
        </w:rPr>
        <w:t>WHEREAS, Executive’s employment with the Company was terminated by the Company without “Cause,” or by Executive for “Good Reason,” as such terms are defined in the Agreement, and has now ended;</w:t>
      </w:r>
    </w:p>
    <w:p>
      <w:pPr>
        <w:spacing w:after="0" w:line="132" w:lineRule="exact"/>
        <w:rPr>
          <w:sz w:val="20"/>
          <w:szCs w:val="20"/>
          <w:color w:val="auto"/>
        </w:rPr>
      </w:pPr>
    </w:p>
    <w:p>
      <w:pPr>
        <w:ind w:firstLine="246"/>
        <w:spacing w:after="0" w:line="296" w:lineRule="auto"/>
        <w:rPr>
          <w:sz w:val="20"/>
          <w:szCs w:val="20"/>
          <w:color w:val="auto"/>
        </w:rPr>
      </w:pPr>
      <w:r>
        <w:rPr>
          <w:rFonts w:ascii="Times New Roman" w:cs="Times New Roman" w:eastAsia="Times New Roman" w:hAnsi="Times New Roman"/>
          <w:sz w:val="22"/>
          <w:szCs w:val="22"/>
          <w:color w:val="auto"/>
        </w:rPr>
        <w:t>NOW THEREFORE, in consideration of the foregoing and other good and valuable consideration, the receipt and sufficiency of which hereby is acknowledged, Executive and Company hereby agree as follows:</w:t>
      </w:r>
    </w:p>
    <w:p>
      <w:pPr>
        <w:spacing w:after="0" w:line="128" w:lineRule="exact"/>
        <w:rPr>
          <w:sz w:val="20"/>
          <w:szCs w:val="20"/>
          <w:color w:val="auto"/>
        </w:rPr>
      </w:pPr>
    </w:p>
    <w:p>
      <w:pPr>
        <w:jc w:val="both"/>
        <w:ind w:left="340" w:hanging="332"/>
        <w:spacing w:after="0" w:line="283" w:lineRule="auto"/>
        <w:tabs>
          <w:tab w:leader="none" w:pos="3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Severance Benefits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will provide to Executive the severance payments, the target cash bonus payment (if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Date occurs during 2025 or 2026), and the continued vesting of equity awards as described in Section 4(g), clauses (i), (ii) and (iii) of the Agreement (collectively, the “Severance Benefits”) provided that this Release has been executed and the revocation period provided herein has expired without Executive revoking his acceptance.</w:t>
      </w:r>
    </w:p>
    <w:p>
      <w:pPr>
        <w:spacing w:after="0" w:line="201" w:lineRule="exact"/>
        <w:rPr>
          <w:rFonts w:ascii="Times New Roman" w:cs="Times New Roman" w:eastAsia="Times New Roman" w:hAnsi="Times New Roman"/>
          <w:sz w:val="22"/>
          <w:szCs w:val="22"/>
          <w:color w:val="auto"/>
        </w:rPr>
      </w:pPr>
    </w:p>
    <w:p>
      <w:pPr>
        <w:jc w:val="both"/>
        <w:ind w:left="340"/>
        <w:spacing w:after="0" w:line="27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the payments set forth in the Agreement, Executive agree that the Company owes him no additional amounts for wages, back pay, severance pay, bonuses, damages, accrued vacation, benefits, insurance, sick leave, other leave, or otherwise. Executive hereby agrees that he has been paid all outstanding wages through and including the date of his most recent paycheck. On or before ____, the Company will pay Executive for any outstanding wages relating to services between the date covered by his most recent paycheck and the Termination Date, subject to all applicable withholdings. Executive will be entitled to receive such other Accrued Amounts as provided in Section 4(g) of the Agreement.</w:t>
      </w:r>
    </w:p>
    <w:p>
      <w:pPr>
        <w:spacing w:after="0" w:line="201" w:lineRule="exact"/>
        <w:rPr>
          <w:rFonts w:ascii="Times New Roman" w:cs="Times New Roman" w:eastAsia="Times New Roman" w:hAnsi="Times New Roman"/>
          <w:sz w:val="22"/>
          <w:szCs w:val="22"/>
          <w:color w:val="auto"/>
        </w:rPr>
      </w:pPr>
    </w:p>
    <w:p>
      <w:pPr>
        <w:jc w:val="both"/>
        <w:ind w:left="340" w:hanging="332"/>
        <w:spacing w:after="0" w:line="278" w:lineRule="auto"/>
        <w:tabs>
          <w:tab w:leader="none" w:pos="3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Covenant Not to Sue and Release of Claims</w:t>
      </w:r>
      <w:r>
        <w:rPr>
          <w:rFonts w:ascii="Times New Roman" w:cs="Times New Roman" w:eastAsia="Times New Roman" w:hAnsi="Times New Roman"/>
          <w:sz w:val="22"/>
          <w:szCs w:val="22"/>
          <w:color w:val="auto"/>
        </w:rPr>
        <w:t>. Executive represents that he has not, and agrees that he will not, file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claims, complaints, charges, or lawsuits against the Company or any of its parent companies, divisions, subsidiaries, affiliates, predecessors, successors, or assigns, or any of their present or former officers, directors, employees, owners, or agents, or any of their benefit plans or trustees (hereinafter collectively referred to as the “Releasees”) about anything that has occurred up to the time he executes this Release. In addition, in further consideration of the Severance Benefits, Executive on behalf of herself and his heirs, administrators, executors, assigns, attorneys, and agents hereby irrevocably and unconditionally release, acquit, and forever discharge the Releasees from any and all</w:t>
      </w:r>
    </w:p>
    <w:p>
      <w:pPr>
        <w:sectPr>
          <w:pgSz w:w="11900" w:h="16838" w:orient="portrait"/>
          <w:cols w:equalWidth="0" w:num="1">
            <w:col w:w="11240"/>
          </w:cols>
          <w:pgMar w:left="320" w:top="1440" w:right="339" w:bottom="1440" w:gutter="0" w:footer="0" w:header="0"/>
        </w:sectPr>
      </w:pPr>
    </w:p>
    <w:bookmarkStart w:id="50" w:name="page51"/>
    <w:bookmarkEnd w:id="50"/>
    <w:p>
      <w:pPr>
        <w:spacing w:after="0" w:line="21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2"/>
          <w:szCs w:val="22"/>
          <w:color w:val="auto"/>
        </w:rPr>
        <w:t>complaints, claims, liabilities, obligations, promises, agreements, controversies, damages, actions, causes of action, lawsuits, rights, demands, costs, losses, debts, fees, and expenses of any nature whatsoever, known or unknown, suspected or unsuspected, arising on or before the date on which Executive enters into this Release, including but not limited to any claim of discrimination or harassment on the basis of disability, medical condition, race, color, sex, pregnancy, age, religion, marital status, sexual orientation, gender identity or expression, transgender status, national origin, veteran status, uniformed service, ancestry or citizenship status, retaliation, or any other category protected by local, state, or federal law; any claim of retaliation or whistleblowing; any other claim based on a statutory prohibition or requirement, including but not limited to federal or state family and medical leave acts; any claim arising out of or related to an express or implied employment contract or any other contract affecting terms and conditions of employment; any claim for unpaid compensation or benefits of any kind; any claim under a covenant of good faith and fair dealing; any claim for wrongful discharge, any claim for fraud, all tort claims, including claims for invasion of privacy, infliction of emotional distress, and defamation; any claim under the False Claims Act, 31 U.S.C. 3730, including any personal gain with respect to any claim arising under the qui tam provisions of the False Claims Act, 31 U.S.C. 3730; and any claims to attorneys’ fees or expenses. Examples of claims released under this Paragraph include, but are not limited to, claims under Title VII of the Civil Rights Act of 1964, the Americans with Disabilities Act (ADA), 42 U.S.C. Section 1981, the federal Family and Medical Leave Act (FMLA), the Pregnant Workers Fairness Act (PWFA), the Age Discrimination in Employment Act (ADEA), the Employee Retirement Income Security Act (ERISA), the Equal Pay Act, the Fair Labor Standards Act, the Uniformed Services Employment and Reemployment Rights Act of 1994; the Georgia Fair Employment Practices Act; the Georgia Equal Pay Act; the Georgia Prohibition of Age Discrimination Act, the Georgia Equal Employment for People with Disabilities Code, the Georgia Discriminatory Wage Practices Based on Sex Act, and all other federal, state, and local law claims, including any amendments and their respective implementing regulations, that may be legally waived and released; however, the identification of specific statutes is for purposes of example only, and the omission of any specific statute or law shall not limit the scope of this general release in any manner.</w:t>
      </w:r>
    </w:p>
    <w:p>
      <w:pPr>
        <w:spacing w:after="0" w:line="22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2"/>
          <w:szCs w:val="22"/>
          <w:b w:val="1"/>
          <w:bCs w:val="1"/>
          <w:color w:val="auto"/>
        </w:rPr>
        <w:t>Notwithstanding the foregoing, nothing in this Release prevents Executive from filing, cooperating with, or participating in any proceeding before the U.S. Equal Employment Opportunity Commission, the National Labor Relations Board, the Securities and Exchange Commission or any other federal, state or local governmental agency or commission.</w:t>
      </w:r>
    </w:p>
    <w:p>
      <w:pPr>
        <w:spacing w:after="0" w:line="147"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21"/>
          <w:szCs w:val="21"/>
          <w:color w:val="auto"/>
        </w:rPr>
        <w:t>Executive agrees that he will not hereafter be entitled to any individual recovery or relief as a result of an action filed against the Releasees in any municipal, state, or federal court or agency including, but not limited to, the Equal Employment Opportunity Commission or the Department of Labor for or on account of anything that has occurred up to the present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0900"/>
          </w:cols>
          <w:pgMar w:left="660" w:top="1440" w:right="339" w:bottom="1440" w:gutter="0" w:footer="0" w:header="0"/>
        </w:sectPr>
      </w:pPr>
    </w:p>
    <w:bookmarkStart w:id="51" w:name="page52"/>
    <w:bookmarkEnd w:id="51"/>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including, but not limited to, anything that has transpired as a result of his employment with the Company.</w:t>
      </w:r>
    </w:p>
    <w:p>
      <w:pPr>
        <w:spacing w:after="0" w:line="220" w:lineRule="exact"/>
        <w:rPr>
          <w:sz w:val="20"/>
          <w:szCs w:val="20"/>
          <w:color w:val="auto"/>
        </w:rPr>
      </w:pPr>
    </w:p>
    <w:p>
      <w:pPr>
        <w:jc w:val="both"/>
        <w:ind w:left="340"/>
        <w:spacing w:after="0" w:line="278" w:lineRule="auto"/>
        <w:rPr>
          <w:sz w:val="20"/>
          <w:szCs w:val="20"/>
          <w:color w:val="auto"/>
        </w:rPr>
      </w:pPr>
      <w:r>
        <w:rPr>
          <w:rFonts w:ascii="Times New Roman" w:cs="Times New Roman" w:eastAsia="Times New Roman" w:hAnsi="Times New Roman"/>
          <w:sz w:val="22"/>
          <w:szCs w:val="22"/>
          <w:color w:val="auto"/>
        </w:rPr>
        <w:t>For the purpose of implementing a full and complete release and discharge of the Releasees, Executive expressly acknowledge that this Release is intended to include in its effect, without limitation, all Claims that he does not know or suspect to exist in his favor at the time he signs this Release, and that this Release contemplates the extinguishment of any such Claim or Claims.</w:t>
      </w:r>
    </w:p>
    <w:p>
      <w:pPr>
        <w:spacing w:after="0" w:line="151" w:lineRule="exact"/>
        <w:rPr>
          <w:sz w:val="20"/>
          <w:szCs w:val="20"/>
          <w:color w:val="auto"/>
        </w:rPr>
      </w:pPr>
    </w:p>
    <w:p>
      <w:pPr>
        <w:jc w:val="both"/>
        <w:ind w:left="340"/>
        <w:spacing w:after="0" w:line="277" w:lineRule="auto"/>
        <w:rPr>
          <w:sz w:val="20"/>
          <w:szCs w:val="20"/>
          <w:color w:val="auto"/>
        </w:rPr>
      </w:pPr>
      <w:r>
        <w:rPr>
          <w:rFonts w:ascii="Times New Roman" w:cs="Times New Roman" w:eastAsia="Times New Roman" w:hAnsi="Times New Roman"/>
          <w:sz w:val="22"/>
          <w:szCs w:val="22"/>
          <w:color w:val="auto"/>
        </w:rPr>
        <w:t>Notwithstanding the general release set forth above, nothing herein shall constitute a release or waiver by Executive of (i) any claim or right that cannot be waived by law, such as claims for workers’ compensation or unemployment compensation benefits, (ii) any claim or right Executive may have for benefit rights that have vested as of the date of execution of this Release, which shall be governed by the terms of the applicable plan documents and award agreements, (iii) any rights or claims for indemnification Executive may under the Company’s certificate of incorporation or bylaws, under applicable law, under Section 4(e) of the Company’s Amended and Restated 2017 Omnibus Incentive Plan, or (iv) any claims or rights Executive may have under the Agreement.</w:t>
      </w:r>
    </w:p>
    <w:p>
      <w:pPr>
        <w:spacing w:after="0" w:line="139" w:lineRule="exact"/>
        <w:rPr>
          <w:sz w:val="20"/>
          <w:szCs w:val="20"/>
          <w:color w:val="auto"/>
        </w:rPr>
      </w:pPr>
    </w:p>
    <w:p>
      <w:pPr>
        <w:jc w:val="both"/>
        <w:ind w:left="340" w:hanging="332"/>
        <w:spacing w:after="0" w:line="280" w:lineRule="auto"/>
        <w:tabs>
          <w:tab w:leader="none" w:pos="34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Consideration Period</w:t>
      </w:r>
      <w:r>
        <w:rPr>
          <w:rFonts w:ascii="Times New Roman" w:cs="Times New Roman" w:eastAsia="Times New Roman" w:hAnsi="Times New Roman"/>
          <w:sz w:val="22"/>
          <w:szCs w:val="22"/>
          <w:color w:val="auto"/>
        </w:rPr>
        <w:t>. Because the arrangements discussed in this Release affect important rights and obligations, Executive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 advised to consult with an attorney and/or tax professional before agreeing to the terms set forth herein. Executive has twenty-one (21) days from the date he receives this Release within which to consider it, and he may take as much of that time as he wishes before signing. If Executive decides to accept the benefits offered herein, he must sign this Release on or before the expiration of the 21-day period and return it to the Company (Attention: Chief People Officer at National Vision, Inc., 2435 Commerce Ave., Bldg. 2200, Duluth, Georgia 30096, or by email at [*****]).</w:t>
      </w:r>
    </w:p>
    <w:p>
      <w:pPr>
        <w:spacing w:after="0" w:line="204" w:lineRule="exact"/>
        <w:rPr>
          <w:rFonts w:ascii="Times New Roman" w:cs="Times New Roman" w:eastAsia="Times New Roman" w:hAnsi="Times New Roman"/>
          <w:sz w:val="22"/>
          <w:szCs w:val="22"/>
          <w:color w:val="auto"/>
        </w:rPr>
      </w:pPr>
    </w:p>
    <w:p>
      <w:pPr>
        <w:jc w:val="both"/>
        <w:ind w:left="340"/>
        <w:spacing w:after="0" w:line="28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 that the Company has made no representations to him concerning the term or effects of this Release other than those contained herein. He also acknowledges that, pursuant to C.F.R. Section 1625.22, any modifications to this proposed Release as originally presented to his, whether considered or deemed to be material or nonmaterial, shall not restart the twenty-one (21) day consideration period.</w:t>
      </w:r>
    </w:p>
    <w:p>
      <w:pPr>
        <w:spacing w:after="0" w:line="130" w:lineRule="exact"/>
        <w:rPr>
          <w:rFonts w:ascii="Times New Roman" w:cs="Times New Roman" w:eastAsia="Times New Roman" w:hAnsi="Times New Roman"/>
          <w:sz w:val="22"/>
          <w:szCs w:val="22"/>
          <w:color w:val="auto"/>
        </w:rPr>
      </w:pPr>
    </w:p>
    <w:p>
      <w:pPr>
        <w:jc w:val="both"/>
        <w:ind w:left="340" w:hanging="332"/>
        <w:spacing w:after="0" w:line="277" w:lineRule="auto"/>
        <w:tabs>
          <w:tab w:leader="none" w:pos="34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Revocation Rights</w:t>
      </w:r>
      <w:r>
        <w:rPr>
          <w:rFonts w:ascii="Times New Roman" w:cs="Times New Roman" w:eastAsia="Times New Roman" w:hAnsi="Times New Roman"/>
          <w:sz w:val="22"/>
          <w:szCs w:val="22"/>
          <w:color w:val="auto"/>
        </w:rPr>
        <w:t>. For a period of seven (7) days after Executive signs this Release, he may revoke it entirely. No rights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obligations contained in this Release shall become enforceable before the expiration of the seven-day revocation period. If Executive decides to revoke the Release, he must deliver to the Company (Attention: Chief People Officer at National Vision, Inc., 2435 Commerce Ave., Bldg. 2200, Duluth, Georgia 30096, or by email at [*****]) a signed notice of revocation on or before the last day of this seven-day period. Upon delivery of a timely notice of revocation, this Release shall be cancelled and void, and neither Executive nor the Company shall have any rights or obligations under it.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40" w:right="339" w:bottom="1440" w:gutter="0" w:footer="0" w:header="0"/>
        </w:sectPr>
      </w:pPr>
    </w:p>
    <w:bookmarkStart w:id="52" w:name="page53"/>
    <w:bookmarkEnd w:id="52"/>
    <w:p>
      <w:pPr>
        <w:spacing w:after="0" w:line="200" w:lineRule="exact"/>
        <w:rPr>
          <w:sz w:val="20"/>
          <w:szCs w:val="20"/>
          <w:color w:val="auto"/>
        </w:rPr>
      </w:pPr>
    </w:p>
    <w:p>
      <w:pPr>
        <w:spacing w:after="0" w:line="251" w:lineRule="exact"/>
        <w:rPr>
          <w:sz w:val="20"/>
          <w:szCs w:val="20"/>
          <w:color w:val="auto"/>
        </w:rPr>
      </w:pPr>
    </w:p>
    <w:p>
      <w:pPr>
        <w:jc w:val="both"/>
        <w:ind w:left="340" w:hanging="332"/>
        <w:spacing w:after="0" w:line="280" w:lineRule="auto"/>
        <w:tabs>
          <w:tab w:leader="none" w:pos="34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Additional Information</w:t>
      </w:r>
      <w:r>
        <w:rPr>
          <w:rFonts w:ascii="Times New Roman" w:cs="Times New Roman" w:eastAsia="Times New Roman" w:hAnsi="Times New Roman"/>
          <w:sz w:val="22"/>
          <w:szCs w:val="22"/>
          <w:color w:val="auto"/>
        </w:rPr>
        <w:t>. Without limiting the scope of this Release in any way, this Release constitutes a knowing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voluntary waiver of any and all rights or claims that exist or that Executive has or may claim to have under the Age Discrimination in Employment Act (“ADEA”), as amended by the Older Workers’ Benefit Protection Act of 1990 (“OWBPA’) (29 U.S.C. §§ 621, et seq.). This Release does not govern any rights or claims that might arise under the ADEA after the date this Release is signed by Executive.</w:t>
      </w:r>
    </w:p>
    <w:p>
      <w:pPr>
        <w:spacing w:after="0" w:line="198" w:lineRule="exact"/>
        <w:rPr>
          <w:rFonts w:ascii="Times New Roman" w:cs="Times New Roman" w:eastAsia="Times New Roman" w:hAnsi="Times New Roman"/>
          <w:sz w:val="22"/>
          <w:szCs w:val="22"/>
          <w:color w:val="auto"/>
        </w:rPr>
      </w:pPr>
    </w:p>
    <w:p>
      <w:pPr>
        <w:jc w:val="both"/>
        <w:ind w:left="340" w:right="20" w:hanging="332"/>
        <w:spacing w:after="0" w:line="291" w:lineRule="auto"/>
        <w:tabs>
          <w:tab w:leader="none" w:pos="34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Reaffirmation of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of the date of his execution of this Release, and except as otherwise modified herein,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reaffirms, re-agrees, re-promises, and again covenants to abide by the provisions of the Agreement (including all subparts and subparagraphs).</w:t>
      </w:r>
    </w:p>
    <w:p>
      <w:pPr>
        <w:spacing w:after="0" w:line="186" w:lineRule="exact"/>
        <w:rPr>
          <w:rFonts w:ascii="Times New Roman" w:cs="Times New Roman" w:eastAsia="Times New Roman" w:hAnsi="Times New Roman"/>
          <w:sz w:val="22"/>
          <w:szCs w:val="22"/>
          <w:color w:val="auto"/>
        </w:rPr>
      </w:pPr>
    </w:p>
    <w:p>
      <w:pPr>
        <w:ind w:left="340" w:hanging="332"/>
        <w:spacing w:after="0" w:line="300" w:lineRule="auto"/>
        <w:tabs>
          <w:tab w:leader="none" w:pos="34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Release may be executed in multiple original counterparts, each of which shall be deemed an original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all of which together shall constitute but one and the same document.</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WITNESS WHEREOF, the parties duly execute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58293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582930" cy="8890"/>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448310</wp:posOffset>
            </wp:positionV>
            <wp:extent cx="54864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L. Reade Fahs</w:t>
      </w:r>
      <w:r>
        <w:rPr>
          <w:sz w:val="20"/>
          <w:szCs w:val="20"/>
          <w:color w:val="auto"/>
        </w:rPr>
        <w:tab/>
      </w: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NATIONAL VISION,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54864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548640"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302260</wp:posOffset>
            </wp:positionV>
            <wp:extent cx="54864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Bill Clark</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Its: Chief People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469" w:lineRule="exact"/>
        <w:rPr>
          <w:sz w:val="20"/>
          <w:szCs w:val="20"/>
          <w:color w:val="auto"/>
        </w:rPr>
      </w:pPr>
    </w:p>
    <w:p>
      <w:pPr>
        <w:sectPr>
          <w:pgSz w:w="11900" w:h="16838" w:orient="portrait"/>
          <w:cols w:equalWidth="0" w:num="2">
            <w:col w:w="2140" w:space="380"/>
            <w:col w:w="872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40" w:right="339" w:bottom="1440" w:gutter="0" w:footer="0" w:header="0"/>
          <w:type w:val="continuous"/>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Alex Wilkes, certify that:</w:t>
      </w:r>
    </w:p>
    <w:p>
      <w:pPr>
        <w:spacing w:after="0" w:line="252" w:lineRule="exact"/>
        <w:rPr>
          <w:sz w:val="20"/>
          <w:szCs w:val="20"/>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28, 2025 of National Vision Holdings, Inc.;</w:t>
      </w:r>
    </w:p>
    <w:p>
      <w:pPr>
        <w:spacing w:after="0" w:line="252"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left="340" w:right="160" w:hanging="332"/>
        <w:spacing w:after="0" w:line="318" w:lineRule="auto"/>
        <w:tabs>
          <w:tab w:leader="none" w:pos="328"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7"/>
          <w:szCs w:val="17"/>
          <w:color w:val="auto"/>
        </w:rPr>
      </w:pPr>
    </w:p>
    <w:p>
      <w:pPr>
        <w:ind w:left="340" w:right="140" w:hanging="332"/>
        <w:spacing w:after="0" w:line="276" w:lineRule="auto"/>
        <w:tabs>
          <w:tab w:leader="none" w:pos="328"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234" w:lineRule="exact"/>
        <w:rPr>
          <w:rFonts w:ascii="Arial" w:cs="Arial" w:eastAsia="Arial" w:hAnsi="Arial"/>
          <w:sz w:val="17"/>
          <w:szCs w:val="17"/>
          <w:color w:val="auto"/>
        </w:rPr>
      </w:pPr>
    </w:p>
    <w:p>
      <w:pPr>
        <w:ind w:left="660" w:right="60" w:hanging="328"/>
        <w:spacing w:after="0" w:line="268" w:lineRule="auto"/>
        <w:tabs>
          <w:tab w:leader="none" w:pos="65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660" w:right="140" w:hanging="328"/>
        <w:spacing w:after="0" w:line="268" w:lineRule="auto"/>
        <w:tabs>
          <w:tab w:leader="none" w:pos="65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97" w:lineRule="exact"/>
        <w:rPr>
          <w:rFonts w:ascii="Arial" w:cs="Arial" w:eastAsia="Arial" w:hAnsi="Arial"/>
          <w:sz w:val="18"/>
          <w:szCs w:val="18"/>
          <w:color w:val="auto"/>
        </w:rPr>
      </w:pPr>
    </w:p>
    <w:p>
      <w:pPr>
        <w:ind w:left="660" w:right="80" w:hanging="328"/>
        <w:spacing w:after="0" w:line="268" w:lineRule="auto"/>
        <w:tabs>
          <w:tab w:leader="none" w:pos="654" w:val="left"/>
        </w:tabs>
        <w:numPr>
          <w:ilvl w:val="1"/>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left="660" w:right="400" w:hanging="328"/>
        <w:spacing w:after="0" w:line="268" w:lineRule="auto"/>
        <w:tabs>
          <w:tab w:leader="none" w:pos="65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660" w:right="280" w:hanging="328"/>
        <w:spacing w:after="0" w:line="287" w:lineRule="auto"/>
        <w:tabs>
          <w:tab w:leader="none" w:pos="65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Arial" w:cs="Arial" w:eastAsia="Arial" w:hAnsi="Arial"/>
          <w:sz w:val="18"/>
          <w:szCs w:val="18"/>
          <w:color w:val="auto"/>
        </w:rPr>
      </w:pPr>
    </w:p>
    <w:p>
      <w:pPr>
        <w:ind w:left="660" w:right="500" w:hanging="328"/>
        <w:spacing w:after="0" w:line="287" w:lineRule="auto"/>
        <w:tabs>
          <w:tab w:leader="none" w:pos="65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2025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Alex Wilkes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17780</wp:posOffset>
            </wp:positionV>
            <wp:extent cx="23660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Alex Wilkes</w:t>
      </w:r>
    </w:p>
    <w:p>
      <w:pPr>
        <w:spacing w:after="0" w:line="3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2"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Christopher Laden, certify that:</w:t>
      </w:r>
    </w:p>
    <w:p>
      <w:pPr>
        <w:spacing w:after="0" w:line="252" w:lineRule="exact"/>
        <w:rPr>
          <w:sz w:val="20"/>
          <w:szCs w:val="20"/>
          <w:color w:val="auto"/>
        </w:rPr>
      </w:pPr>
    </w:p>
    <w:p>
      <w:pPr>
        <w:ind w:left="320" w:hanging="312"/>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28, 2025 of National Vision Holdings, Inc.;</w:t>
      </w:r>
    </w:p>
    <w:p>
      <w:pPr>
        <w:spacing w:after="0" w:line="252"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left="340" w:right="160" w:hanging="332"/>
        <w:spacing w:after="0" w:line="318" w:lineRule="auto"/>
        <w:tabs>
          <w:tab w:leader="none" w:pos="328"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7"/>
          <w:szCs w:val="17"/>
          <w:color w:val="auto"/>
        </w:rPr>
      </w:pPr>
    </w:p>
    <w:p>
      <w:pPr>
        <w:ind w:left="340" w:right="140" w:hanging="332"/>
        <w:spacing w:after="0" w:line="276" w:lineRule="auto"/>
        <w:tabs>
          <w:tab w:leader="none" w:pos="328"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234" w:lineRule="exact"/>
        <w:rPr>
          <w:rFonts w:ascii="Arial" w:cs="Arial" w:eastAsia="Arial" w:hAnsi="Arial"/>
          <w:sz w:val="17"/>
          <w:szCs w:val="17"/>
          <w:color w:val="auto"/>
        </w:rPr>
      </w:pPr>
    </w:p>
    <w:p>
      <w:pPr>
        <w:ind w:left="660" w:right="60" w:hanging="328"/>
        <w:spacing w:after="0" w:line="268" w:lineRule="auto"/>
        <w:tabs>
          <w:tab w:leader="none" w:pos="65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660" w:right="140" w:hanging="328"/>
        <w:spacing w:after="0" w:line="268" w:lineRule="auto"/>
        <w:tabs>
          <w:tab w:leader="none" w:pos="65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97" w:lineRule="exact"/>
        <w:rPr>
          <w:rFonts w:ascii="Arial" w:cs="Arial" w:eastAsia="Arial" w:hAnsi="Arial"/>
          <w:sz w:val="18"/>
          <w:szCs w:val="18"/>
          <w:color w:val="auto"/>
        </w:rPr>
      </w:pPr>
    </w:p>
    <w:p>
      <w:pPr>
        <w:ind w:left="660" w:right="80" w:hanging="328"/>
        <w:spacing w:after="0" w:line="268" w:lineRule="auto"/>
        <w:tabs>
          <w:tab w:leader="none" w:pos="654" w:val="left"/>
        </w:tabs>
        <w:numPr>
          <w:ilvl w:val="1"/>
          <w:numId w:val="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left="660" w:right="400" w:hanging="328"/>
        <w:spacing w:after="0" w:line="268" w:lineRule="auto"/>
        <w:tabs>
          <w:tab w:leader="none" w:pos="65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660" w:right="280" w:hanging="328"/>
        <w:spacing w:after="0" w:line="287" w:lineRule="auto"/>
        <w:tabs>
          <w:tab w:leader="none" w:pos="65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Arial" w:cs="Arial" w:eastAsia="Arial" w:hAnsi="Arial"/>
          <w:sz w:val="18"/>
          <w:szCs w:val="18"/>
          <w:color w:val="auto"/>
        </w:rPr>
      </w:pPr>
    </w:p>
    <w:p>
      <w:pPr>
        <w:ind w:left="660" w:right="500" w:hanging="328"/>
        <w:spacing w:after="0" w:line="287" w:lineRule="auto"/>
        <w:tabs>
          <w:tab w:leader="none" w:pos="65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2025</w:t>
      </w:r>
    </w:p>
    <w:p>
      <w:pPr>
        <w:spacing w:after="0" w:line="29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Christopher Laden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17780</wp:posOffset>
            </wp:positionV>
            <wp:extent cx="32061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Christopher Laden</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Senior Vice President, Chief Financial Officer</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22"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4"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In connection with the Quarterly Report of National Vision Holdings, Inc. (the “Company”) on Form 10-Q for the quarterly period ended June 28, 2025 filed with the Securities and Exchange Commission on the date hereof (the “Report”), I, Alex Wilkes, Chief Executive Officer of the Company, do hereby certify, pursuant to 18 U.S.C. Section 1350, as adopted pursuant to Section 906 of the Sarbanes-Oxley Act of 2002, that:</w:t>
      </w:r>
    </w:p>
    <w:p>
      <w:pPr>
        <w:spacing w:after="0" w:line="203" w:lineRule="exact"/>
        <w:rPr>
          <w:sz w:val="20"/>
          <w:szCs w:val="20"/>
          <w:color w:val="auto"/>
        </w:rPr>
      </w:pPr>
    </w:p>
    <w:p>
      <w:pPr>
        <w:ind w:left="320" w:hanging="312"/>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340" w:right="340" w:hanging="332"/>
        <w:spacing w:after="0" w:line="287" w:lineRule="auto"/>
        <w:tabs>
          <w:tab w:leader="none" w:pos="32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2025</w:t>
      </w:r>
    </w:p>
    <w:p>
      <w:pPr>
        <w:spacing w:after="0" w:line="200" w:lineRule="exact"/>
        <w:rPr>
          <w:sz w:val="20"/>
          <w:szCs w:val="20"/>
          <w:color w:val="auto"/>
        </w:rPr>
      </w:pPr>
    </w:p>
    <w:p>
      <w:pPr>
        <w:spacing w:after="0" w:line="30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Alex Wilkes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17780</wp:posOffset>
            </wp:positionV>
            <wp:extent cx="236601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Alex Wilkes</w:t>
      </w:r>
    </w:p>
    <w:p>
      <w:pPr>
        <w:spacing w:after="0" w:line="3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2"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4"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In connection with the Quarterly Report of National Vision Holdings, Inc. (the “Company”) on Form 10-Q for the quarterly period ended June 28, 2025 filed with the Securities and Exchange Commission on the date hereof (the “Report”), I, Christopher Laden, Senior Vice President, Chief Financial Officer of the Company, do hereby certify, pursuant to 18 U.S.C. Section 1350, as adopted pursuant to Section 906 of the Sarbanes-Oxley Act of 2002, that:</w:t>
      </w:r>
    </w:p>
    <w:p>
      <w:pPr>
        <w:spacing w:after="0" w:line="203" w:lineRule="exact"/>
        <w:rPr>
          <w:sz w:val="20"/>
          <w:szCs w:val="20"/>
          <w:color w:val="auto"/>
        </w:rPr>
      </w:pPr>
    </w:p>
    <w:p>
      <w:pPr>
        <w:ind w:left="320" w:hanging="312"/>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340" w:right="340" w:hanging="332"/>
        <w:spacing w:after="0" w:line="287" w:lineRule="auto"/>
        <w:tabs>
          <w:tab w:leader="none" w:pos="32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2025</w:t>
      </w:r>
    </w:p>
    <w:p>
      <w:pPr>
        <w:spacing w:after="0" w:line="29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 Christopher Laden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17780</wp:posOffset>
            </wp:positionV>
            <wp:extent cx="31457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Christopher Laden</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Senior Vice President, Chief Financial Officer</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decimal"/>
      <w:start w:val="1"/>
    </w:lvl>
  </w:abstractNum>
  <w:abstractNum w:abstractNumId="3">
    <w:nsid w:val="6763845E"/>
    <w:multiLevelType w:val="hybridMultilevel"/>
    <w:lvl w:ilvl="0">
      <w:lvlJc w:val="left"/>
      <w:lvlText w:val="(%1)"/>
      <w:numFmt w:val="decimal"/>
      <w:start w:val="1"/>
    </w:lvl>
  </w:abstractNum>
  <w:abstractNum w:abstractNumId="4">
    <w:nsid w:val="75A2A8D4"/>
    <w:multiLevelType w:val="hybridMultilevel"/>
    <w:lvl w:ilvl="0">
      <w:lvlJc w:val="left"/>
      <w:lvlText w:val="%1."/>
      <w:numFmt w:val="decimal"/>
      <w:start w:val="1"/>
    </w:lvl>
  </w:abstractNum>
  <w:abstractNum w:abstractNumId="5">
    <w:nsid w:val="8EDBDAB"/>
    <w:multiLevelType w:val="hybridMultilevel"/>
    <w:lvl w:ilvl="0">
      <w:lvlJc w:val="left"/>
      <w:lvlText w:val="%1"/>
      <w:numFmt w:val="decimal"/>
      <w:start w:val="1"/>
    </w:lvl>
    <w:lvl w:ilvl="1">
      <w:lvlJc w:val="left"/>
      <w:lvlText w:val="(%2)"/>
      <w:numFmt w:val="decimal"/>
      <w:start w:val="1"/>
    </w:lvl>
  </w:abstractNum>
  <w:abstractNum w:abstractNumId="6">
    <w:nsid w:val="79838CB2"/>
    <w:multiLevelType w:val="hybridMultilevel"/>
    <w:lvl w:ilvl="0">
      <w:lvlJc w:val="left"/>
      <w:lvlText w:val="%1."/>
      <w:numFmt w:val="decimal"/>
      <w:start w:val="5"/>
    </w:lvl>
    <w:lvl w:ilvl="1">
      <w:lvlJc w:val="left"/>
      <w:lvlText w:val="%2"/>
      <w:numFmt w:val="decimal"/>
      <w:start w:val="1"/>
    </w:lvl>
  </w:abstractNum>
  <w:abstractNum w:abstractNumId="7">
    <w:nsid w:val="4353D0CD"/>
    <w:multiLevelType w:val="hybridMultilevel"/>
    <w:lvl w:ilvl="0">
      <w:lvlJc w:val="left"/>
      <w:lvlText w:val="%1."/>
      <w:numFmt w:val="decimal"/>
      <w:start w:val="8"/>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1)"/>
      <w:numFmt w:val="decimal"/>
      <w:start w:val="1"/>
    </w:lvl>
    <w:lvl w:ilvl="1">
      <w:lvlJc w:val="left"/>
      <w:lvlText w:val="(%2)"/>
      <w:numFmt w:val="lowerRoman"/>
      <w:start w:val="1"/>
    </w:lvl>
  </w:abstractNum>
  <w:abstractNum w:abstractNumId="12">
    <w:nsid w:val="2CA88611"/>
    <w:multiLevelType w:val="hybridMultilevel"/>
    <w:lvl w:ilvl="0">
      <w:lvlJc w:val="left"/>
      <w:lvlText w:val="(%1)"/>
      <w:numFmt w:val="decimal"/>
      <w:start w:val="1"/>
    </w:lvl>
    <w:lvl w:ilvl="1">
      <w:lvlJc w:val="left"/>
      <w:lvlText w:val="(%2)"/>
      <w:numFmt w:val="lowerRoman"/>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1)"/>
      <w:numFmt w:val="lowerLetter"/>
      <w:start w:val="1"/>
    </w:lvl>
  </w:abstractNum>
  <w:abstractNum w:abstractNumId="16">
    <w:nsid w:val="8138641"/>
    <w:multiLevelType w:val="hybridMultilevel"/>
    <w:lvl w:ilvl="0">
      <w:lvlJc w:val="left"/>
      <w:lvlText w:val="(%1)"/>
      <w:numFmt w:val="lowerLetter"/>
      <w:start w:val="6"/>
    </w:lvl>
  </w:abstractNum>
  <w:abstractNum w:abstractNumId="17">
    <w:nsid w:val="1E7FF521"/>
    <w:multiLevelType w:val="hybridMultilevel"/>
    <w:lvl w:ilvl="0">
      <w:lvlJc w:val="left"/>
      <w:lvlText w:val="(%1)"/>
      <w:numFmt w:val="lowerLetter"/>
      <w:start w:val="3"/>
    </w:lvl>
  </w:abstractNum>
  <w:abstractNum w:abstractNumId="18">
    <w:nsid w:val="7C3DBD3D"/>
    <w:multiLevelType w:val="hybridMultilevel"/>
    <w:lvl w:ilvl="0">
      <w:lvlJc w:val="left"/>
      <w:lvlText w:val="%1"/>
      <w:numFmt w:val="decimal"/>
      <w:start w:val="104"/>
    </w:lvl>
  </w:abstractNum>
  <w:abstractNum w:abstractNumId="19">
    <w:nsid w:val="737B8DDC"/>
    <w:multiLevelType w:val="hybridMultilevel"/>
    <w:lvl w:ilvl="0">
      <w:lvlJc w:val="left"/>
      <w:lvlText w:val="%1."/>
      <w:numFmt w:val="decimal"/>
      <w:start w:val="1"/>
    </w:lvl>
    <w:lvl w:ilvl="1">
      <w:lvlJc w:val="left"/>
      <w:lvlText w:val="(%2)"/>
      <w:numFmt w:val="lowerLetter"/>
      <w:start w:val="1"/>
    </w:lvl>
  </w:abstractNum>
  <w:abstractNum w:abstractNumId="20">
    <w:nsid w:val="6CEAF087"/>
    <w:multiLevelType w:val="hybridMultilevel"/>
    <w:lvl w:ilvl="0">
      <w:lvlJc w:val="left"/>
      <w:lvlText w:val="%1"/>
      <w:numFmt w:val="decimal"/>
      <w:start w:val="1"/>
    </w:lvl>
    <w:lvl w:ilvl="1">
      <w:lvlJc w:val="left"/>
      <w:lvlText w:val="(%2)"/>
      <w:numFmt w:val="lowerLetter"/>
      <w:start w:val="3"/>
    </w:lvl>
  </w:abstractNum>
  <w:abstractNum w:abstractNumId="21">
    <w:nsid w:val="22221A70"/>
    <w:multiLevelType w:val="hybridMultilevel"/>
    <w:lvl w:ilvl="0">
      <w:lvlJc w:val="left"/>
      <w:lvlText w:val="%1."/>
      <w:numFmt w:val="decimal"/>
      <w:start w:val="3"/>
    </w:lvl>
    <w:lvl w:ilvl="1">
      <w:lvlJc w:val="left"/>
      <w:lvlText w:val="(%2)"/>
      <w:numFmt w:val="lowerLetter"/>
      <w:start w:val="1"/>
    </w:lvl>
  </w:abstractNum>
  <w:abstractNum w:abstractNumId="22">
    <w:nsid w:val="4516DDE9"/>
    <w:multiLevelType w:val="hybridMultilevel"/>
    <w:lvl w:ilvl="0">
      <w:lvlJc w:val="left"/>
      <w:lvlText w:val="%1"/>
      <w:numFmt w:val="decimal"/>
      <w:start w:val="1"/>
    </w:lvl>
    <w:lvl w:ilvl="1">
      <w:lvlJc w:val="left"/>
      <w:lvlText w:val="(%2)"/>
      <w:numFmt w:val="lowerLetter"/>
      <w:start w:val="4"/>
    </w:lvl>
  </w:abstractNum>
  <w:abstractNum w:abstractNumId="23">
    <w:nsid w:val="3006C83E"/>
    <w:multiLevelType w:val="hybridMultilevel"/>
    <w:lvl w:ilvl="0">
      <w:lvlJc w:val="left"/>
      <w:lvlText w:val="%1."/>
      <w:numFmt w:val="decimal"/>
      <w:start w:val="4"/>
    </w:lvl>
    <w:lvl w:ilvl="1">
      <w:lvlJc w:val="left"/>
      <w:lvlText w:val="(%2)"/>
      <w:numFmt w:val="lowerLetter"/>
      <w:start w:val="1"/>
    </w:lvl>
  </w:abstractNum>
  <w:abstractNum w:abstractNumId="24">
    <w:nsid w:val="614FD4A1"/>
    <w:multiLevelType w:val="hybridMultilevel"/>
    <w:lvl w:ilvl="0">
      <w:lvlJc w:val="left"/>
      <w:lvlText w:val="(%1)"/>
      <w:numFmt w:val="lowerLetter"/>
      <w:start w:val="3"/>
    </w:lvl>
    <w:lvl w:ilvl="1">
      <w:lvlJc w:val="left"/>
      <w:lvlText w:val="%2."/>
      <w:numFmt w:val="lowerRoman"/>
      <w:start w:val="1"/>
    </w:lvl>
  </w:abstractNum>
  <w:abstractNum w:abstractNumId="25">
    <w:nsid w:val="419AC241"/>
    <w:multiLevelType w:val="hybridMultilevel"/>
    <w:lvl w:ilvl="0">
      <w:lvlJc w:val="left"/>
      <w:lvlText w:val="%1"/>
      <w:numFmt w:val="lowerLetter"/>
      <w:start w:val="1"/>
    </w:lvl>
    <w:lvl w:ilvl="1">
      <w:lvlJc w:val="left"/>
      <w:lvlText w:val="(%2)"/>
      <w:numFmt w:val="lowerLetter"/>
      <w:start w:val="7"/>
    </w:lvl>
    <w:lvl w:ilvl="2">
      <w:lvlJc w:val="left"/>
      <w:lvlText w:val="%3"/>
      <w:numFmt w:val="lowerRoman"/>
      <w:start w:val="1"/>
    </w:lvl>
  </w:abstractNum>
  <w:abstractNum w:abstractNumId="26">
    <w:nsid w:val="5577F8E1"/>
    <w:multiLevelType w:val="hybridMultilevel"/>
    <w:lvl w:ilvl="0">
      <w:lvlJc w:val="left"/>
      <w:lvlText w:val="(%1)"/>
      <w:numFmt w:val="lowerLetter"/>
      <w:start w:val="26"/>
    </w:lvl>
    <w:lvl w:ilvl="1">
      <w:lvlJc w:val="left"/>
      <w:lvlText w:val="%2"/>
      <w:numFmt w:val="lowerLetter"/>
      <w:start w:val="1"/>
    </w:lvl>
    <w:lvl w:ilvl="2">
      <w:lvlJc w:val="left"/>
      <w:lvlText w:val="%3."/>
      <w:numFmt w:val="lowerRoman"/>
      <w:start w:val="1"/>
    </w:lvl>
  </w:abstractNum>
  <w:abstractNum w:abstractNumId="27">
    <w:nsid w:val="440BADF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28">
    <w:nsid w:val="5072367"/>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29">
    <w:nsid w:val="3804823E"/>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0">
    <w:nsid w:val="77465F01"/>
    <w:multiLevelType w:val="hybridMultilevel"/>
    <w:lvl w:ilvl="0">
      <w:lvlJc w:val="left"/>
      <w:lvlText w:val="(%1)"/>
      <w:numFmt w:val="lowerLetter"/>
      <w:start w:val="3"/>
    </w:lvl>
    <w:lvl w:ilvl="1">
      <w:lvlJc w:val="left"/>
      <w:lvlText w:val="%2."/>
      <w:numFmt w:val="lowerRoman"/>
      <w:start w:val="1"/>
    </w:lvl>
  </w:abstractNum>
  <w:abstractNum w:abstractNumId="31">
    <w:nsid w:val="7724C67E"/>
    <w:multiLevelType w:val="hybridMultilevel"/>
    <w:lvl w:ilvl="0">
      <w:lvlJc w:val="left"/>
      <w:lvlText w:val="(%1)"/>
      <w:numFmt w:val="lowerLetter"/>
      <w:start w:val="4"/>
    </w:lvl>
  </w:abstractNum>
  <w:abstractNum w:abstractNumId="32">
    <w:nsid w:val="5C482A97"/>
    <w:multiLevelType w:val="hybridMultilevel"/>
    <w:lvl w:ilvl="0">
      <w:lvlJc w:val="left"/>
      <w:lvlText w:val="%1"/>
      <w:numFmt w:val="decimal"/>
      <w:start w:val="1"/>
    </w:lvl>
    <w:lvl w:ilvl="1">
      <w:lvlJc w:val="left"/>
      <w:lvlText w:val="(%2)"/>
      <w:numFmt w:val="lowerLetter"/>
      <w:start w:val="6"/>
    </w:lvl>
  </w:abstractNum>
  <w:abstractNum w:abstractNumId="33">
    <w:nsid w:val="2463B9EA"/>
    <w:multiLevelType w:val="hybridMultilevel"/>
    <w:lvl w:ilvl="0">
      <w:lvlJc w:val="left"/>
      <w:lvlText w:val="%1."/>
      <w:numFmt w:val="decimal"/>
      <w:start w:val="7"/>
    </w:lvl>
    <w:lvl w:ilvl="1">
      <w:lvlJc w:val="left"/>
      <w:lvlText w:val="(%2)"/>
      <w:numFmt w:val="lowerLetter"/>
      <w:start w:val="1"/>
    </w:lvl>
  </w:abstractNum>
  <w:abstractNum w:abstractNumId="34">
    <w:nsid w:val="5E884ADC"/>
    <w:multiLevelType w:val="hybridMultilevel"/>
    <w:lvl w:ilvl="0">
      <w:lvlJc w:val="left"/>
      <w:lvlText w:val="(%1)"/>
      <w:numFmt w:val="lowerLetter"/>
      <w:start w:val="4"/>
    </w:lvl>
  </w:abstractNum>
  <w:abstractNum w:abstractNumId="35">
    <w:nsid w:val="51EAD36B"/>
    <w:multiLevelType w:val="hybridMultilevel"/>
    <w:lvl w:ilvl="0">
      <w:lvlJc w:val="left"/>
      <w:lvlText w:val="(%1)"/>
      <w:numFmt w:val="lowerLetter"/>
      <w:start w:val="10"/>
    </w:lvl>
  </w:abstractNum>
  <w:abstractNum w:abstractNumId="36">
    <w:nsid w:val="2D517796"/>
    <w:multiLevelType w:val="hybridMultilevel"/>
    <w:lvl w:ilvl="0">
      <w:lvlJc w:val="left"/>
      <w:lvlText w:val="%1."/>
      <w:numFmt w:val="decimal"/>
      <w:start w:val="1"/>
    </w:lvl>
  </w:abstractNum>
  <w:abstractNum w:abstractNumId="37">
    <w:nsid w:val="580BD78F"/>
    <w:multiLevelType w:val="hybridMultilevel"/>
    <w:lvl w:ilvl="0">
      <w:lvlJc w:val="left"/>
      <w:lvlText w:val="%1."/>
      <w:numFmt w:val="decimal"/>
      <w:start w:val="3"/>
    </w:lvl>
  </w:abstractNum>
  <w:abstractNum w:abstractNumId="38">
    <w:nsid w:val="153EA438"/>
    <w:multiLevelType w:val="hybridMultilevel"/>
    <w:lvl w:ilvl="0">
      <w:lvlJc w:val="left"/>
      <w:lvlText w:val="%1."/>
      <w:numFmt w:val="decimal"/>
      <w:start w:val="5"/>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lowerLetter"/>
      <w:start w:val="1"/>
    </w:lvl>
  </w:abstractNum>
  <w:abstractNum w:abstractNumId="42">
    <w:nsid w:val="2A487CB0"/>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74" Type="http://schemas.openxmlformats.org/officeDocument/2006/relationships/hyperlink" Target="https://www.sec.gov/Archives/edgar/data/1710155/000171015521000036/nationalvision-thirdamende.htm" TargetMode="External"/><Relationship Id="rId75" Type="http://schemas.openxmlformats.org/officeDocument/2006/relationships/hyperlink" Target="https://www.sec.gov/Archives/edgar/data/1710155/000171015523000063/ex31eye-bylawamendmentsnov.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2025-08-07T07:40:58Z</dcterms:created>
  <dcterms:modified xsi:type="dcterms:W3CDTF">2025-08-07T07:40:58Z</dcterms:modified>
</cp:coreProperties>
</file>