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8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28, 2024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 w:lineRule="exact"/>
        <w:rPr>
          <w:sz w:val="24"/>
          <w:szCs w:val="24"/>
          <w:color w:val="auto"/>
        </w:rPr>
      </w:pPr>
    </w:p>
    <w:p>
      <w:pPr>
        <w:ind w:left="410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spacing w:after="0" w:line="11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30"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760" w:type="dxa"/>
            <w:vAlign w:val="bottom"/>
          </w:tcPr>
          <w:p>
            <w:pPr>
              <w:jc w:val="center"/>
              <w:ind w:left="14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76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9"/>
              </w:rPr>
              <w:t>2435 Commerce Ave</w:t>
            </w:r>
          </w:p>
        </w:tc>
        <w:tc>
          <w:tcPr>
            <w:tcW w:w="2760" w:type="dxa"/>
            <w:vAlign w:val="bottom"/>
          </w:tcPr>
          <w:p>
            <w:pPr>
              <w:spacing w:after="0"/>
              <w:rPr>
                <w:sz w:val="23"/>
                <w:szCs w:val="23"/>
                <w:color w:val="auto"/>
              </w:rPr>
            </w:pP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2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276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spacing w:after="0"/>
              <w:rPr>
                <w:sz w:val="18"/>
                <w:szCs w:val="18"/>
                <w:color w:val="auto"/>
              </w:rPr>
            </w:pPr>
          </w:p>
        </w:tc>
      </w:tr>
    </w:tbl>
    <w:p>
      <w:pPr>
        <w:spacing w:after="0" w:line="51"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920" w:type="dxa"/>
        <w:tblCellMar>
          <w:top w:w="0" w:type="dxa"/>
          <w:left w:w="0" w:type="dxa"/>
          <w:bottom w:w="0" w:type="dxa"/>
          <w:right w:w="0" w:type="dxa"/>
        </w:tblCellMar>
      </w:tblPr>
      <w:tr>
        <w:trPr>
          <w:trHeight w:val="215"/>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EYE</w:t>
            </w:r>
          </w:p>
        </w:tc>
        <w:tc>
          <w:tcPr>
            <w:tcW w:w="120" w:type="dxa"/>
            <w:vAlign w:val="bottom"/>
          </w:tcPr>
          <w:p>
            <w:pPr>
              <w:spacing w:after="0"/>
              <w:rPr>
                <w:sz w:val="17"/>
                <w:szCs w:val="17"/>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181" w:lineRule="exact"/>
        <w:rPr>
          <w:sz w:val="24"/>
          <w:szCs w:val="24"/>
          <w:color w:val="auto"/>
        </w:rPr>
      </w:pPr>
    </w:p>
    <w:p>
      <w:pPr>
        <w:ind w:right="38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1800" w:type="dxa"/>
        <w:tblCellMar>
          <w:top w:w="0" w:type="dxa"/>
          <w:left w:w="0" w:type="dxa"/>
          <w:bottom w:w="0" w:type="dxa"/>
          <w:right w:w="0" w:type="dxa"/>
        </w:tblCellMar>
      </w:tblPr>
      <w:tr>
        <w:trPr>
          <w:trHeight w:val="239"/>
        </w:trPr>
        <w:tc>
          <w:tcPr>
            <w:tcW w:w="16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6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Non-accelerated filer</w:t>
            </w:r>
          </w:p>
        </w:tc>
        <w:tc>
          <w:tcPr>
            <w:tcW w:w="11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7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October 25, 2024</w:t>
            </w:r>
          </w:p>
        </w:tc>
      </w:tr>
      <w:tr>
        <w:trPr>
          <w:trHeight w:val="207"/>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420" w:type="dxa"/>
            <w:vAlign w:val="bottom"/>
          </w:tcPr>
          <w:p>
            <w:pPr>
              <w:spacing w:after="0"/>
              <w:rPr>
                <w:sz w:val="17"/>
                <w:szCs w:val="17"/>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78,749,765</w:t>
            </w:r>
          </w:p>
        </w:tc>
      </w:tr>
      <w:tr>
        <w:trPr>
          <w:trHeight w:val="127"/>
        </w:trPr>
        <w:tc>
          <w:tcPr>
            <w:tcW w:w="4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857"/>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180" w:type="dxa"/>
            <w:vAlign w:val="bottom"/>
          </w:tcPr>
          <w:p>
            <w:pPr>
              <w:spacing w:after="0"/>
              <w:rPr>
                <w:sz w:val="19"/>
                <w:szCs w:val="19"/>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560" w:type="dxa"/>
            <w:vAlign w:val="bottom"/>
          </w:tcPr>
          <w:p>
            <w:pPr>
              <w:spacing w:after="0"/>
              <w:rPr>
                <w:sz w:val="19"/>
                <w:szCs w:val="19"/>
                <w:color w:val="auto"/>
              </w:rPr>
            </w:pPr>
          </w:p>
        </w:tc>
      </w:tr>
      <w:tr>
        <w:trPr>
          <w:trHeight w:val="250"/>
        </w:trPr>
        <w:tc>
          <w:tcPr>
            <w:tcW w:w="180" w:type="dxa"/>
            <w:vAlign w:val="bottom"/>
          </w:tcPr>
          <w:p>
            <w:pPr>
              <w:spacing w:after="0"/>
              <w:rPr>
                <w:sz w:val="21"/>
                <w:szCs w:val="21"/>
                <w:color w:val="auto"/>
              </w:rPr>
            </w:pPr>
          </w:p>
        </w:tc>
        <w:tc>
          <w:tcPr>
            <w:tcW w:w="29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2360" w:type="dxa"/>
            <w:vAlign w:val="bottom"/>
            <w:tcBorders>
              <w:top w:val="single" w:sz="8" w:color="0000FF"/>
            </w:tcBorders>
            <w:gridSpan w:val="6"/>
          </w:tcPr>
          <w:p>
            <w:pPr>
              <w:spacing w:after="0"/>
              <w:rPr>
                <w:sz w:val="21"/>
                <w:szCs w:val="21"/>
                <w:color w:val="auto"/>
              </w:rPr>
            </w:pPr>
          </w:p>
        </w:tc>
        <w:tc>
          <w:tcPr>
            <w:tcW w:w="4980" w:type="dxa"/>
            <w:vAlign w:val="bottom"/>
            <w:gridSpan w:val="6"/>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980" w:type="dxa"/>
            <w:vAlign w:val="bottom"/>
            <w:gridSpan w:val="8"/>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3200" w:type="dxa"/>
            <w:vAlign w:val="bottom"/>
            <w:gridSpan w:val="2"/>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520" w:type="dxa"/>
            <w:vAlign w:val="bottom"/>
            <w:gridSpan w:val="3"/>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200" w:type="dxa"/>
            <w:vAlign w:val="bottom"/>
            <w:gridSpan w:val="7"/>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920" w:type="dxa"/>
            <w:vAlign w:val="bottom"/>
            <w:gridSpan w:val="5"/>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10</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27</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42</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tcBorders>
              <w:left w:val="single" w:sz="8" w:color="0000FF"/>
            </w:tcBorders>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42</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43</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43</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43</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43</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43</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43</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43</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44</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6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45</w:t>
            </w:r>
          </w:p>
        </w:tc>
        <w:tc>
          <w:tcPr>
            <w:tcW w:w="560" w:type="dxa"/>
            <w:vAlign w:val="bottom"/>
          </w:tcPr>
          <w:p>
            <w:pPr>
              <w:spacing w:after="0"/>
              <w:rPr>
                <w:sz w:val="21"/>
                <w:szCs w:val="21"/>
                <w:color w:val="auto"/>
              </w:rPr>
            </w:pPr>
          </w:p>
        </w:tc>
      </w:tr>
      <w:tr>
        <w:trPr>
          <w:trHeight w:val="1134"/>
        </w:trPr>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30, 2023 (the “2023 Annual Report on Form 10-K”), as filed with the Securities and Exchange Commission (the “SEC”), as such risk factors may be updated from time to time in our periodic filings with the SEC, which are accessible on the SEC’s website at www.sec.gov, and also include, but are not limited to,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if we fail to open and operate new stores (including as a result of store conversions)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 model relies on the low-cost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Customer Relationship Management (“CRM”), and other technological, systems and capabilities; our ability to successfully implement transformation initiatives (including store fleet optimization); our growth strategy could strain our existing resources and cause the performance of our existing stores to suffer;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environmental, social and governance (“ESG”) issues, including those related to climate change, could have a material adverse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effect on our business, financial condition and results of operations; changing climate and weather patterns leading to severe weather and disasters may cause significant business interruptions and expenditures;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17"/>
                <w:szCs w:val="17"/>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28,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406,275</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4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1,776,414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1,775,841</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2,020,129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85,090</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4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c>
          <w:tcPr>
            <w:tcW w:w="0" w:type="dxa"/>
            <w:vAlign w:val="bottom"/>
          </w:tcPr>
          <w:p>
            <w:pPr>
              <w:spacing w:after="0"/>
              <w:rPr>
                <w:sz w:val="1"/>
                <w:szCs w:val="1"/>
                <w:color w:val="auto"/>
              </w:rPr>
            </w:pPr>
          </w:p>
        </w:tc>
      </w:tr>
      <w:tr>
        <w:trPr>
          <w:trHeight w:val="162"/>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11)</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85,334 and 84,831 shares issued</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 of September 28, 2024 and December 30, 2023, respectively; 78,691 and 78,311 shares</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28, 2024 and December 30, 2023, respectively</w:t>
            </w: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6,643 and 6,520 shares as of September 28, 2024 and December 30,</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2023, respectively</w:t>
            </w: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(217,413)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2,020,129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900" w:type="dxa"/>
            <w:vAlign w:val="bottom"/>
            <w:gridSpan w:val="7"/>
          </w:tcPr>
          <w:p>
            <w:pPr>
              <w:ind w:left="286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8480" w:type="dxa"/>
            <w:vAlign w:val="bottom"/>
            <w:gridSpan w:val="10"/>
          </w:tcPr>
          <w:p>
            <w:pPr>
              <w:ind w:left="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2"/>
                <w:szCs w:val="22"/>
                <w:color w:val="auto"/>
              </w:rPr>
            </w:pPr>
          </w:p>
        </w:tc>
        <w:tc>
          <w:tcPr>
            <w:tcW w:w="28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75"/>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(loss) per share</w:t>
            </w: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28,</w:t>
            </w: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September 28,</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1,113,206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1,086,899</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248,519</w:t>
            </w:r>
          </w:p>
        </w:tc>
        <w:tc>
          <w:tcPr>
            <w:tcW w:w="0" w:type="dxa"/>
            <w:vAlign w:val="bottom"/>
          </w:tcPr>
          <w:p>
            <w:pPr>
              <w:spacing w:after="0"/>
              <w:rPr>
                <w:sz w:val="1"/>
                <w:szCs w:val="1"/>
                <w:color w:val="auto"/>
              </w:rPr>
            </w:pPr>
          </w:p>
        </w:tc>
      </w:tr>
      <w:tr>
        <w:trPr>
          <w:trHeight w:val="223"/>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1,335,418</w:t>
            </w:r>
          </w:p>
        </w:tc>
        <w:tc>
          <w:tcPr>
            <w:tcW w:w="0" w:type="dxa"/>
            <w:vAlign w:val="bottom"/>
          </w:tcPr>
          <w:p>
            <w:pPr>
              <w:spacing w:after="0"/>
              <w:rPr>
                <w:sz w:val="1"/>
                <w:szCs w:val="1"/>
                <w:color w:val="auto"/>
              </w:rPr>
            </w:pPr>
          </w:p>
        </w:tc>
      </w:tr>
      <w:tr>
        <w:trPr>
          <w:trHeight w:val="175"/>
        </w:trPr>
        <w:tc>
          <w:tcPr>
            <w:tcW w:w="5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323,286</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226,992</w:t>
            </w:r>
          </w:p>
        </w:tc>
        <w:tc>
          <w:tcPr>
            <w:tcW w:w="0" w:type="dxa"/>
            <w:vAlign w:val="bottom"/>
          </w:tcPr>
          <w:p>
            <w:pPr>
              <w:spacing w:after="0"/>
              <w:rPr>
                <w:sz w:val="1"/>
                <w:szCs w:val="1"/>
                <w:color w:val="auto"/>
              </w:rPr>
            </w:pPr>
          </w:p>
        </w:tc>
      </w:tr>
      <w:tr>
        <w:trPr>
          <w:trHeight w:val="223"/>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550,278</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679,115</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66,521</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270,407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251,444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791,775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748,232</w:t>
            </w: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36,908</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26,483</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 (See Note 2)</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(68,199)</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78,328</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78,646</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128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60" w:type="dxa"/>
            <w:vAlign w:val="bottom"/>
            <w:gridSpan w:val="10"/>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 Equity (Unaudited)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right"/>
              <w:ind w:right="710"/>
              <w:spacing w:after="0"/>
              <w:rPr>
                <w:sz w:val="20"/>
                <w:szCs w:val="20"/>
                <w:color w:val="auto"/>
              </w:rPr>
            </w:pPr>
            <w:r>
              <w:rPr>
                <w:rFonts w:ascii="Times New Roman" w:cs="Times New Roman" w:eastAsia="Times New Roman" w:hAnsi="Times New Roman"/>
                <w:sz w:val="18"/>
                <w:szCs w:val="18"/>
                <w:color w:val="auto"/>
              </w:rPr>
              <w:t>Three and Nine Months Ended September 28, 2024</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center"/>
              <w:ind w:right="70"/>
              <w:spacing w:after="0" w:line="149" w:lineRule="exact"/>
              <w:rPr>
                <w:sz w:val="20"/>
                <w:szCs w:val="20"/>
                <w:color w:val="auto"/>
              </w:rPr>
            </w:pPr>
            <w:r>
              <w:rPr>
                <w:rFonts w:ascii="Times New Roman" w:cs="Times New Roman" w:eastAsia="Times New Roman" w:hAnsi="Times New Roman"/>
                <w:sz w:val="17"/>
                <w:szCs w:val="17"/>
                <w:color w:val="auto"/>
              </w:rPr>
              <w:t>Additional</w:t>
            </w:r>
          </w:p>
        </w:tc>
        <w:tc>
          <w:tcPr>
            <w:tcW w:w="200" w:type="dxa"/>
            <w:vAlign w:val="bottom"/>
          </w:tcPr>
          <w:p>
            <w:pPr>
              <w:spacing w:after="0"/>
              <w:rPr>
                <w:sz w:val="4"/>
                <w:szCs w:val="4"/>
                <w:color w:val="auto"/>
              </w:rPr>
            </w:pPr>
          </w:p>
        </w:tc>
        <w:tc>
          <w:tcPr>
            <w:tcW w:w="1440" w:type="dxa"/>
            <w:vAlign w:val="bottom"/>
            <w:vMerge w:val="restart"/>
          </w:tcPr>
          <w:p>
            <w:pPr>
              <w:jc w:val="center"/>
              <w:ind w:right="90"/>
              <w:spacing w:after="0" w:line="149" w:lineRule="exact"/>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4"/>
                <w:szCs w:val="4"/>
                <w:color w:val="auto"/>
              </w:rPr>
            </w:pP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4"/>
                <w:szCs w:val="4"/>
                <w:color w:val="auto"/>
              </w:rPr>
            </w:pP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Treasury</w:t>
            </w:r>
          </w:p>
        </w:tc>
        <w:tc>
          <w:tcPr>
            <w:tcW w:w="160" w:type="dxa"/>
            <w:vAlign w:val="bottom"/>
          </w:tcPr>
          <w:p>
            <w:pPr>
              <w:spacing w:after="0"/>
              <w:rPr>
                <w:sz w:val="4"/>
                <w:szCs w:val="4"/>
                <w:color w:val="auto"/>
              </w:rPr>
            </w:pPr>
          </w:p>
        </w:tc>
        <w:tc>
          <w:tcPr>
            <w:tcW w:w="1320" w:type="dxa"/>
            <w:vAlign w:val="bottom"/>
            <w:vMerge w:val="restart"/>
          </w:tcPr>
          <w:p>
            <w:pPr>
              <w:jc w:val="center"/>
              <w:ind w:right="110"/>
              <w:spacing w:after="0" w:line="149"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75"/>
        </w:trPr>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20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vMerge w:val="continue"/>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30,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30,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841,319</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75"/>
        </w:trPr>
        <w:tc>
          <w:tcPr>
            <w:tcW w:w="3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29,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843,408</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28,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839,997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right"/>
              <w:ind w:right="710"/>
              <w:spacing w:after="0"/>
              <w:rPr>
                <w:sz w:val="20"/>
                <w:szCs w:val="20"/>
                <w:color w:val="auto"/>
              </w:rPr>
            </w:pPr>
            <w:r>
              <w:rPr>
                <w:rFonts w:ascii="Times New Roman" w:cs="Times New Roman" w:eastAsia="Times New Roman" w:hAnsi="Times New Roman"/>
                <w:sz w:val="18"/>
                <w:szCs w:val="18"/>
                <w:color w:val="auto"/>
              </w:rPr>
              <w:t>Three and Nine Months Ended September 30, 2023</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center"/>
              <w:ind w:right="70"/>
              <w:spacing w:after="0" w:line="149" w:lineRule="exact"/>
              <w:rPr>
                <w:sz w:val="20"/>
                <w:szCs w:val="20"/>
                <w:color w:val="auto"/>
              </w:rPr>
            </w:pPr>
            <w:r>
              <w:rPr>
                <w:rFonts w:ascii="Times New Roman" w:cs="Times New Roman" w:eastAsia="Times New Roman" w:hAnsi="Times New Roman"/>
                <w:sz w:val="17"/>
                <w:szCs w:val="17"/>
                <w:color w:val="auto"/>
              </w:rPr>
              <w:t>Additional</w:t>
            </w:r>
          </w:p>
        </w:tc>
        <w:tc>
          <w:tcPr>
            <w:tcW w:w="200" w:type="dxa"/>
            <w:vAlign w:val="bottom"/>
          </w:tcPr>
          <w:p>
            <w:pPr>
              <w:spacing w:after="0"/>
              <w:rPr>
                <w:sz w:val="4"/>
                <w:szCs w:val="4"/>
                <w:color w:val="auto"/>
              </w:rPr>
            </w:pPr>
          </w:p>
        </w:tc>
        <w:tc>
          <w:tcPr>
            <w:tcW w:w="1440" w:type="dxa"/>
            <w:vAlign w:val="bottom"/>
            <w:vMerge w:val="restart"/>
          </w:tcPr>
          <w:p>
            <w:pPr>
              <w:jc w:val="center"/>
              <w:ind w:right="90"/>
              <w:spacing w:after="0" w:line="149" w:lineRule="exact"/>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4"/>
                <w:szCs w:val="4"/>
                <w:color w:val="auto"/>
              </w:rPr>
            </w:pP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4"/>
                <w:szCs w:val="4"/>
                <w:color w:val="auto"/>
              </w:rPr>
            </w:pP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Treasury</w:t>
            </w:r>
          </w:p>
        </w:tc>
        <w:tc>
          <w:tcPr>
            <w:tcW w:w="160" w:type="dxa"/>
            <w:vAlign w:val="bottom"/>
          </w:tcPr>
          <w:p>
            <w:pPr>
              <w:spacing w:after="0"/>
              <w:rPr>
                <w:sz w:val="4"/>
                <w:szCs w:val="4"/>
                <w:color w:val="auto"/>
              </w:rPr>
            </w:pPr>
          </w:p>
        </w:tc>
        <w:tc>
          <w:tcPr>
            <w:tcW w:w="1320" w:type="dxa"/>
            <w:vAlign w:val="bottom"/>
            <w:vMerge w:val="restart"/>
          </w:tcPr>
          <w:p>
            <w:pPr>
              <w:jc w:val="center"/>
              <w:ind w:right="110"/>
              <w:spacing w:after="0" w:line="149"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20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vMerge w:val="continue"/>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901,113</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April 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896,726</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July 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908,412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00" w:type="dxa"/>
            <w:vAlign w:val="bottom"/>
            <w:gridSpan w:val="2"/>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840,352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28, 2024</w:t>
            </w:r>
          </w:p>
        </w:tc>
        <w:tc>
          <w:tcPr>
            <w:tcW w:w="1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September 30, 2023</w:t>
            </w:r>
          </w:p>
        </w:tc>
      </w:tr>
      <w:tr>
        <w:trPr>
          <w:trHeight w:val="199"/>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(49,914)</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74,149</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cloud computing implementation costs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82,114</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15,040</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 of use assets and lease liabilities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and unearned revenue</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20,353</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153,272</w:t>
            </w:r>
          </w:p>
        </w:tc>
      </w:tr>
      <w:tr>
        <w:trPr>
          <w:trHeight w:val="19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(81,965)</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(82,579)</w:t>
            </w:r>
          </w:p>
        </w:tc>
      </w:tr>
      <w:tr>
        <w:trPr>
          <w:trHeight w:val="19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(27,662)</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(3,085)</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(109,351)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(34,165)</w:t>
            </w:r>
          </w:p>
        </w:tc>
      </w:tr>
      <w:tr>
        <w:trPr>
          <w:trHeight w:val="20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36,528</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151,027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230,624</w:t>
            </w: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82,675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267,152</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29"/>
        </w:trPr>
        <w:tc>
          <w:tcPr>
            <w:tcW w:w="7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2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w:t>
            </w: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Notes to Condensed Consolidated Financial Statements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1.</w:t>
            </w:r>
          </w:p>
        </w:tc>
        <w:tc>
          <w:tcPr>
            <w:tcW w:w="3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Description of Business and Basis of Presentation</w:t>
            </w:r>
          </w:p>
        </w:tc>
        <w:tc>
          <w:tcPr>
            <w:tcW w:w="860" w:type="dxa"/>
            <w:vAlign w:val="bottom"/>
          </w:tcPr>
          <w:p>
            <w:pPr>
              <w:spacing w:after="0"/>
              <w:rPr>
                <w:sz w:val="24"/>
                <w:szCs w:val="24"/>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11</w:t>
            </w:r>
          </w:p>
        </w:tc>
        <w:tc>
          <w:tcPr>
            <w:tcW w:w="1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Discontinued Operations</w:t>
            </w:r>
          </w:p>
        </w:tc>
        <w:tc>
          <w:tcPr>
            <w:tcW w:w="1800" w:type="dxa"/>
            <w:vAlign w:val="bottom"/>
            <w:gridSpan w:val="6"/>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14</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44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Details of Cost Savings Plan</w:t>
            </w: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16</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31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Details of Certain Balance Sheet Accounts</w:t>
            </w:r>
          </w:p>
        </w:tc>
        <w:tc>
          <w:tcPr>
            <w:tcW w:w="1380" w:type="dxa"/>
            <w:vAlign w:val="bottom"/>
            <w:gridSpan w:val="2"/>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17</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8"/>
              </w:rPr>
              <w:t>Fair Value Measurement</w:t>
            </w:r>
          </w:p>
        </w:tc>
        <w:tc>
          <w:tcPr>
            <w:tcW w:w="1300" w:type="dxa"/>
            <w:vAlign w:val="bottom"/>
            <w:gridSpan w:val="6"/>
          </w:tcPr>
          <w:p>
            <w:pPr>
              <w:spacing w:after="0"/>
              <w:rPr>
                <w:sz w:val="18"/>
                <w:szCs w:val="18"/>
                <w:color w:val="auto"/>
              </w:rPr>
            </w:pPr>
          </w:p>
        </w:tc>
        <w:tc>
          <w:tcPr>
            <w:tcW w:w="1380" w:type="dxa"/>
            <w:vAlign w:val="bottom"/>
            <w:gridSpan w:val="2"/>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18</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1420" w:type="dxa"/>
            <w:vAlign w:val="bottom"/>
            <w:gridSpan w:val="3"/>
          </w:tcPr>
          <w:p>
            <w:pPr>
              <w:spacing w:after="0"/>
              <w:rPr>
                <w:sz w:val="18"/>
                <w:szCs w:val="18"/>
                <w:color w:val="auto"/>
              </w:rPr>
            </w:pPr>
          </w:p>
        </w:tc>
        <w:tc>
          <w:tcPr>
            <w:tcW w:w="2680" w:type="dxa"/>
            <w:vAlign w:val="bottom"/>
            <w:gridSpan w:val="8"/>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19</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Interest Rate Derivatives</w:t>
            </w:r>
          </w:p>
        </w:tc>
        <w:tc>
          <w:tcPr>
            <w:tcW w:w="2660" w:type="dxa"/>
            <w:vAlign w:val="bottom"/>
            <w:gridSpan w:val="7"/>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20</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Stock Incentive Plans</w:t>
            </w:r>
          </w:p>
        </w:tc>
        <w:tc>
          <w:tcPr>
            <w:tcW w:w="2660" w:type="dxa"/>
            <w:vAlign w:val="bottom"/>
            <w:gridSpan w:val="7"/>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20</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44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Revenue from Contracts with Customers</w:t>
            </w: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21</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10. Leases</w:t>
            </w:r>
          </w:p>
        </w:tc>
        <w:tc>
          <w:tcPr>
            <w:tcW w:w="1520" w:type="dxa"/>
            <w:vAlign w:val="bottom"/>
            <w:gridSpan w:val="3"/>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22</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11. Commitments and Contingencies</w:t>
            </w: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22</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12. Segment Reporting</w:t>
            </w:r>
          </w:p>
        </w:tc>
        <w:tc>
          <w:tcPr>
            <w:tcW w:w="980" w:type="dxa"/>
            <w:vAlign w:val="bottom"/>
            <w:gridSpan w:val="5"/>
          </w:tcPr>
          <w:p>
            <w:pPr>
              <w:spacing w:after="0"/>
              <w:rPr>
                <w:sz w:val="18"/>
                <w:szCs w:val="18"/>
                <w:color w:val="auto"/>
              </w:rPr>
            </w:pPr>
          </w:p>
        </w:tc>
        <w:tc>
          <w:tcPr>
            <w:tcW w:w="1980" w:type="dxa"/>
            <w:vAlign w:val="bottom"/>
            <w:gridSpan w:val="4"/>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23</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13. Earnings (Loss) Per Share</w:t>
            </w: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26</w:t>
            </w:r>
          </w:p>
        </w:tc>
        <w:tc>
          <w:tcPr>
            <w:tcW w:w="1420" w:type="dxa"/>
            <w:vAlign w:val="bottom"/>
          </w:tcPr>
          <w:p>
            <w:pPr>
              <w:spacing w:after="0"/>
              <w:rPr>
                <w:sz w:val="18"/>
                <w:szCs w:val="18"/>
                <w:color w:val="auto"/>
              </w:rPr>
            </w:pPr>
          </w:p>
        </w:tc>
      </w:tr>
      <w:tr>
        <w:trPr>
          <w:trHeight w:val="763"/>
        </w:trPr>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(the “U.S.”). We operated 1,231 and 1,188 retail optical locations in the U.S. and its territories as of September 28, 2024 and December 30, 2023, respectively, through our four store brands, including America’s Best Contacts and Eyeglasses (“America’s Best”), Eyeglass World, Vista Optical locations on select U.S. Army/Air Force military bases (“Military”) and within select Fred Meyer stores. We operated 225 stores for Walmart Inc. (“Walmart”) as of December 30, 2023; these stores are not reflected in the store counts above and the operating results of these stores are presented as discontinued operations. Also presented in discontinued operations are the majority of the operations formerly conducted by the Company’s Arlington Contact Lens (“AC Lens”) subsidiary. Refer to Note 2. “Discontinued Operations” for more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30, 2023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30, 2023 included in the 2023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nine months ended September 28, 2024.</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accounts and those of our wholly-owned subsidiaries. All intercompany balances and transactions have been eliminated in consolidation. Certain amounts within the Condensed Consolidated Statements of Cash Flows and footnotes to the financial statements for fiscal year 2023 have been reclassified to conform to the fiscal year 2024 presentation. Retrospective reclassifications have been made to prior period financial statements and disclosures to present the discontinued operations. Refer to Note 2. “Discontinued Operations” for more information on discontinued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September 28, 2024, the variable interest entities include 29 professional corporations. The total assets of the consolidated VIEs included in the accompanying Condensed Consolidated Balance Sheets as of September 28, 2024 and December 30, 2023, were $3.5 million and $8.3 million, respectively, and the total liabilities of the consolidated VIEs were $5.5 million and $9.8 million,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year consists of 52 or 53 weeks ending on the Saturday closest to December 31. Fiscal year 2024 contains 52 weeks and will end on December 28, 2024. All three and nine month periods presented herein contain 13 and 39 weeks, respectively. All references to years and quarters relate to fiscal periods rather than calendar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results of operations for the three and nine months ended September 28, 2024 and September 30, 2023, are not necessarily indicative of the results to be expected for the full fiscal year due to seasonality and uncertainty of general economic conditions that may impact our key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spending by retail customers generally does not impact our business. Our quarterly consolidated results generally may also be affected by the timing of new store openings, store closings, and certain holidays.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Non-cash impairment charges of $13.7 million and $17.7 million were recorded for the three and nine months ended September 28, 2024 related to our Fred Meyer contracts and relationships intangible asset and tangible long-lived store assets and Right of Use (“ROU”) assets, compared to $1.5 million and $2.7 million related to tangible long-lived store assets and ROU assets for the three and nine months ended September 30, 2023. The impairments were recognized in Corporate/Other, and are reflected in Asset impairment in the Condensed Consolidated Statements of Operations and Comprehensive Income. Refer to Note 5. “Fair Value Measurement” for additional information on impairment charges.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tested the Fred Meyer contracts and relationships intangible asset for recoverability as of September 28, 2024 due to the decision to close certain Fred Meyer stores as part of our store fleet review in the current period. We determined that the carrying value of the asset was not recoverable and recognized an impairment of $10.5 million related to this asset during the three and nine months ended September 28,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intangible asset amortization expense is included in Depreciation and amortization in the accompanying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Aggregate future estimated intangible asset amortization expense is shown in the following table: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9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23"/>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 remainder of fiscal year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3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48"/>
        </w:trPr>
        <w:tc>
          <w:tcPr>
            <w:tcW w:w="89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Impairments of tangible long-lived store assets and ROU assets were primarily driven by lower than projected customer sales volume in certain stores and other entity-specific assumptions, and also reflect the effects of certain store closure decisions made as part of the Company’s store optimization review in the current period. We considered multiple factors including, but not limited to: forecasted scenarios related to store performance and the likelihood that these scenarios would be ultimately realized; and the remaining useful lives of the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fleet review</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the three months ended September 28, 2024, we completed a comprehensive store fleet review and decided on actions to address identified stores. As a result of this review, we plan to close 39 stores and convert four Eyeglass World stores to America’s Best stores. During the three and nine months ended September 28, 2024, we recognized costs of $1.1 million consisting primarily of lease termination costs and termination benefits for certain associates. Substantially all of the costs were recognized in Selling, general and administrative expenses in the Condensed Consolidated Statements of Operations and Comprehensive Income.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costs incurred related to the store fleet review during the three and nine months ended September 28, 2024 include $10.5 million of non-cash intangible asset impairment and $2.7 million of non-cash tangible long-lived and ROU asset impairment, both recognized in Asset impairment in the Condensed Consolidated Statements of Operations and Comprehensive Income. Refer to Note 5. “Fair Value Measurement” for additional information on the impairment charges.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costs incurred related to the store fleet review were recognized in the Corporate/Other category. Liabilities related to this plan are recorded in Other payables and accrued expenses in the Condensed Consolidated Balance Sheets.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Prior to the second quarter of 2024, the Company’s quarterly provision (benefit) for income taxes was calculated using the annualized effective tax rate (“AETR”) method, which applies an estimated annual effective tax rate to pre-tax income or loss. For the three and nine months ended September 28, 2024, the Company calculated the provision (benefit) for income taxes using a discrete effective tax rate (“ETR”) method. The Company determined that due to the fact that small changes in the Company’s estimated pretax income or loss would result in significant changes in the estimated AETR, the historical method would not provide a reliable estimate for the three and nine months ended September 28, 2024.</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28, 2024 was 30.1%, reflecting our statutory federal and state rate of 25.2%, tax impacts of consolidated VIEs and effects of other permanent items. Our effective tax rate for the three months ended September 30, 2023 was (109.1)%, reflecting our statutory federal and state rate of 25.4%, reduced deductibility of meals and entertainment and effects of other permanent items.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nine months ended September 28, 2024 was 49.6%, reflecting our statutory federal and state rate of 25.2%, tax impacts of consolidated VIEs, non-deductible compensation expense and other permanent items. Our effective tax rate for the nine months ended September 30, 2023 was 31.0%, reflecting our statutory federal and state rate of 25.4%, tax impacts from reduced deductibility of meals and entertainment and non-deductible compensation expenses, and effects of other permanent items.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23, 2024, the Board of Directors authorized the Company to repurchase up to $50 million aggregate amount of shares of the Company’s common stock until January 3, 2026. As of September 28, 2024, $50 million remains available under the share repurchase authorization. During the nine months ended September 30, 2023, the Company repurchased 1.1 million shares of its common stock for $25.0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second quarter of fiscal year 2023, we completed an investment in an entity specializing in applying artificial intelligence-powered screening and diagnostic tools to retinal imaging. We invested $1.0 million during the nine months ended September 28, 2024. As of September 28, 2024, we have invested a total of $2.8 million in the entity. We have agreed to invest up to an additional $0.5 million in the entity upon the completion of certain milestones. The investment is recognized in Other assets in the Condensed Consolidated Balance Sheets and in Other in the investing section of the Condensed Consolidated Statements of Cash Flows for the nine months ended September 28, 2024. The investment is valued at cost.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related to Walmart, including our former Legacy reportable segment, as well as the majority of our AC Lens operations, met the requirements to be classified as discontinued operations. Accordingly, we classified the results of these operations as discontinued operations in the Condensed Consolidated Statements of Operations for all periods presented. The results of all discontinued operations, less applicable income taxes, are reported as components of net income separate from the net income of continuing operations, and certain assets and liabilities associated with these operations were classified as assets and liabilities of discontinued operations in the Condensed Consolidated Balance Sheets for the periods presented. Additionally, the cash flows and comprehensive income of discontinued operations have not been segregated and are included in the interim Condensed Consolidated Statements of Cash Flows and Condensed Consolidated Statements of Operations and Comprehensive Income, respectively, for all periods presented. All amounts included in the notes to the unaudited condensed consolidated financial statements relate to continuing operations unless otherwise noted. For additional information, see Note 2. “Discontinued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FASB issued Accounting Standards Update (“ASU”) 2023-07, Segment Reporting (Topic 280): Improvements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Reportable Segment Disclosures. This update provides, among other things, enhanced segment disclosure requirements including disclosures about significant segment expenses. This ASU is effective for fiscal years beginning after December 15, 2023, and interim periods within fiscal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beginning after December 15, 2024, and requires retrospective application to all prior periods presented in the financial statements. The Company is currently evaluating the impact of the guidance on the consolidated financial statements and disclosures.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 Income Taxes (Topic 740): Improvements to Income Tax Disclosures (“ASU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is currently evaluating the impact of the guidance on the consolidated financial statements and disclosures.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In November 2024, the FASB issued ASU 2024-03, Income Statement – Reporting Comprehensive Income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220-40): Expense Disaggregation Disclosures (“ASU 2024-03”). This update requires, among other things, more detailed disclosure about types of expenses in commonly presented expense captions such as cost of sales and SG&amp;A,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Company is currently evaluating the impact of the guidance on the consolidated financial statements and disclosures.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Enhancement and Standardization of Climate-Related Disclosures for Investors. </w:t>
      </w:r>
      <w:r>
        <w:rPr>
          <w:rFonts w:ascii="Times New Roman" w:cs="Times New Roman" w:eastAsia="Times New Roman" w:hAnsi="Times New Roman"/>
          <w:sz w:val="18"/>
          <w:szCs w:val="18"/>
          <w:color w:val="auto"/>
        </w:rPr>
        <w:t>In March 2024, the SEC issued its final rules on the enhancement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standardization of climate-related disclosures for investors. Subsequent to issuance, the rules became the subject of litigation. The SEC has issued a stay to allow the legal process to proceed and has indicated that it will publish a new effective date for the rules, if ultimately implemented, at the conclusion of the stay. Unless legal challenges to the rule prevail, this rule will require registrants to disclose certain climate-related information in registration statements and annual reports, and includes revisions to Regulation S-X (including disclosure related to severe weather events and other natural conditions), which would apply to the Company’s financial statements. The Company is currently evaluating the rule to determine the impact on its consolidated financial statements and disclosures.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FASB issued other accounting guidance during the period that is not currently applicable or expected to have a material impact on the Company’s financial statements, and therefore, is not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20, 2023, the Company received a notice of non-renewal from Walmart of the Management &amp; Services Agreement by and between NVI and Walmart, dated as of May 1, 2012 (as amended, supplemented or otherwise modified from time to time, the “Walmart MSA”). In accordance with the terms of the Walmart MSA and the notice, the agreement terminated as of February 23, 2024 (the “Termination Date”). In connection with the termination of the Walmart MSA, the Amended and Restated Supplier Agreement between NVI and Walmart, dated as of January 17, 2017; the agreement between FirstSight Vision Services, Inc. (“FirstSight”), a wholly-owned subsidiary of the Company, and Walmart, which arranged for the provision by FirstSight of optometric services at optometric offices next to certain Walmart stores throughout California; and certain other related agreements also terminated as of the Termination Date. The Walmart MSA includes provisions governing the transition period and post-termination obligations of the parties.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 Lens delivered notices of non-renewal of the agreements it has with Walmart and its affiliate Sam’s Club regarding wholesale contact lenses distribution and related services, such that these agreements terminated during the three months ended June 29, 2024, and the Company wound down the majority of AC Lens operations, including the closure of its Ohio distribution center, which largely supported the wholesale distribution and e-commerce contact lens services that the Company provided to Walmart and Sam’s Club.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 net (benefit) expense of $(0.6) million and $5.1 million, respectively, during the three and nine months ended September 28, 2024, and $2.0 million during the three and nine months ended September 30, 2023 associated with the termination of the Walmart MSA and wind down of AC Lens, which consisted of employee compensation benefits, early termination fees, and other exit related costs. These charges were recorded in both Selling, general, and administrative expenses and Costs applicable to revenue for discontinued operations. The plan has been substantially completed and we do not anticipate additional material costs related to this plan.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termination of the Walmart MSA and wind down of AC Lens operations, our former Legacy reportable segment and certain other results previously included in our Corporate/Other and Reconciliations categories, met the criteria to be presented as discontinued operations. Accordingly, the assets and liabilities and results of operations of the discontinued operations have been presented in the tables below.</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“Details of Cost Savings Plan” for more information on the cost savings plan related to our continuing operations.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Major classes of assets and liabilities related to discontinued operations are presented in the table below. We have retained working capital and deferred tax balances related to discontinued operations; consequently, these items are not part of the disposal group.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vMerge w:val="continue"/>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28, 2024</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1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92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1920" w:type="dxa"/>
            <w:vAlign w:val="bottom"/>
            <w:tcBorders>
              <w:top w:val="single" w:sz="8" w:color="auto"/>
            </w:tcBorders>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192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1920" w:type="dxa"/>
            <w:vAlign w:val="bottom"/>
            <w:tcBorders>
              <w:top w:val="single" w:sz="8" w:color="auto"/>
            </w:tcBorders>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income (loss) from discontinued operations, net of tax:</w:t>
            </w: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73"/>
        </w:trPr>
        <w:tc>
          <w:tcPr>
            <w:tcW w:w="46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w:t>
            </w:r>
          </w:p>
        </w:tc>
        <w:tc>
          <w:tcPr>
            <w:tcW w:w="780" w:type="dxa"/>
            <w:vAlign w:val="bottom"/>
            <w:tcBorders>
              <w:bottom w:val="single" w:sz="8" w:color="auto"/>
            </w:tcBorders>
          </w:tcPr>
          <w:p>
            <w:pPr>
              <w:spacing w:after="0"/>
              <w:rPr>
                <w:sz w:val="24"/>
                <w:szCs w:val="24"/>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September 28, 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00" w:type="dxa"/>
            <w:vAlign w:val="bottom"/>
          </w:tcPr>
          <w:p>
            <w:pPr>
              <w:spacing w:after="0"/>
              <w:rPr>
                <w:sz w:val="19"/>
                <w:szCs w:val="19"/>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September 28, 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10"/>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29"/>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product sales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126,961</w:t>
            </w:r>
          </w:p>
        </w:tc>
        <w:tc>
          <w:tcPr>
            <w:tcW w:w="16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246,343</w:t>
            </w:r>
          </w:p>
        </w:tc>
      </w:tr>
      <w:tr>
        <w:trPr>
          <w:trHeight w:val="230"/>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38,304</w:t>
            </w:r>
          </w:p>
        </w:tc>
      </w:tr>
      <w:tr>
        <w:trPr>
          <w:trHeight w:val="223"/>
        </w:trPr>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net revenue</w:t>
            </w: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93,536</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131,474</w:t>
            </w: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284,647</w:t>
            </w:r>
          </w:p>
        </w:tc>
      </w:tr>
      <w:tr>
        <w:trPr>
          <w:trHeight w:val="175"/>
        </w:trPr>
        <w:tc>
          <w:tcPr>
            <w:tcW w:w="4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184,737</w:t>
            </w:r>
          </w:p>
        </w:tc>
      </w:tr>
      <w:tr>
        <w:trPr>
          <w:trHeight w:val="230"/>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plans</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18,902</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203,639</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64,483</w:t>
            </w: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79,415</w:t>
            </w: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24,412</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151,476</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(70,468)</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non-cash items and cash flows from investing activities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709"/>
        </w:trPr>
        <w:tc>
          <w:tcPr>
            <w:tcW w:w="1280" w:type="dxa"/>
            <w:vAlign w:val="bottom"/>
            <w:tcBorders>
              <w:top w:val="single" w:sz="8" w:color="0000FF"/>
            </w:tcBorders>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3"/>
          </w:tcPr>
          <w:p>
            <w:pPr>
              <w:jc w:val="right"/>
              <w:ind w:right="1531"/>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12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28, 2024</w:t>
            </w:r>
          </w:p>
        </w:tc>
        <w:tc>
          <w:tcPr>
            <w:tcW w:w="22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10"/>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229"/>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r>
      <w:tr>
        <w:trPr>
          <w:trHeight w:val="230"/>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79,415</w:t>
            </w:r>
          </w:p>
        </w:tc>
      </w:tr>
      <w:tr>
        <w:trPr>
          <w:trHeight w:val="229"/>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9"/>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adjustments</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29"/>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tcPr>
          <w:p>
            <w:pPr>
              <w:spacing w:after="0"/>
              <w:rPr>
                <w:sz w:val="19"/>
                <w:szCs w:val="19"/>
                <w:color w:val="auto"/>
              </w:rPr>
            </w:pPr>
          </w:p>
        </w:tc>
        <w:tc>
          <w:tcPr>
            <w:tcW w:w="2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30"/>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Details of Cost Savings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discontinued operations, the Company implemented a cost savings plan that included optimizing non-customer facing labor costs, as well as reducing travel expenses and third-party spend. We have incurred $1.9 million of employee compensation benefits since the inception of the cost savings plan, which is included within our continuing operations results. The plan has been substantially completed and we do not anticipate additional material costs related to this plan. The liability related to this plan is recorded in Other payables and accrued expenses in the Condensed Consolidated Balance Sheets. Some remaining payments are not anticipated to occur until fiscal year 2025. This disclosure excludes the impact of the Walmart partnership termination and wind down of AC Lens operations, which are currently presented under discontinued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Employee Compensation Benefits</w:t>
            </w:r>
          </w:p>
        </w:tc>
      </w:tr>
      <w:tr>
        <w:trPr>
          <w:trHeight w:val="23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57"/>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recognized during the period</w:t>
            </w:r>
          </w:p>
        </w:tc>
        <w:tc>
          <w:tcPr>
            <w:tcW w:w="420" w:type="dxa"/>
            <w:vAlign w:val="bottom"/>
          </w:tcPr>
          <w:p>
            <w:pPr>
              <w:spacing w:after="0"/>
              <w:rPr>
                <w:sz w:val="22"/>
                <w:szCs w:val="2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420" w:type="dxa"/>
            <w:vAlign w:val="bottom"/>
            <w:tcBorders>
              <w:bottom w:val="single" w:sz="8" w:color="auto"/>
            </w:tcBorders>
            <w:shd w:val="clear" w:color="auto" w:fill="CCEEFF"/>
          </w:tcPr>
          <w:p>
            <w:pPr>
              <w:spacing w:after="0"/>
              <w:rPr>
                <w:sz w:val="22"/>
                <w:szCs w:val="22"/>
                <w:color w:val="auto"/>
              </w:rPr>
            </w:pP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compensation benefits</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28, 2024 and the three and nine months ended September 30, 2023, respectively, we recognized $0.1 million in Selling, general and administrative expenses in the Condensed Consolidated Statements of Operations and Comprehensive Income, in the Corporate/Other category, related to termination benefits for certain associates; these charges were recognized in accordance with FASB guidance on employers’ accounting for postemployment benefits and guidance on accounting for costs associated with exit or disposal activities,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Details of Certain Balance Sheet Accounts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4"/>
          </w:tcPr>
          <w:p>
            <w:pPr>
              <w:jc w:val="right"/>
              <w:ind w:right="16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28, 2024</w:t>
            </w:r>
          </w:p>
        </w:tc>
        <w:tc>
          <w:tcPr>
            <w:tcW w:w="300" w:type="dxa"/>
            <w:vAlign w:val="bottom"/>
          </w:tcPr>
          <w:p>
            <w:pPr>
              <w:spacing w:after="0"/>
              <w:rPr>
                <w:sz w:val="19"/>
                <w:szCs w:val="19"/>
                <w:color w:val="auto"/>
              </w:rPr>
            </w:pPr>
          </w:p>
        </w:tc>
        <w:tc>
          <w:tcPr>
            <w:tcW w:w="2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r>
      <w:tr>
        <w:trPr>
          <w:trHeight w:val="230"/>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265,815</w:t>
            </w:r>
          </w:p>
        </w:tc>
      </w:tr>
      <w:tr>
        <w:trPr>
          <w:trHeight w:val="22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23"/>
        </w:trPr>
        <w:tc>
          <w:tcPr>
            <w:tcW w:w="62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267,152</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additional details of certain balance sheet accounts as of the dates shown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7"/>
                <w:szCs w:val="17"/>
                <w:color w:val="auto"/>
              </w:rPr>
            </w:pPr>
          </w:p>
        </w:tc>
        <w:tc>
          <w:tcPr>
            <w:tcW w:w="2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300" w:type="dxa"/>
            <w:vAlign w:val="bottom"/>
          </w:tcPr>
          <w:p>
            <w:pPr>
              <w:spacing w:after="0"/>
              <w:rPr>
                <w:sz w:val="17"/>
                <w:szCs w:val="17"/>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3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28, 2024</w:t>
            </w:r>
          </w:p>
        </w:tc>
        <w:tc>
          <w:tcPr>
            <w:tcW w:w="300" w:type="dxa"/>
            <w:vAlign w:val="bottom"/>
          </w:tcPr>
          <w:p>
            <w:pPr>
              <w:spacing w:after="0"/>
              <w:rPr>
                <w:sz w:val="21"/>
                <w:szCs w:val="21"/>
                <w:color w:val="auto"/>
              </w:rPr>
            </w:pP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8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card receivables</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8"/>
        </w:trPr>
        <w:tc>
          <w:tcPr>
            <w:tcW w:w="6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wp:posOffset>
            </wp:positionV>
            <wp:extent cx="31286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(1) Includes Coronavirus Aid, Relief, and Economic Security (“CARES”) Act receivable in the amount of $9.0 million as of September 28, 2024 and December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-86995</wp:posOffset>
            </wp:positionV>
            <wp:extent cx="31286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2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300" w:type="dxa"/>
            <w:vAlign w:val="bottom"/>
          </w:tcPr>
          <w:p>
            <w:pPr>
              <w:spacing w:after="0"/>
              <w:rPr>
                <w:sz w:val="18"/>
                <w:szCs w:val="18"/>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28, 2024</w:t>
            </w:r>
          </w:p>
        </w:tc>
        <w:tc>
          <w:tcPr>
            <w:tcW w:w="300" w:type="dxa"/>
            <w:vAlign w:val="bottom"/>
          </w:tcPr>
          <w:p>
            <w:pPr>
              <w:spacing w:after="0"/>
              <w:rPr>
                <w:sz w:val="20"/>
                <w:szCs w:val="20"/>
                <w:color w:val="auto"/>
              </w:rPr>
            </w:pP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8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Raw materials and work in process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62,541</w:t>
            </w:r>
          </w:p>
        </w:tc>
        <w:tc>
          <w:tcPr>
            <w:tcW w:w="0" w:type="dxa"/>
            <w:vAlign w:val="bottom"/>
          </w:tcPr>
          <w:p>
            <w:pPr>
              <w:spacing w:after="0"/>
              <w:rPr>
                <w:sz w:val="1"/>
                <w:szCs w:val="1"/>
                <w:color w:val="auto"/>
              </w:rPr>
            </w:pPr>
          </w:p>
        </w:tc>
      </w:tr>
      <w:tr>
        <w:trPr>
          <w:trHeight w:val="228"/>
        </w:trPr>
        <w:tc>
          <w:tcPr>
            <w:tcW w:w="6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wp:posOffset>
            </wp:positionV>
            <wp:extent cx="31286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ind w:left="260" w:right="20" w:hanging="234"/>
        <w:spacing w:after="0" w:line="261" w:lineRule="auto"/>
        <w:tabs>
          <w:tab w:leader="none" w:pos="25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-207010</wp:posOffset>
            </wp:positionV>
            <wp:extent cx="31286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2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300" w:type="dxa"/>
            <w:vAlign w:val="bottom"/>
          </w:tcPr>
          <w:p>
            <w:pPr>
              <w:spacing w:after="0"/>
              <w:rPr>
                <w:sz w:val="18"/>
                <w:szCs w:val="18"/>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28, 2024</w:t>
            </w:r>
          </w:p>
        </w:tc>
        <w:tc>
          <w:tcPr>
            <w:tcW w:w="300" w:type="dxa"/>
            <w:vAlign w:val="bottom"/>
          </w:tcPr>
          <w:p>
            <w:pPr>
              <w:spacing w:after="0"/>
              <w:rPr>
                <w:sz w:val="20"/>
                <w:szCs w:val="20"/>
                <w:color w:val="auto"/>
              </w:rPr>
            </w:pP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payables and accrued expenses:</w:t>
            </w:r>
          </w:p>
        </w:tc>
        <w:tc>
          <w:tcPr>
            <w:tcW w:w="28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Associate compensation and benefits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customer returns and remakes</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to Walmart</w:t>
            </w:r>
          </w:p>
        </w:tc>
        <w:tc>
          <w:tcPr>
            <w:tcW w:w="2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Supplies and other store support expenses</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(See Note 11)</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40" w:type="dxa"/>
            <w:vAlign w:val="bottom"/>
            <w:vMerge w:val="restart"/>
          </w:tcPr>
          <w:p>
            <w:pPr>
              <w:spacing w:after="0"/>
              <w:rPr>
                <w:sz w:val="24"/>
                <w:szCs w:val="24"/>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As of</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vMerge w:val="continue"/>
          </w:tcPr>
          <w:p>
            <w:pPr>
              <w:spacing w:after="0"/>
              <w:rPr>
                <w:sz w:val="21"/>
                <w:szCs w:val="21"/>
                <w:color w:val="auto"/>
              </w:rPr>
            </w:pPr>
          </w:p>
        </w:tc>
        <w:tc>
          <w:tcPr>
            <w:tcW w:w="5040" w:type="dxa"/>
            <w:vAlign w:val="bottom"/>
            <w:tcBorders>
              <w:bottom w:val="single" w:sz="8" w:color="CCEEFF"/>
            </w:tcBorders>
            <w:vMerge w:val="continue"/>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28, 2024</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192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6,051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92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8,826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Derivatives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Term SOFR forward rates. See Note 7. “Interest Rate Derivatives” for further details.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impairments of $13.7 million and $17.7 million during the three and nine months ended September 28, 2024, respectively, primarily related to our Fred Meyer contracts and relationships intangible asset and our long-lived tangible store assets and ROU assets, and $1.5 million and $2.7 million during the three and nine months ended September 30, 2023, respectively, primarily related to our long-lived tangible store assets and ROU assets. A decrease in the estimated cash flows would lead to a lower fair value measurement, as would an increase in the discount rate. These non-recurring fair value measurements are classified as Level 3 measurements in the fair value hierarchy.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Store and ROU Store Assets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cash flows used in estimating fair value were discounted using market rates of 11.0% to 11.5%. The estimated remaining fair value of the store assets impaired during the nine months ended September 28, 2024 and September 30, 2023 was $3.8 million and $2.8 million, respectively; the estimated remaining fair values include amounts estimated at various dates during the related fiscal years. Substantially all of the remaining fair value of the impaired store assets represents the fair value of ROU assets.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Finite-Lived Intangible Assets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Related to the impairment recognized for the Fred Meyer contracts and relationships intangible asset, we estimated fair value using the discounted cash flow method of the income approach. The cash flows included assumptions about future extensions of our relationship with Fred Meyer, as well as assumptions about future revenue growth and profitability, and were discounted using a rate of 9%. The estimated remaining fair value of the asset was $8.4 million as of September 28, 2024. Refer to Note 1. “Description of Business and Basis of Presentation” for more details on the Fred Meyer contracts and relationships intangible asset.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fair value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 Loan A and Revolving Loans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borrowings under the $257.5 million outstanding principal first lien term loan (“Term Loan A”) and revolving credit loans in an aggregate principal amount of $300.0 million (the “Revolving Loans”) utilize variable interest rate setting mechanisms such as Term SOFR, the fair values of these borrowings are deemed to approximate the carrying values. We also considered the effect of our own credit risk on the fair values of Term Loan A and Revolving Loans. Refer to Note 6. “Debt” for more information on these borrowings.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Notes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$84.8 million in aggregate principal amount of 2.50% convertible senior notes due on May 15, 2025 (the “2025 Notes”) issued and outstanding as of September 28, 2024. Refer to Note 6. “Debt” for more information on the 2025 Notes. The estimated fair value of the 2025 Notes was approximately $83.0 million and $303.3 million as of September 28, 2024 and December 30, 2023,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6. “Debt” for more information on the 2025 Notes.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8"/>
        </w:trPr>
        <w:tc>
          <w:tcPr>
            <w:tcW w:w="1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debt consists of the following:</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28,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 due May 15, 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302,497</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A, due June 13, 2028</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Loans, due June 13, 2028</w:t>
            </w:r>
          </w:p>
        </w:tc>
        <w:tc>
          <w:tcPr>
            <w:tcW w:w="2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before unamortized discount and issuance costs</w:t>
            </w: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342,274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448,747</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- 2025 Notes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Term Loan A</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less debt discount and issuance costs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445,184</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noncurrent portion</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437,684</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156"/>
        </w:trPr>
        <w:tc>
          <w:tcPr>
            <w:tcW w:w="68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Long-term debt and finance lease obligations, less current portion, discount, and issuance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252,848</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0" w:type="dxa"/>
            <w:vAlign w:val="bottom"/>
          </w:tcPr>
          <w:p>
            <w:pPr>
              <w:spacing w:after="0"/>
              <w:rPr>
                <w:sz w:val="1"/>
                <w:szCs w:val="1"/>
                <w:color w:val="auto"/>
              </w:rPr>
            </w:pPr>
          </w:p>
        </w:tc>
      </w:tr>
      <w:tr>
        <w:trPr>
          <w:trHeight w:val="221"/>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Scheduled annual maturities of debt are as follows:</w:t>
            </w: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6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Fiscal Period</w:t>
            </w: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 remainder of fiscal year</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101,337</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211,124</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342,274</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9, 2024, Nautilus Acquisition Holdings, Inc. (“Holdings”), a Delaware corporation and a wholly-owned subsidiary of National Vision Holdings, Inc., National Vision, Inc. (“Borrower”), a Georgia corporation and a wholly-owned subsidiary of the Company, and certain other subsidiaries of the Company entered into a Joinder Agreement (the “Joinder Agreement”) to the Second Amended and Restated Credit Agreement, dated as of June 13, 2023 (as amended, restated, supplemented or otherwise modified from time to time, the “Credit Agreement”), among Holdings, Borrower, the other credit parties party thereto, the lenders party thereto and Bank of America, N.A., as administrative agent and collateral agent.</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Joinder Agreement provides for, among other things, the establishment of incremental term loans in an aggregate principal amount of $115.0 million, provided to the borrower on August 9, 2024. These incremental term loans under the Joinder Agreement have the same terms as the existing term loans under the Second Amended and Restated Credit Agreement, dated as of June 13, 2023.</w:t>
      </w:r>
    </w:p>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additional borrowings resulted in $0.9 million of fees deferred on the Condensed Consolidated Balance Sheets during the three and nine months ended September 28, 2024. After giving effect to additional borrowings, $257.5 million principal remains outstanding under Term Loan 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12, 2024, the Company used the proceeds of the incremental term loan, together with cash from the balance sheet, to repurchase $217.7 million aggregate principal amount of the 2025 Notes for an aggregate cash repurchase price of $215.0 million plus accrued and unpaid interest on such notes. The repurchase was accounted for as an extinguishment of debt and resulted in an extinguishment gain of $0.9 million on the Company’s Condensed Consolidated Statements of Operations during the three and nine months ended September 28, 2024, which includes a write-off of related deferred issuance costs of $1.0 million and immediate recognition of third party-fees of $0.8 million. After giving effect to the repurchase, $84.8 million principal amount remains outstanding. Our effective interest rate remained at 3.2% as of September 28, 2024.</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initial conversion rate, the 2025 Notes were convertible into 12.9 million shares of our common stock and we reserved for the possible issuance of 16.5 million shares, which is the maximum amount that could be issued upon conversion. As of September 28, 2024, the 2025 Notes are convertible into 2.7 million shares of our common stock and a maximum of 3.5 million shares of our common stock. See Note 13. “Earnings Per Share” for the treatment of earnings per share in relation to the 2025 Notes.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Notes mature on May 15, 2025, and due to the upcoming maturity the outstanding principal balance of $84.8 million is reflected as a current liability in the accompanying Condensed Consolidated Balance Sheets as of September 28, 2024. As of September 28, 2024, the Company has $293.6 million of availability under its revolving credit facility, in addition to $81.2 million of cash on hand, which provides the Company with sufficient liquidity to repay the remaining balance of the 2025 Notes as they become due.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the following in Interest expense (income), net related to the 2025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Three Months Ended</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Nine Months Ended</w:t>
            </w:r>
          </w:p>
        </w:tc>
        <w:tc>
          <w:tcPr>
            <w:tcW w:w="66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28,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12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28, 2024</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28, 2024, the stock price conditions under which the 2025 Notes can be converted at the holders’ option were not met.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covenants related to our debt as of September 28,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Interest Rate Derivatives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were party to an interest rate collar to offset the variability of cash flows in Term SOFR-indexed debt interest payments. The interest rate collar matured on July 18,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immaterial (gains) losses on the change in fair value of the interest rate collar during the three months ended September 28, 2024, and recognized $(0.5) million during the nine months ended September 28, 2024. During the three and nine months ended September 30, 2023 we recognized (gains) losses of $(0.4) million and $(2.7) million,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related to derivatives qualifying as hedges are included in the same section of the Consolidated Statements of Cash Flows as the underlying assets and liabilities being hedged. Cash flows during the nine months ended September 28, 2024 and September 30, 2023 related to derivatives not qualifying as hedges were included in the operating section of the Condensed Consolidated Statements of Cash Flows and were immaterial.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Incentive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2024, the Company’s stockholders approved the amendment and restatement of the National Vision Holdings, Inc. 2017 Omnibus Incentive Plan (as amended and restated, the “2017 Omnibus Incentive Plan”), increasing the number of shares of common stock of the Company authorized for issuance under the 2017 Omnibus Incentive Plan by an additional 5.6 million shares.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28, 2024, the Company granted 332,216 performance-based restricted stock units (“PSUs”) and 852,025 time-based restricted stock units (“RSUs”) to eligible employees and non-employee directors under the 2017 Omnibus Incentive Plan and the 2014 Stock Incentive Plan for Key Employees of National Vision Holdings, Inc. (formerly known as Nautilus Parent, Inc.) and its Subsidiaries (the “2014 Stock Incentive Plan”). The PSUs granted in fiscal 2024 will be settled after the end of the performance period (i.e., cliff vesting), which begins on the first day of our 2024 fiscal year and ends on the last day of our 2026 fiscal year, and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based on the Company’s achievement of certain performance targets. The RSUs granted in fiscal 2024 vest primarily in three equal annual installments.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from Contracts with 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and 2) eye exams. Revenues recognized over time primarily include product protection plans (i.e. warranties) and eye care club memberships.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Three Months Ended</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28, 2024</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28, 2024</w:t>
            </w: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September 30, 2023</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419,643</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1,240,768</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94,650</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1,335,418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12. “Segment Reporting” for the Company’s disaggregation of net revenue among the Owned &amp; Host reportable segment, as well as the Corporate/Other and Reconciliation categories. As our reportable segment is aligned by similar economic factors, trends and customers, the reportable segment disaggregation view best depicts how the nature, amount and uncertainty of revenue and cash flows are affected by economic factors.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$5.5 million and $3.7 million during the three months ended September 28, 2024 and September 30, 2023, respectively, and $12.5 million and $10.8 million during the nine months ended September 28, 2024 and September 30, 2023,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loss expense recognized on our receivables, which is presented in SG&amp;A expenses in the Company’s Condensed Consolidated Statements of Operations, was immaterial for the three months ended September 28, 2024, and $0.1 million for the three months ended September 30, 2023, and $0.2 million and $0.4 million for the nine months ended September 28, 2024 and September 30, 2023,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Unsatisfied Performance Obligations (Contract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28, 2024 and September 30, 2023, we recognized $23.1 million and $23.1 million, respectively, of deferred revenues outstanding at the beginning of each respective period. During the nine months ended September 28, 2024 and September 30, 2023, we recognized $54.4 million and $53.7 million, respectively, of deferred revenues outstanding at the beginning of each respective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deferred revenue balance as of September 28, 2024 and December 30, 2023 was $86.6 million and $84.3 million, respectively. We expect future revenue recognition of the September 28, 2024 balance of $43.4 million, $26.2 million, $13.8 million and $3.2 million in fiscal years 2024, 2025, 2026 and 2027,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69"/>
        </w:trPr>
        <w:tc>
          <w:tcPr>
            <w:tcW w:w="1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10. Leases</w:t>
            </w:r>
          </w:p>
        </w:tc>
        <w:tc>
          <w:tcPr>
            <w:tcW w:w="3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59"/>
        </w:trPr>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Our lease costs for the three and nine months ended September 28, 2024 and September 30, 2023 were as follows: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12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Three Months Ended</w:t>
            </w:r>
          </w:p>
        </w:tc>
        <w:tc>
          <w:tcPr>
            <w:tcW w:w="6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28, 2024</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28, 2024</w:t>
            </w: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September 30, 2023</w:t>
            </w:r>
          </w:p>
        </w:tc>
      </w:tr>
      <w:tr>
        <w:trPr>
          <w:trHeight w:val="209"/>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cost</w:t>
            </w:r>
          </w:p>
        </w:tc>
        <w:tc>
          <w:tcPr>
            <w:tcW w:w="4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4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lease cost </w:t>
            </w:r>
            <w:r>
              <w:rPr>
                <w:rFonts w:ascii="Times New Roman" w:cs="Times New Roman" w:eastAsia="Times New Roman" w:hAnsi="Times New Roman"/>
                <w:sz w:val="23"/>
                <w:szCs w:val="23"/>
                <w:color w:val="auto"/>
                <w:vertAlign w:val="superscript"/>
              </w:rPr>
              <w:t>(a)</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25,628</w:t>
            </w:r>
          </w:p>
        </w:tc>
        <w:tc>
          <w:tcPr>
            <w:tcW w:w="12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24,258</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71,317</w:t>
            </w:r>
          </w:p>
        </w:tc>
      </w:tr>
      <w:tr>
        <w:trPr>
          <w:trHeight w:val="230"/>
        </w:trPr>
        <w:tc>
          <w:tcPr>
            <w:tcW w:w="4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(b)</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w:t>
            </w:r>
          </w:p>
        </w:tc>
      </w:tr>
      <w:tr>
        <w:trPr>
          <w:trHeight w:val="229"/>
        </w:trPr>
        <w:tc>
          <w:tcPr>
            <w:tcW w:w="4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Sublease income </w:t>
            </w:r>
            <w:r>
              <w:rPr>
                <w:rFonts w:ascii="Times New Roman" w:cs="Times New Roman" w:eastAsia="Times New Roman" w:hAnsi="Times New Roman"/>
                <w:sz w:val="23"/>
                <w:szCs w:val="23"/>
                <w:color w:val="auto"/>
                <w:vertAlign w:val="superscript"/>
              </w:rPr>
              <w:t>(c)</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Finance lease cost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2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35,541</w:t>
            </w:r>
          </w:p>
        </w:tc>
        <w:tc>
          <w:tcPr>
            <w:tcW w:w="12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101,375</w:t>
            </w:r>
          </w:p>
        </w:tc>
      </w:tr>
      <w:tr>
        <w:trPr>
          <w:trHeight w:val="20"/>
        </w:trPr>
        <w:tc>
          <w:tcPr>
            <w:tcW w:w="1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20" w:hanging="194"/>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41" w:lineRule="exact"/>
        <w:rPr>
          <w:rFonts w:ascii="Times New Roman" w:cs="Times New Roman" w:eastAsia="Times New Roman" w:hAnsi="Times New Roman"/>
          <w:sz w:val="14"/>
          <w:szCs w:val="14"/>
          <w:color w:val="auto"/>
        </w:rPr>
      </w:pPr>
    </w:p>
    <w:p>
      <w:pPr>
        <w:ind w:left="20" w:right="20" w:firstLine="6"/>
        <w:spacing w:after="0" w:line="251" w:lineRule="auto"/>
        <w:tabs>
          <w:tab w:leader="none" w:pos="23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for insurance, real estate taxes and common area maintenance expenses, which are variable as well as lease costs above minimum thresholds for Fred Meyer stores and lease costs for Military stores.</w:t>
      </w:r>
    </w:p>
    <w:p>
      <w:pPr>
        <w:ind w:left="220" w:hanging="194"/>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primarily from sub-leasing of stores includes rental income from leasing space to independent optometrists.</w:t>
      </w:r>
    </w:p>
    <w:p>
      <w:pPr>
        <w:spacing w:after="0" w:line="200" w:lineRule="exact"/>
        <w:rPr>
          <w:sz w:val="20"/>
          <w:szCs w:val="20"/>
          <w:color w:val="auto"/>
        </w:rPr>
      </w:pPr>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412"/>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28, 2024</w:t>
            </w:r>
          </w:p>
        </w:tc>
        <w:tc>
          <w:tcPr>
            <w:tcW w:w="1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September 30, 2023</w:t>
            </w:r>
          </w:p>
        </w:tc>
      </w:tr>
      <w:tr>
        <w:trPr>
          <w:trHeight w:val="223"/>
        </w:trPr>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 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76,747</w:t>
            </w: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 acquired under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and may in the future become subject to various claims and pending or threatened lawsuits in the ordinary course of our business.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On September 29, 2023, the state court set the PAGA action for trial on October 7, 2024. The parties attended mediation on March 11, 2024, but a resolution of the matter was not reached at that time. Following mediation, the parties agreed to a settlement of all claims alleged by the named plaintiff on behalf of himself and all putative class members and other aggrieved employees. The Company will pay $4.5 million for the gross settlement fund in connection with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settlement. The settlement is subject to approval by the court following a fairness hearing. The parties agreed to move the federal and state court actions to state court for review of the settlement terms agreed to by the parties.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2023, the Company was served with notice of a former employee’s intention to file a representative action against the Company pursuant to California’s Private Attorneys General Act based on alleged violations of California’s wage and hour laws. On June 22, 2023, the Company was served with a related lawsuit filed by the former employee in California state court alleging, on behalf of a proposed class of employees, violations of California wage and hour laws. On July 24, 2023, the Company filed its answer and a notice of removal of the case to the federal District Court for the Southern District of California. On July 28, 2023, the Company filed a Notice of Related Cases, seeking for both the case currently pending in the Northern District of California and described in the paragraph above and this case to be assigned to the same Judge/Magistrate Judge in an effort to save judicial effort and avoid duplication of labor. On August 15, 2023, the parties filed a stipulation to stay the case in the Southern District of California pending the resolution of the lawsuit pending in the Northern District of California. On August 21, 2023, the court entered an Order to Show Cause why the action should not be either dismissed or transferred to the federal court for the Northern District of California. Following the parties’ submission of their respective responses, the court dismissed the action without prejudice on September 11, 2023. The plaintiff retains his ability to pursue a PAGA action in state court pursuant to the June 6, 2023 notice. On January 22, 2024, the plaintiff filed a demand for arbitration of the claims set forth in the Complaint previously filed in state court in June 2023. The Company filed its response to the arbitration demand and the parties have engaged in limited discovery. We dispute the plaintiff’s allegations and intend to vigorously defend the litigation.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27, 2023, a purported class action complaint was filed in federal court in the Northern District of Georgia against the Company and two of the Company’s officers (the “Securities Class Action”). The complaint alleges violations of Sections 10(b) and 20(a) of the Securities Exchange Act of 1934 (the “Exchange Act”) and Rule 10b-5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On March 30, 2024, the court granted the Company’s motion and dismissed the amended complaint with prejudice. On April 29, 2024, the plaintiffs filed a motion for reconsideration of the order granting the motion to dismiss. The Company and named officers filed a response in opposition to the plaintiffs’ motion for reconsideration on May 13, 2024, and the plaintiffs then filed a reply in support of their motion on May 28, 2024. The Company disputes the allegations asserted by plaintiffs and will continue to defend the litigation vigorously.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23, 2024, a stockholder derivative complaint was filed by a stockholder in the Delaware Court of Chancery, purportedly on behalf of the Company (the “Derivative Action”). The Derivative Action is based on the same alleged facts and circumstances as the Securities Class Action and names certain of the Company’s officers, including our Chief Executive Officer and Chief Operating Officer, and the Company’s directors who were members of the Company’s Board of Directors during the relevant time period as defendants. The Derivative Action alleges claims for breach of fiduciary duty, unjust enrichment, and violations of the Exchange Act and seeks to recover damages on behalf of the Company. On July 24, 2024, the Company along with the named defendants, filed a motion to dismiss the complaint. On September 9, 2024, the plaintiff filed an amended complaint. Defendants filed a motion to dismiss the amended complaint on October 31, 2024. The defendants dispute the allegations made by the plaintiff and intend to vigorously defend the litigation.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provides its principal products and services through one reportable segment: Owned &amp; Host. The “Corporate/Other” category includes the results of operations of our other operating segments, as well as corporate overhead support. Revenues from the Corporate/Other category are attributable to our dedicated e-commerce website and FirstSight operations. Our dedicated e-commerce website was previously managed by AC Lens and was transitioned to NVI. FirstSight sells single-service health plans in connection with the operations of America’s Best operations in California. The “Reconciliations” category represents other adjustments to reportable segment results necessary for the presentation of consolidated financial results in accordance with U.S. GAAP. Our former Legacy reportable segment and certain other results previously included in the Corporate/Other and Reconciliations categories met the requirements to be classified as discontinued operations. Refer to Note 2. “Discontinued Operations” for information related to our discontinued operations.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 including interest expense (income), net are excluded from segment EBITDA.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financial data for our Owned &amp; Host reportable segment and Corporate/Other and Reconciliations categories.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information is not included in the following summary since the CODM does not regularly review such information for our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Three Months Ended September 28, 2024</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9"/>
                <w:szCs w:val="19"/>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180" w:type="dxa"/>
            <w:vAlign w:val="bottom"/>
          </w:tcPr>
          <w:p>
            <w:pPr>
              <w:spacing w:after="0"/>
              <w:rPr>
                <w:sz w:val="19"/>
                <w:szCs w:val="19"/>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356,404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363,156</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88,359</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445,082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451,515</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83,537</w:t>
            </w:r>
          </w:p>
        </w:tc>
        <w:tc>
          <w:tcPr>
            <w:tcW w:w="0" w:type="dxa"/>
            <w:vAlign w:val="bottom"/>
          </w:tcPr>
          <w:p>
            <w:pPr>
              <w:spacing w:after="0"/>
              <w:rPr>
                <w:sz w:val="1"/>
                <w:szCs w:val="1"/>
                <w:color w:val="auto"/>
              </w:rPr>
            </w:pPr>
          </w:p>
        </w:tc>
      </w:tr>
      <w:tr>
        <w:trPr>
          <w:trHeight w:val="22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185,039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189,929</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233,991</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00" w:type="dxa"/>
            <w:vAlign w:val="bottom"/>
          </w:tcPr>
          <w:p>
            <w:pPr>
              <w:spacing w:after="0"/>
              <w:rPr>
                <w:sz w:val="19"/>
                <w:szCs w:val="19"/>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 w:type="dxa"/>
            <w:vAlign w:val="bottom"/>
          </w:tcPr>
          <w:p>
            <w:pPr>
              <w:spacing w:after="0"/>
              <w:rPr>
                <w:sz w:val="19"/>
                <w:szCs w:val="19"/>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22,690</w:t>
            </w:r>
          </w:p>
        </w:tc>
        <w:tc>
          <w:tcPr>
            <w:tcW w:w="0" w:type="dxa"/>
            <w:vAlign w:val="bottom"/>
          </w:tcPr>
          <w:p>
            <w:pPr>
              <w:spacing w:after="0" w:line="20" w:lineRule="exact"/>
              <w:rPr>
                <w:sz w:val="1"/>
                <w:szCs w:val="1"/>
                <w:color w:val="auto"/>
              </w:rPr>
            </w:pPr>
          </w:p>
        </w:tc>
      </w:tr>
      <w:tr>
        <w:trPr>
          <w:trHeight w:val="177"/>
        </w:trPr>
        <w:tc>
          <w:tcPr>
            <w:tcW w:w="5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10"/>
            <w:vMerge w:val="restart"/>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 2023</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0"/>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180" w:type="dxa"/>
            <w:vAlign w:val="bottom"/>
          </w:tcPr>
          <w:p>
            <w:pPr>
              <w:spacing w:after="0"/>
              <w:rPr>
                <w:sz w:val="19"/>
                <w:szCs w:val="19"/>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354,566</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84,254</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430,926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438,820</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77,979</w:t>
            </w: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183,829</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227,515</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00" w:type="dxa"/>
            <w:vAlign w:val="bottom"/>
          </w:tcPr>
          <w:p>
            <w:pPr>
              <w:spacing w:after="0"/>
              <w:rPr>
                <w:sz w:val="19"/>
                <w:szCs w:val="19"/>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22,476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1280" w:type="dxa"/>
            <w:vAlign w:val="bottom"/>
            <w:tcBorders>
              <w:top w:val="single" w:sz="8" w:color="0000FF"/>
            </w:tcBorders>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Nine Months Ended September 28, 2024</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1,113,206</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272,836</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1,361,418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1,386,042</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330,809</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248,246</w:t>
            </w:r>
          </w:p>
        </w:tc>
        <w:tc>
          <w:tcPr>
            <w:tcW w:w="0" w:type="dxa"/>
            <w:vAlign w:val="bottom"/>
          </w:tcPr>
          <w:p>
            <w:pPr>
              <w:spacing w:after="0"/>
              <w:rPr>
                <w:sz w:val="1"/>
                <w:szCs w:val="1"/>
                <w:color w:val="auto"/>
              </w:rPr>
            </w:pPr>
          </w:p>
        </w:tc>
      </w:tr>
      <w:tr>
        <w:trPr>
          <w:trHeight w:val="223"/>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560,734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579,055</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705,472</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68,603</w:t>
            </w:r>
          </w:p>
        </w:tc>
        <w:tc>
          <w:tcPr>
            <w:tcW w:w="0" w:type="dxa"/>
            <w:vAlign w:val="bottom"/>
          </w:tcPr>
          <w:p>
            <w:pPr>
              <w:spacing w:after="0" w:line="20" w:lineRule="exact"/>
              <w:rPr>
                <w:sz w:val="1"/>
                <w:szCs w:val="1"/>
                <w:color w:val="auto"/>
              </w:rPr>
            </w:pPr>
          </w:p>
        </w:tc>
      </w:tr>
      <w:tr>
        <w:trPr>
          <w:trHeight w:val="177"/>
        </w:trPr>
        <w:tc>
          <w:tcPr>
            <w:tcW w:w="5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1,086,899</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248,519</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1,335,418</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323,286</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226,992</w:t>
            </w:r>
          </w:p>
        </w:tc>
        <w:tc>
          <w:tcPr>
            <w:tcW w:w="0" w:type="dxa"/>
            <w:vAlign w:val="bottom"/>
          </w:tcPr>
          <w:p>
            <w:pPr>
              <w:spacing w:after="0"/>
              <w:rPr>
                <w:sz w:val="1"/>
                <w:szCs w:val="1"/>
                <w:color w:val="auto"/>
              </w:rPr>
            </w:pPr>
          </w:p>
        </w:tc>
      </w:tr>
      <w:tr>
        <w:trPr>
          <w:trHeight w:val="223"/>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531,661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550,278</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679,115</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277,286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(172,135)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66,521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(Loss)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 (loss) per share (“EPS”) related to the 2025 Notes is calculated using the if-converted method; the number of dilutive shares is based on the initial conversion rate associated with the 2025 Notes. The 2025 Notes were anti-dilutive for the three and nine months ended September 28, 2024 and September 30, 2023. A reconciliation of the numerators and denominators of the basic and diluted EPS calculations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Three Months Ended</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 (Loss) Per Share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28,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28, 2024</w:t>
            </w: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September 30, 2023</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(68,199)</w:t>
            </w: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78,328</w:t>
            </w: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c>
          <w:tcPr>
            <w:tcW w:w="4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Anti-dilutive securities excluded from diluted weighted</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5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Some of the totals in the table above may not foot due to rounding differences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27, 2024 (the “2023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sections of this Form 10-Q and the 2023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largest optical retailers in the U.S. and a leader in the attractive value segment of the U.S. optical retail industry. We believe that vision is central to quality of life and that people deserve to see their best to live their best, regardless of their budget. We achieve this by providing eye exams, eyeglasses and contact lenses to value seeking and lower income consumers with an opening price point that strives to be among the lowest in the industry, enabled by our low-cost operating platform. We reach our customers through a diverse portfolio of 1,231 retail stores across four brands as well as multiple consumer websites as of September 28,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and Segment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28, 2024, our operations consisted of one reportable segment. During the nine months ended September 28, 2024, our Walmart store operations, including our former Legacy reportable segment and components of our Corporate/Other category met the requirements to be classified as discontinued operations; refer to Part I. Item 1. Note 2. “Discontinued Operations” for more information on discontinued operations.</w:t>
      </w:r>
    </w:p>
    <w:p>
      <w:pPr>
        <w:spacing w:after="0" w:line="68" w:lineRule="exact"/>
        <w:rPr>
          <w:sz w:val="20"/>
          <w:szCs w:val="20"/>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 As of September 28, 2024, our owned brands consisted of 1,019 America’s Best Contacts and Eyeglasses retail stores and 130 Eyeglass World retail stores. Our Host brands consisted of 53 Vista Optical locations on select military bases and 29 Vista Optical locations within select Fred Meyer stores as of September 28, 2024. All brands utilize our centralized laboratories. This segment also includes sales from our America’s Best, Eyeglass World, and Military omni-channel websites.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also include the following activity recorded in our Corporate/Other category:</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website that was formerly part of AC Lens and was transitioned to NVI as part of the wind down of AC Lens’ operations.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conducted by FirstSight, our wholly-owned subsidiary that is licensed as a single-service health plan under California law. In connection with the termination of the Walmart MSA, the agreement between FirstSight and Walmart, which arranged for the provision by FirstSight of optometric services at optometric offices next to certain Walmart stores throughout California, terminated on February 23, 2024.</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overhead expenses.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other items in the reconciliations other than the effects of unearned and deferred revenue. See Note 12. “Segment Reporting” in our condensed consolidated financial statements included in Part I. Item 1. of this Form 10-Q.</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delivery/customer acceptance, and includes sales of prescription eyewear during approximately the last seven to 10 days of the reporting period.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announced, we are taking new actions to accelerate our transformation, which include new additions to our executive leadership team, continued expansion of exam capacity, new traffic-driving initiatives, and initiatives to strengthen the foundation of the business for profitable growth. As part of this endeavor, we have completed a comprehensive review of our portfolio of stores to optimize our fleet for profitability and overall performance. Following the comprehensive review, we currently plan to close 39 stores and convert four Eyeglass World stores to America’s Best stores by the end of 2026. In connection with this review, we have recorded certain impairment of intangible assets, property and equipment and ROU assets, as well as one-time non-recurring exit charges associated with the fiscal 2024 and fiscal 2025 closures. Refer to Part I. Item 1. Note 1. “Description of Business and Basis of Presentation” and Note 5. “Fair Value Measurement” for information on the impairment charges and costs incurred related to the store fleet review.</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 macroeconomic conditions, including elevated inflation and interest rates and overall consumer sentiment, have negatively impacted and may continue to have adverse effects on our business, results of operations and financial condition, which could be material. Inflation has resulted in increased costs and greater profitability pressure. We have experienced wage rate pressure and increases in raw materials prices, which we expect to continue. Inflationary pressures, including elevated wages, consumer confidence and preferences and increased raw material costs could impact our profitability and lead us to attempt to offset such increases through various pricing actions. We have historically employed a simple low price/high value strategy and seek to balance our pricing and growth in a way that consistently delivers savings to our customers. From time to time, and increasingly in connection with our new transformation initiatives, we may take pricing actions and introduce limited-time promotions or new offers designed to increase traffic, awareness and sales. Several factors may impact the level of success of such actions and promotions, including consumer sentiment, macroeconomic conditions and marketing effectiveness, and as a result, if they do not meet our expectations, they could negatively impact our margins and profitability.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ability to continue to attract and retain qualified vision care professionals impacts exam capacity. We believe factors such as an increasingly challenging recruiting market (in particular for new graduates), preferences for adjusted work schedules, and the demand for optometrists exceeding supply in certain areas have caused constraints in vision care professional availability, and therefore exam capacity, which are continuing. As a result, recruiting and retaining optometrists has become more challenging and the costs to employ or retain optometrists have increased and may increase further, potentially materially.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customers in our target market are value-seeking consumers, many of whom are lower income consumers and may rely on tax refunds to pay for eyewear and eye care. Historically, our business has experienced seasonality in the first half of the year that we believe is primarily attributable to the timing of customers’ income tax refunds and health insurance start/reset periods. A delay in the issuance of tax refunds or changes in the amount of tax refunds can, accordingly. have a negative impact on our quarterly financial results in the first half of the year. Consumer behavior with respect to the utilization of tax refund proceeds is also subject to change.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nine months of 2024, we incurred costs related to the termination of the Walmart MSA and the wind-down of AC Lens operations, as well as an immaterial amount of costs related to the actions taken in fiscal year 2023 to streamline corporate overhead. While we seek to reduce costs and replace lost business with new America’s Best or Eyeglass World stores and by other means, including anticipated pricing actions, we may not be successful in our efforts, which could impact our revenues and profitability.</w:t>
      </w:r>
    </w:p>
    <w:p>
      <w:pPr>
        <w:spacing w:after="0" w:line="72" w:lineRule="exact"/>
        <w:rPr>
          <w:sz w:val="20"/>
          <w:szCs w:val="20"/>
          <w:color w:val="auto"/>
        </w:rPr>
      </w:pPr>
    </w:p>
    <w:p>
      <w:pPr>
        <w:ind w:right="220"/>
        <w:spacing w:after="0" w:line="375" w:lineRule="auto"/>
        <w:rPr>
          <w:sz w:val="20"/>
          <w:szCs w:val="20"/>
          <w:color w:val="auto"/>
        </w:rPr>
      </w:pPr>
      <w:r>
        <w:rPr>
          <w:rFonts w:ascii="Times New Roman" w:cs="Times New Roman" w:eastAsia="Times New Roman" w:hAnsi="Times New Roman"/>
          <w:sz w:val="18"/>
          <w:szCs w:val="18"/>
          <w:color w:val="auto"/>
        </w:rPr>
        <w:t xml:space="preserve">Refer to Part I, Item 1A. “Risk Factors” in the Company’s 2023 Annual Report on Form 10-K for a more complete discussion of the risk factors we face. </w:t>
      </w:r>
      <w:r>
        <w:rPr>
          <w:rFonts w:ascii="Times New Roman" w:cs="Times New Roman" w:eastAsia="Times New Roman" w:hAnsi="Times New Roman"/>
          <w:sz w:val="18"/>
          <w:szCs w:val="18"/>
          <w:b w:val="1"/>
          <w:bCs w:val="1"/>
          <w:color w:val="auto"/>
        </w:rPr>
        <w:t>How We Assess the Performance of Our Business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expenses generally fluctuate consistently with revenue due to the variable store, field office and corporate support costs; however, some fixed costs may decrease as a percentage of net revenue as our net revenues grow over time.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number of new stores per year and the timing of store openings has had an impact, and we expect will continue to have an impact, on our results. We expect to open 65 to 70 stores in the current year. We plan to open 30-35 new stores in fiscal year 2025 to allow us to invest capital in existing operations to enhance the overall store experience. We are continuing to monitor and determine our plans for future new store openings at a level appropriate for incremental free cash flow generation and healthy growth, and based on health, safety and economic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Comparable Store Sales Growth</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Operating Income, Adjusted Operating Margin, Adjusted EBITDA, Adjusted EBITDA Margin and Adjusted Diluted EPS (collectively, the “Company Non-GAAP Measures”)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both in dollars and as a percentage of our net 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20"/>
                <w:szCs w:val="20"/>
                <w:color w:val="auto"/>
              </w:rPr>
            </w:pPr>
          </w:p>
        </w:tc>
        <w:tc>
          <w:tcPr>
            <w:tcW w:w="19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860" w:type="dxa"/>
            <w:vAlign w:val="bottom"/>
          </w:tcPr>
          <w:p>
            <w:pPr>
              <w:spacing w:after="0"/>
              <w:rPr>
                <w:sz w:val="20"/>
                <w:szCs w:val="20"/>
                <w:color w:val="auto"/>
              </w:rPr>
            </w:pPr>
          </w:p>
        </w:tc>
      </w:tr>
      <w:tr>
        <w:trPr>
          <w:trHeight w:val="169"/>
        </w:trPr>
        <w:tc>
          <w:tcPr>
            <w:tcW w:w="47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i w:val="1"/>
                <w:iCs w:val="1"/>
                <w:color w:val="auto"/>
              </w:rPr>
              <w:t>In thousands, except earnings (loss) per share, percentage and</w:t>
            </w:r>
          </w:p>
        </w:tc>
        <w:tc>
          <w:tcPr>
            <w:tcW w:w="4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store data</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28, 2024</w:t>
            </w:r>
          </w:p>
        </w:tc>
        <w:tc>
          <w:tcPr>
            <w:tcW w:w="16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28,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2023</w:t>
            </w: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363,156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354,566</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1,113,206</w:t>
            </w:r>
          </w:p>
        </w:tc>
        <w:tc>
          <w:tcPr>
            <w:tcW w:w="16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1,086,899</w:t>
            </w: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88,359</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84,254</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272,836</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248,519</w:t>
            </w: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4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451,515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438,820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1,386,042</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1,335,418</w:t>
            </w:r>
          </w:p>
        </w:tc>
      </w:tr>
      <w:tr>
        <w:trPr>
          <w:trHeight w:val="176"/>
        </w:trPr>
        <w:tc>
          <w:tcPr>
            <w:tcW w:w="4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4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106,392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105,850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330,809</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323,286</w:t>
            </w: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83,537</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77,979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248,246</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226,992</w:t>
            </w: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4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189,929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183,829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579,055</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550,278</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233,991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227,515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705,472</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679,115</w:t>
            </w: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22,690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22,476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68,603</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66,521</w:t>
            </w: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4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17,701</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2,699</w:t>
            </w: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270,407</w:t>
            </w: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251,444</w:t>
            </w:r>
          </w:p>
        </w:tc>
        <w:tc>
          <w:tcPr>
            <w:tcW w:w="16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791,775</w:t>
            </w:r>
          </w:p>
        </w:tc>
        <w:tc>
          <w:tcPr>
            <w:tcW w:w="16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748,232</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(8,821)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15,212</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36,908</w:t>
            </w: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11,560</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10,425</w:t>
            </w: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4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(12,070)</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4,511</w:t>
            </w:r>
          </w:p>
        </w:tc>
        <w:tc>
          <w:tcPr>
            <w:tcW w:w="1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26,483</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(3,630)</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8,198</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(8,440)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2,272</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18,285</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 (See Note 2)</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(73,432)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(2,180)</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(68,199)</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(8,468)</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(73,798)</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(49,914)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operating data:</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 opened during the period</w:t>
            </w:r>
          </w:p>
        </w:tc>
        <w:tc>
          <w:tcPr>
            <w:tcW w:w="4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from continuing operations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14,294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11,700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62,261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56,634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from continuing operations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EPS from continuing operations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36,603</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33,795</w:t>
            </w:r>
          </w:p>
        </w:tc>
        <w:tc>
          <w:tcPr>
            <w:tcW w:w="16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129,720</w:t>
            </w:r>
          </w:p>
        </w:tc>
        <w:tc>
          <w:tcPr>
            <w:tcW w:w="16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122,011</w:t>
            </w:r>
          </w:p>
        </w:tc>
      </w:tr>
      <w:tr>
        <w:trPr>
          <w:trHeight w:val="265"/>
        </w:trPr>
        <w:tc>
          <w:tcPr>
            <w:tcW w:w="4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from continuing operations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742"/>
        </w:trPr>
        <w:tc>
          <w:tcPr>
            <w:tcW w:w="4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28, 2024 compared to Three Months Ended September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components of our operations met the requirements to be classified as discontinued operations. Refer to Part I. Item 1. Note 2. “Discontinued Operations” for information related to our discontinued operations. Unless otherwise noted, the discussion of U.S. GAAP results below is based on results from continuing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from continuing operations for the three months ended September 28, 2024 compared to the three months ended September 30,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line="264" w:lineRule="auto"/>
        <w:rPr>
          <w:sz w:val="20"/>
          <w:szCs w:val="20"/>
          <w:color w:val="auto"/>
        </w:rPr>
      </w:pPr>
      <w:r>
        <w:rPr>
          <w:rFonts w:ascii="Times New Roman" w:cs="Times New Roman" w:eastAsia="Times New Roman" w:hAnsi="Times New Roman"/>
          <w:sz w:val="14"/>
          <w:szCs w:val="14"/>
          <w:i w:val="1"/>
          <w:iCs w:val="1"/>
          <w:color w:val="auto"/>
        </w:rPr>
        <w:t>In thousands, except percentage and store data</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Comparable store sales growth from</w:t>
            </w:r>
          </w:p>
        </w:tc>
        <w:tc>
          <w:tcPr>
            <w:tcW w:w="22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2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w w:val="97"/>
              </w:rPr>
              <w:t>Net revenue</w:t>
            </w:r>
            <w:r>
              <w:rPr>
                <w:rFonts w:ascii="Times New Roman" w:cs="Times New Roman" w:eastAsia="Times New Roman" w:hAnsi="Times New Roman"/>
                <w:sz w:val="18"/>
                <w:szCs w:val="18"/>
                <w:b w:val="1"/>
                <w:bCs w:val="1"/>
                <w:color w:val="auto"/>
                <w:w w:val="97"/>
                <w:vertAlign w:val="superscript"/>
              </w:rPr>
              <w:t>(2)</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60" w:type="dxa"/>
            <w:vAlign w:val="bottom"/>
            <w:gridSpan w:val="3"/>
          </w:tcPr>
          <w:p>
            <w:pPr>
              <w:jc w:val="center"/>
              <w:ind w:right="14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continuing operations</w:t>
            </w:r>
            <w:r>
              <w:rPr>
                <w:rFonts w:ascii="Times New Roman" w:cs="Times New Roman" w:eastAsia="Times New Roman" w:hAnsi="Times New Roman"/>
                <w:sz w:val="18"/>
                <w:szCs w:val="18"/>
                <w:b w:val="1"/>
                <w:bCs w:val="1"/>
                <w:color w:val="auto"/>
                <w:w w:val="99"/>
                <w:vertAlign w:val="superscript"/>
              </w:rPr>
              <w:t>(1)</w:t>
            </w:r>
          </w:p>
        </w:tc>
        <w:tc>
          <w:tcPr>
            <w:tcW w:w="2260" w:type="dxa"/>
            <w:vAlign w:val="bottom"/>
            <w:gridSpan w:val="3"/>
            <w:vMerge w:val="continue"/>
          </w:tcPr>
          <w:p>
            <w:pPr>
              <w:spacing w:after="0"/>
              <w:rPr>
                <w:sz w:val="17"/>
                <w:szCs w:val="17"/>
                <w:color w:val="auto"/>
              </w:rPr>
            </w:pPr>
          </w:p>
        </w:tc>
        <w:tc>
          <w:tcPr>
            <w:tcW w:w="252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1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3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520" w:type="dxa"/>
            <w:vAlign w:val="bottom"/>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10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52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4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2">
            <w:col w:w="2120" w:space="240"/>
            <w:col w:w="8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Owned &amp; Host segment</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America’s Best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388,846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86.1 %</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367,528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83.8 %</w:t>
            </w:r>
          </w:p>
        </w:tc>
        <w:tc>
          <w:tcPr>
            <w:tcW w:w="0" w:type="dxa"/>
            <w:vAlign w:val="bottom"/>
          </w:tcPr>
          <w:p>
            <w:pPr>
              <w:spacing w:after="0"/>
              <w:rPr>
                <w:sz w:val="1"/>
                <w:szCs w:val="1"/>
                <w:color w:val="auto"/>
              </w:rPr>
            </w:pPr>
          </w:p>
        </w:tc>
      </w:tr>
      <w:tr>
        <w:trPr>
          <w:trHeight w:val="219"/>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Eyeglass World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48,101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55,019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1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Military</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5,655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5,703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9"/>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Fred Meyer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2,480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2,676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7"/>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Owned &amp; Host segment total</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445,082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98.6 %</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430,926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98.2 %</w:t>
            </w:r>
          </w:p>
        </w:tc>
        <w:tc>
          <w:tcPr>
            <w:tcW w:w="0" w:type="dxa"/>
            <w:vAlign w:val="bottom"/>
          </w:tcPr>
          <w:p>
            <w:pPr>
              <w:spacing w:after="0"/>
              <w:rPr>
                <w:sz w:val="1"/>
                <w:szCs w:val="1"/>
                <w:color w:val="auto"/>
              </w:rPr>
            </w:pPr>
          </w:p>
        </w:tc>
      </w:tr>
      <w:tr>
        <w:trPr>
          <w:trHeight w:val="219"/>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5,338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8,272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1,095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6"/>
        </w:trPr>
        <w:tc>
          <w:tcPr>
            <w:tcW w:w="2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451,515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438,820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Adjusted Comparable Store Sales</w:t>
            </w: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3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Growth from continuing</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operations</w:t>
            </w:r>
            <w:r>
              <w:rPr>
                <w:rFonts w:ascii="Times New Roman" w:cs="Times New Roman" w:eastAsia="Times New Roman" w:hAnsi="Times New Roman"/>
                <w:sz w:val="21"/>
                <w:szCs w:val="21"/>
                <w:color w:val="auto"/>
                <w:vertAlign w:val="superscript"/>
              </w:rPr>
              <w:t>(3)</w:t>
            </w: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left="660" w:right="640" w:hanging="328"/>
        <w:spacing w:after="0" w:line="261"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from continuing operations based on consolidated net revenue from continuing operations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12. “Segment Reporting” in our unaudited condensed consolidated financial statements included in Part I. Item 1. of this Form 10-Q.</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4" w:lineRule="exact"/>
        <w:rPr>
          <w:rFonts w:ascii="Times New Roman" w:cs="Times New Roman" w:eastAsia="Times New Roman" w:hAnsi="Times New Roman"/>
          <w:sz w:val="14"/>
          <w:szCs w:val="14"/>
          <w:color w:val="auto"/>
        </w:rPr>
      </w:pPr>
    </w:p>
    <w:p>
      <w:pPr>
        <w:jc w:val="both"/>
        <w:ind w:left="660" w:right="640" w:hanging="328"/>
        <w:spacing w:after="0" w:line="270"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a decrease of 0.5% and an increase of 0.6% from total comparable store sales growth from continuing operations based on consolidated net revenue from continuing operations for the three months ended September 28, 2024 and September 30, 2023, respectively.</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net revenue of $451.5 million for the three months ended September 28, 2024 increased $12.7 million, or 2.9%, from $438.8 million for the three months ended September 30, 2023. Approximately 110% of the increase was driven by growth from new store sales, approximately 30% of the increase was driven by Adjusted Comparable Store Sales Growth from continuing operations and 10% from the timing of unearned revenue, partially offset by approximately 20% from effects of converted and closed stores and 20% from lower e-commerce revenue.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Comparable store sales growth from continuing operations and Adjusted Comparable Store Sales Growth from continuing operations for the three months ended September 28, 2024 were 1.4% and 0.9%, respectively, both reflecting a higher average ticket and an increase in customer transactions.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28, 2024, we opened 18 America’s Best stores and closed two America’s Best and one Military store as a result of the host partner’s decision to cease its overall operations at the location. Overall, store count grew 4.9% from September 30, 2023 to September 28, 2024 (56 and three net new America’s Best and Eyeglass World stores were added, respectively, and one Military store closed). We also converted 20 Eyeglass World stores to America’s Best stores from September 30, 2023 to September 28, 2024.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 sales comprised 80.4% and 80.8% of total net revenue for the three months ended September 28, 2024 and September 30, 2023, respectively. Net product sales increased $8.6 million, or 2.4%, in the three months ended September 28, 2024 compared to the three months ended September 30, 2023, driven primarily by a $8.4 million, or 3.0% increase in eyeglass sales.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of services and plans for the three months ended September 28, 2024 increased $4.1 million, or 4.9%, compared to the three months ended September 30, 2023, driven primarily by higher eye exam revenues of $3.9 million, or 7.3%.</w:t>
      </w:r>
    </w:p>
    <w:p>
      <w:pPr>
        <w:spacing w:after="0" w:line="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$14.2 million, or 3.3%, driven primarily by new store openings and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partially offset by converted and closed stores.</w:t>
      </w:r>
    </w:p>
    <w:p>
      <w:pPr>
        <w:spacing w:after="0" w:line="5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The impact of reconciliations positively impacted net revenue by $1.5 million in the three months ended September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Net revenue was positively impacted by $1.7 million due to the timing of unearned revenue. Net revenue was negatively impacted by $0.2 million as a result of higher sales of club memberships, partially offset by higher recognition of product protection plan revenue in the three months ended September 28, 2024 compared to the three months ended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applicable to revenue of $189.9 million for the three months ended September 28, 2024 increased $6.1 million, or 3.3%, from $183.8 million for the three months ended September 30, 2023. As a percentage of net revenue, costs applicable to revenue increased from 41.9% for the three months ended September 30, 2023 to 42.1% for the three months ended September 28, 2024. This increase as a percentage of net revenue was primarily driven by growth in optometrist-related costs of 60 basis points and 10 basis points from other mix and margin effects. These costs were partially offset by a 50 basis point effect from higher exam revenue.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was 29.3% for the three months ended September 28, 2024 and 29.9% for the three months ended September 30, 2023, primarily driven by increased eyeglass mix and higher contact lens margin.</w:t>
      </w:r>
    </w:p>
    <w:p>
      <w:pPr>
        <w:spacing w:after="0" w:line="5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decreased from 28.8%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to 28.5% for the three months ended September 28, 2024, primarily driven by higher contact lens margin, partially offset by lower eyeglass mix.</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92.6% for the three months ended September 30, 2023 to 94.5% for the three months ended September 28, 2024. The increase was primarily driven by growth in optometrist-related costs, partially offset by higher eye exam revenue.</w:t>
      </w:r>
    </w:p>
    <w:p>
      <w:pPr>
        <w:spacing w:after="0" w:line="8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92.4%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30, 2023 to 94.2% for the three months ended September 28, 2024. The increase was primarily driven by growth in optometrist-related costs, partially offset by higher eye exam revenue.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of $234.0 million for the three months ended September 28, 2024 increased $6.5 million, or 2.8%, from the three months ended September 30, 2023. As a percentage of net revenue, SG&amp;A was 51.8% for the three months ended September 30, 2023 compared with 51.8% for the three months ended September 28, 2024. SG&amp;A as a percentage of net revenue was impacted by lower performance-based incentive compensation expense of 80 basis points, offset by higher payroll expense of 40 basis points and other operating expenses, including higher IT investments and occupancy expense.</w:t>
      </w:r>
    </w:p>
    <w:p>
      <w:pPr>
        <w:spacing w:after="0" w:line="70"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increased from 39.2% for the three months ended September 30, 2023 to 40.3%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28, 2024, primarily driven by an increase in payroll and other operating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Depreciation and amortization expense of $22.7 million for the three months ended September 28, 2024 increased $0.2 million, or 1.0%, from $22.5 million for the three months ended September 30, 2023 primarily driven by investments in remote medicine technology and new store openings, partially offset by lower depreciation of labs and distribution center.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$13.7 million primarily for impairment related to the Fred Meyer contracts and relationships intangible asset and tangible long-lived assets and ROU assets associated with our retail stores during the three months ended September 28, 2024, compared to $1.5 million impairment recognized during the three months ended September 30, 2023 for tangible long-lived assets and ROU assets associated with our retail stores. Refer to Part I. Item 1. Note 1. “Description of Business and Basis of Presentation” for more details on the Fred Meyer contracts and relationships intangible asset. The store asset impairment charge is related to our Owned &amp; Host segment driven by lower than projected customer sales volume, and other entity-specific assumptions, and also reflects the effects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store closure decisions made as part of the Company’s store optimization review in the current period.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was $4.1 million for the three months ended September 28, 2024, compared to $3.7 million for the three months ended September 30, 2023. The change was primarily a result of lower interest income on cash balances of $1.0 million, partially offset by lower interest expense on our debt of $0.8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effective tax rates for the three months ended September 28, 2024 and September 30, 2023 were 30.1% and (109.1)%, respectively. The change in effective tax rates reflects our statutory federal and state rates of 25.2% and 25.4%, respectively, tax impacts of consolidated VIEs, as well as effects of other permanent items.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(loss) from discontinued operations, net of tax of $(0.0) million for the three months ended September 28, 2024, increased $73.4 million from $(73.4) million for the three months ended September 30, 2023. Net revenue, costs applicable to revenue, SG&amp;A, and asset impairment from discontinued operations decreased by $93.6 million, $68.2 million, $22.4 million and $79.2 million, respectively, as compared to the three months ended September 30, 2023, primarily due to the prior year including the discontinued operations results and impairments of intangible assets and property and equipment related to our former Legacy and AC Lens segments prior to the Walmart MSA termination date and the wind-down of AC Lens operations. Income tax expense (benefit) decreased by $4.7 million, due to lower income (loss) before income taxes in the current period as compared to the prior year and the disallowance of the Legacy segment goodwill impairment loss for income tax purposes in the prior year period as well as other permanent items related to discontinued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28, 2024 compared to Nine Months Ended September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components of our operations met the requirements to be classified as discontinued operations. Refer to Part I. Item 1. Note 2. “Discontinued Operations” for information related to our discontinued operations. Unless otherwise noted, the discussion of U.S. GAAP results below is based on results from continuing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from continuing operations for the nine months ended September 28, 2024 compared to the nine months ended September 30,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Comparable store sales growth from</w:t>
            </w:r>
          </w:p>
        </w:tc>
        <w:tc>
          <w:tcPr>
            <w:tcW w:w="22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40" w:type="dxa"/>
            <w:vAlign w:val="bottom"/>
            <w:gridSpan w:val="4"/>
            <w:vMerge w:val="restart"/>
          </w:tcPr>
          <w:p>
            <w:pPr>
              <w:jc w:val="right"/>
              <w:ind w:right="784"/>
              <w:spacing w:after="0"/>
              <w:rPr>
                <w:sz w:val="20"/>
                <w:szCs w:val="20"/>
                <w:color w:val="auto"/>
              </w:rPr>
            </w:pPr>
            <w:r>
              <w:rPr>
                <w:rFonts w:ascii="Times New Roman" w:cs="Times New Roman" w:eastAsia="Times New Roman" w:hAnsi="Times New Roman"/>
                <w:sz w:val="14"/>
                <w:szCs w:val="14"/>
                <w:b w:val="1"/>
                <w:bCs w:val="1"/>
                <w:color w:val="auto"/>
              </w:rPr>
              <w:t>Net revenue</w:t>
            </w:r>
            <w:r>
              <w:rPr>
                <w:rFonts w:ascii="Times New Roman" w:cs="Times New Roman" w:eastAsia="Times New Roman" w:hAnsi="Times New Roman"/>
                <w:sz w:val="18"/>
                <w:szCs w:val="18"/>
                <w:b w:val="1"/>
                <w:bCs w:val="1"/>
                <w:color w:val="auto"/>
                <w:vertAlign w:val="superscript"/>
              </w:rPr>
              <w:t>(2)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4"/>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continuing operations</w:t>
            </w:r>
            <w:r>
              <w:rPr>
                <w:rFonts w:ascii="Times New Roman" w:cs="Times New Roman" w:eastAsia="Times New Roman" w:hAnsi="Times New Roman"/>
                <w:sz w:val="18"/>
                <w:szCs w:val="18"/>
                <w:b w:val="1"/>
                <w:bCs w:val="1"/>
                <w:color w:val="auto"/>
                <w:w w:val="99"/>
                <w:vertAlign w:val="superscript"/>
              </w:rPr>
              <w:t>(1)</w:t>
            </w:r>
          </w:p>
        </w:tc>
        <w:tc>
          <w:tcPr>
            <w:tcW w:w="22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40" w:type="dxa"/>
            <w:vAlign w:val="bottom"/>
            <w:gridSpan w:val="4"/>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1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 and</w:t>
            </w:r>
          </w:p>
        </w:tc>
        <w:tc>
          <w:tcPr>
            <w:tcW w:w="12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2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2"/>
                <w:szCs w:val="12"/>
                <w:color w:val="auto"/>
              </w:rPr>
            </w:pPr>
          </w:p>
        </w:tc>
        <w:tc>
          <w:tcPr>
            <w:tcW w:w="180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2340" w:type="dxa"/>
            <w:vAlign w:val="bottom"/>
            <w:gridSpan w:val="2"/>
            <w:vMerge w:val="continue"/>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store data</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7"/>
                <w:szCs w:val="17"/>
                <w:color w:val="auto"/>
              </w:rPr>
            </w:pPr>
          </w:p>
        </w:tc>
        <w:tc>
          <w:tcPr>
            <w:tcW w:w="100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9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20" w:type="dxa"/>
            <w:vAlign w:val="bottom"/>
          </w:tcPr>
          <w:p>
            <w:pPr>
              <w:spacing w:after="0"/>
              <w:rPr>
                <w:sz w:val="17"/>
                <w:szCs w:val="17"/>
                <w:color w:val="auto"/>
              </w:rPr>
            </w:pPr>
          </w:p>
        </w:tc>
        <w:tc>
          <w:tcPr>
            <w:tcW w:w="1800" w:type="dxa"/>
            <w:vAlign w:val="bottom"/>
            <w:gridSpan w:val="2"/>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01"/>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Owned &amp; Host segment</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America’s Best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1.7 %</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1,019</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943</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1,181,637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85.3 %</w:t>
            </w:r>
          </w:p>
        </w:tc>
        <w:tc>
          <w:tcPr>
            <w:tcW w:w="1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1,113,918</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83.4 %</w:t>
            </w:r>
          </w:p>
        </w:tc>
        <w:tc>
          <w:tcPr>
            <w:tcW w:w="0" w:type="dxa"/>
            <w:vAlign w:val="bottom"/>
          </w:tcPr>
          <w:p>
            <w:pPr>
              <w:spacing w:after="0"/>
              <w:rPr>
                <w:sz w:val="1"/>
                <w:szCs w:val="1"/>
                <w:color w:val="auto"/>
              </w:rPr>
            </w:pPr>
          </w:p>
        </w:tc>
      </w:tr>
      <w:tr>
        <w:trPr>
          <w:trHeight w:val="20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Eyeglass World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130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154,550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171,864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12.9 %</w:t>
            </w:r>
          </w:p>
        </w:tc>
        <w:tc>
          <w:tcPr>
            <w:tcW w:w="0" w:type="dxa"/>
            <w:vAlign w:val="bottom"/>
          </w:tcPr>
          <w:p>
            <w:pPr>
              <w:spacing w:after="0"/>
              <w:rPr>
                <w:sz w:val="1"/>
                <w:szCs w:val="1"/>
                <w:color w:val="auto"/>
              </w:rPr>
            </w:pPr>
          </w:p>
        </w:tc>
      </w:tr>
      <w:tr>
        <w:trPr>
          <w:trHeight w:val="20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Military</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2.3 %</w:t>
            </w: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17,369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17,506</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20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Fred Meyer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7,862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8,297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0" w:type="dxa"/>
            <w:vAlign w:val="bottom"/>
          </w:tcPr>
          <w:p>
            <w:pPr>
              <w:spacing w:after="0"/>
              <w:rPr>
                <w:sz w:val="1"/>
                <w:szCs w:val="1"/>
                <w:color w:val="auto"/>
              </w:rPr>
            </w:pPr>
          </w:p>
        </w:tc>
      </w:tr>
      <w:tr>
        <w:trPr>
          <w:trHeight w:val="19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Owned &amp; Host segment total</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1,231</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1,173</w:t>
            </w:r>
          </w:p>
        </w:tc>
        <w:tc>
          <w:tcPr>
            <w:tcW w:w="1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1,361,418</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98.2 %</w:t>
            </w:r>
          </w:p>
        </w:tc>
        <w:tc>
          <w:tcPr>
            <w:tcW w:w="10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1,311,585</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98.2 %</w:t>
            </w:r>
          </w:p>
        </w:tc>
        <w:tc>
          <w:tcPr>
            <w:tcW w:w="0" w:type="dxa"/>
            <w:vAlign w:val="bottom"/>
          </w:tcPr>
          <w:p>
            <w:pPr>
              <w:spacing w:after="0"/>
              <w:rPr>
                <w:sz w:val="1"/>
                <w:szCs w:val="1"/>
                <w:color w:val="auto"/>
              </w:rPr>
            </w:pPr>
          </w:p>
        </w:tc>
      </w:tr>
      <w:tr>
        <w:trPr>
          <w:trHeight w:val="20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Corporate/Other</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21,682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25,500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0" w:type="dxa"/>
            <w:vAlign w:val="bottom"/>
          </w:tcPr>
          <w:p>
            <w:pPr>
              <w:spacing w:after="0"/>
              <w:rPr>
                <w:sz w:val="1"/>
                <w:szCs w:val="1"/>
                <w:color w:val="auto"/>
              </w:rPr>
            </w:pPr>
          </w:p>
        </w:tc>
      </w:tr>
      <w:tr>
        <w:trPr>
          <w:trHeight w:val="20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0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2,942</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(1,667)</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21"/>
        </w:trPr>
        <w:tc>
          <w:tcPr>
            <w:tcW w:w="2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1,386,042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1,335,418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gridSpan w:val="2"/>
            <w:vMerge w:val="restart"/>
          </w:tcPr>
          <w:p>
            <w:pPr>
              <w:ind w:left="20"/>
              <w:spacing w:after="0" w:line="136" w:lineRule="exact"/>
              <w:rPr>
                <w:sz w:val="20"/>
                <w:szCs w:val="20"/>
                <w:color w:val="auto"/>
              </w:rPr>
            </w:pPr>
            <w:r>
              <w:rPr>
                <w:rFonts w:ascii="Times New Roman" w:cs="Times New Roman" w:eastAsia="Times New Roman" w:hAnsi="Times New Roman"/>
                <w:sz w:val="15"/>
                <w:szCs w:val="15"/>
                <w:color w:val="auto"/>
              </w:rPr>
              <w:t>Adjusted Comparable Store Sales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4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3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5"/>
                <w:szCs w:val="15"/>
                <w:color w:val="auto"/>
              </w:rPr>
              <w:t>Growth from continuing</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operations</w:t>
            </w:r>
            <w:r>
              <w:rPr>
                <w:rFonts w:ascii="Times New Roman" w:cs="Times New Roman" w:eastAsia="Times New Roman" w:hAnsi="Times New Roman"/>
                <w:sz w:val="19"/>
                <w:szCs w:val="19"/>
                <w:color w:val="auto"/>
                <w:vertAlign w:val="superscript"/>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2.3 %</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left="660" w:right="640" w:hanging="328"/>
        <w:spacing w:after="0" w:line="261"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from continuing operations based on consolidated net revenue from continuing operations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12. “Segment Reporting” in our unaudited condensed consolidated financial statements included in Part I. Item 1. of this Form 10-Q.</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14" w:lineRule="exact"/>
        <w:rPr>
          <w:rFonts w:ascii="Times New Roman" w:cs="Times New Roman" w:eastAsia="Times New Roman" w:hAnsi="Times New Roman"/>
          <w:sz w:val="14"/>
          <w:szCs w:val="14"/>
          <w:color w:val="auto"/>
        </w:rPr>
      </w:pPr>
    </w:p>
    <w:p>
      <w:pPr>
        <w:jc w:val="both"/>
        <w:ind w:left="660" w:right="660" w:hanging="328"/>
        <w:spacing w:after="0" w:line="262"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a decrease of 0.5% and a decrease of 0.1% from total comparable store sales growth from continuing operations based on consolidated net revenue from continuing operations for the nine months ended September 28, 2024 and September 30, 2023, respectively.</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net revenue of $1,386.0 million for the nine months ended September 28, 2024 increased $50.6 million, or 3.8%, from $1,335.4 million for the nine months ended September 30, 2023. Approximately 90% of the increase was driven by growth from new store sales, approximately 30% was driven by Adjusted Comparable Store Sales Growth from continuing operations, and approximately 10% from the timing of unearned revenue, partially offset by approximately 20% by effects of converted and closed stores and 10% from lower e-commerce revenue.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Comparable store sales growth from continuing operations and Adjusted Comparable Store Sales Growth from continuing operations for the nine months ended September 28, 2024 were 1.7% and 1.2%, respectively, both reflecting a higher average ticket and an increase in customer transactions.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28, 2024, we opened 46 new America’s Best stores and three Eyeglass World stores, closed four America’s Best stores, one Eyeglass World store, and one Military store as a result of the host partner’s decision to cease its overall operations at the location and converted 20 Eyeglass World stores to America’s Best stores. Overall, store count grew 4.9% from September 30, 2023 to September 28, 2024 (56 and three net new America’s Best and Eyeglass World stores, respectively, and one Military store closed). We also converted 20 Eyeglass World stores to America’s Best stores from September 30, 2023 to September 28,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 sales comprised 80.3% and 81.4% of total net revenue for the nine months ended September 28, 2024 and September 30, 2023, respectively. Net product sales increased $26.3 million, or 2.4%, in the nine months ended September 28, 2024 compared to the nine months ended September 30, 2023, primarily due to a $18.6 million, or 2.2%, increase in eyeglass sales and a $5.5 million, or 2.4%, increase in contact lens sales.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of services and plans for the nine months ended September 28, 2024 increased $24.3 million, or 9.8%, compared to the nine months ended September 30, 2023, driven primarily by higher exam revenues of $23.1 million, or 15.0%.</w:t>
      </w:r>
    </w:p>
    <w:p>
      <w:pPr>
        <w:spacing w:after="0" w:line="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$49.8 million, or 3.8%, driven primarily by new store openings and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partially offset by converted and closed stores.</w:t>
      </w:r>
    </w:p>
    <w:p>
      <w:pPr>
        <w:spacing w:after="0" w:line="5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The impact of reconciliations positively impacted net revenue by $4.6 million in the nine months ended September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nine months ended September 30, 2023. Net revenue was positively impacted by $4.5 million due to the timing of unearned revenue. Net revenue was positively impacted by $0.1 million primarily due to higher recognition of product protection plan revenue, partially offset by higher sales of club memberships in the nine months ended September 28, 2024 compared to the nine months ended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Costs applicable to revenue of $579.1 million for the nine months ended September 28, 2024 increased $28.8 million, or 5.2%, from $550.3 million for the nine months ended September 30, 2023. As a percentage of net revenue, costs applicable to revenue increased from 41.2% for the nine months ended September 30, 2023 to 41.8% for the nine months ended September 28, 2024. This increase as a percentage of net revenue was primarily driven by growth in optometrist-related costs of 80 basis points, lower eyeglass mix of 80 basis points, and other mix and margin effects of 20 basis points. These costs were partially offset by a 120 basis point effect from higher exam revenue.</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was 29.7% for the nine months ended September 30, 2023 and September 28, 2024 primarily driven by lower eyeglass mix, offset by other mix and margin effects.</w:t>
      </w:r>
    </w:p>
    <w:p>
      <w:pPr>
        <w:spacing w:after="0" w:line="106"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increased from 28.7%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to 28.8% for the nine months ended September 28, 2024, primarily driven by lower eyeglass mix, partially offset by other mix and margin effects.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decreased from 91.3% for the nine months ended September 30, 2023 to 91.0% for the nine months ended September 28, 2024. The decrease was primarily driven by higher exam revenue, partially offset by growth in optometrist-related costs.</w:t>
      </w:r>
    </w:p>
    <w:p>
      <w:pPr>
        <w:spacing w:after="0" w:line="134"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decreased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90.5% for the nine months ended September 30, 2023 to 90.2% for the nine months ended September 28, 2024. The decrease was primarily driven by higher exam revenue, partially offset by growth in optometrist-related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of $705.5 million for the nine months ended September 28, 2024 increased $26.4 million, or 3.9%, from the nine months ended September 30, 2023. As a percentage of net revenue, SG&amp;A was 50.9% for the nine months ended September 30, 2023 and September 28, 2024. SG&amp;A as a percentage of net revenue was impacted by increases in litigation settlement of 30 basis points, occupancy of 30 basis points and legal and professional expenses of 30 basis points, and were offset by decreases in performance-based incentive compensation of 90 basis points.</w:t>
      </w:r>
    </w:p>
    <w:p>
      <w:pPr>
        <w:spacing w:after="0" w:line="7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increased from 38.3% for the nine months ended September 30, 2023 to 39.1%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28, 2024, driven primarily by higher payroll and occupancy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$68.6 million for the nine months ended September 28, 2024 increased $2.1 million, or 3.1%, from $66.5 million for the nine months ended September 30, 2023 primarily driven by new store openings and investments in remote medicine technology, partially offset by lower depreciation of labs and distribution center.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$17.7 million primarily for impairment related to the Fred Meyer contracts and relationships intangible asset and tangible long-lived assets and ROU assets associated with our retail stores during the nine months ended September 28, 2024, compared to $2.7 million impairment recognized during the nine months ended September 30, 2023 for tangible long-lived assets and ROU assets associated with our retail stores. Refer to Part I. Item 1. Note 1. “Description of Business and Basis of Presentation” for more details on the Fred Meyer contracts and relationships intangible asset. The store asset impairment charge is related to our Owned &amp; Host segment and is driven by lower than projected customer sales volume in certain stores, and other entity-specific assumptions and also reflects the effects of certain store closure decisions made as part of the Company’s store optimization review in the current period.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net was $11.6 million for the nine months ended September 28, 2024, compared to $10.4 million for the nine months ended September 30, 2023. The change was primarily a result of lower derivative income of $2.0 million and lower income on cash balances of $1.7 million, partially offset by lower interest expense on our debt of $2.1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rates for the nine months ended September 28, 2024 and September 30, 2023 were 49.6% and 31.0%, respectively. The change in effective tax rates reflects our statutory federal and state rates of 25.2% and 25.4%, respectively, tax impacts of consolidated VIEs and non-deductible compensation expense as well as effects of other permanent items.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Income (loss) from discontinued operations, net of tax, of $(2.2) million for the nine months ended September 28, 2024, increased $66.0 million from $(68.2) million for the nine months ended September 30, 2023. Net revenue, costs applicable to revenue, SG&amp;A, and asset impairment from discontinued operations decreased by $153.2 million, $91.4 million and $41.5 million, and $79.2 million, respectively, as compared to the nine months ended September 30, 2023, primarily due to the current year including the discontinued operations results only for a partial period prior to the Walmart MSA termination date and the wind-down of AC Lens operations and impairments of intangible assets and property and equipment related to our former Legacy and AC Lens segments recorded in the third quarter of 2023. Income tax expense (benefit) decreased by $0.8 million, due to lower income (loss) before income taxes in the current period as compared to the prior year and the disallowance of the Legacy segment goodwill impairment loss for income tax purposes in the prior year period as well as other permanent items related to discontinued operation.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 Adjusted Operating Margin, EBITDA, Adjusted EBITDA, Adjusted EBITDA Margin and Adjusted Diluted EPS.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ERP and CRM implementation expenses and certain other expenses. We define Adjusted Operating Margin as Adjusted Operating Income as a percentage of net revenue. We define EBITDA as net income (loss), plus interest expense (income), net, income tax provision (benefit) and depreciation and amortization. 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and certain other expenses. We define Adjusted EBITDA Margin as Adjusted EBITDA as a percentage of net revenue. 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certain other expenses, less the tax effect of these adjustments, including tax expense (benefit) from stock-based compensation.</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(loss)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evaluate our use of the Company Non-GAAP measures in the context of the development of our business, and may introduce or discontinue certain measures in the future as we deem appropriate.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the interest expense (income), net, or the cash requirements necessary to service interest or principal payments, on our debt;</w:t>
      </w: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period to period changes in taxes, income tax provision or the cash necessary to pay income taxes;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of these limitations, EBITDA and the Company Non-GAAP Measures should not be considered as measures of discretionary cash available to invest in business growth or to reduce indebtedness.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reconciles our Adjusted Operating Income from continuing operations, Adjusted Operating Margin from continuing operations, EBITDA from continuing operations, Adjusted EBITDA from continuing operations, and Adjusted EBITDA Margin from continuing operations to net income (loss) from continuing operations; and Adjusted Diluted EPS from continuing operations to diluted EPS from continuing operations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Three Months Ended</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Nine Months Ended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September 28, 2024</w:t>
            </w:r>
          </w:p>
        </w:tc>
        <w:tc>
          <w:tcPr>
            <w:tcW w:w="180" w:type="dxa"/>
            <w:vAlign w:val="bottom"/>
          </w:tcPr>
          <w:p>
            <w:pPr>
              <w:spacing w:after="0"/>
              <w:rPr>
                <w:sz w:val="18"/>
                <w:szCs w:val="18"/>
                <w:color w:val="auto"/>
              </w:rPr>
            </w:pPr>
          </w:p>
        </w:tc>
        <w:tc>
          <w:tcPr>
            <w:tcW w:w="16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September 30, 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September 28, 2024</w:t>
            </w:r>
          </w:p>
        </w:tc>
        <w:tc>
          <w:tcPr>
            <w:tcW w:w="200" w:type="dxa"/>
            <w:vAlign w:val="bottom"/>
          </w:tcPr>
          <w:p>
            <w:pPr>
              <w:spacing w:after="0"/>
              <w:rPr>
                <w:sz w:val="18"/>
                <w:szCs w:val="18"/>
                <w:color w:val="auto"/>
              </w:rPr>
            </w:pPr>
          </w:p>
        </w:tc>
        <w:tc>
          <w:tcPr>
            <w:tcW w:w="17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September 30, 2023</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(73,798)</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(loss) from discontinued operations, net of</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(73,432)</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(68,199)</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5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(loss) from continuing operations, net of</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(8,440)</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18,285</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(Gain) loss on extinguishment of debt </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(c)</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w:t>
            </w:r>
            <w:r>
              <w:rPr>
                <w:rFonts w:ascii="Times New Roman" w:cs="Times New Roman" w:eastAsia="Times New Roman" w:hAnsi="Times New Roman"/>
                <w:sz w:val="21"/>
                <w:szCs w:val="21"/>
                <w:color w:val="auto"/>
                <w:vertAlign w:val="superscript"/>
              </w:rPr>
              <w:t>(d)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ERP and CRM implementation expenses </w:t>
            </w:r>
            <w:r>
              <w:rPr>
                <w:rFonts w:ascii="Times New Roman" w:cs="Times New Roman" w:eastAsia="Times New Roman" w:hAnsi="Times New Roman"/>
                <w:sz w:val="21"/>
                <w:szCs w:val="21"/>
                <w:color w:val="auto"/>
                <w:vertAlign w:val="superscript"/>
              </w:rPr>
              <w:t>(g)</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(h)</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142"/>
        </w:trPr>
        <w:tc>
          <w:tcPr>
            <w:tcW w:w="350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Adjusted Operating Income from continuing</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b w:val="1"/>
                <w:bCs w:val="1"/>
                <w:color w:val="auto"/>
              </w:rPr>
              <w:t>operations / Adjusted Operating Margin from</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14,294</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62,261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56,634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194"/>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-104775</wp:posOffset>
            </wp:positionV>
            <wp:extent cx="625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-104775</wp:posOffset>
            </wp:positionV>
            <wp:extent cx="5829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-104775</wp:posOffset>
            </wp:positionV>
            <wp:extent cx="6172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-104775</wp:posOffset>
            </wp:positionV>
            <wp:extent cx="617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6"/>
          <w:szCs w:val="16"/>
          <w:i w:val="1"/>
          <w:iCs w:val="1"/>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280" w:type="dxa"/>
            <w:vAlign w:val="bottom"/>
            <w:tcBorders>
              <w:top w:val="single" w:sz="8" w:color="0000FF"/>
            </w:tcBorders>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8"/>
                <w:szCs w:val="18"/>
                <w:color w:val="auto"/>
                <w:w w:val="97"/>
              </w:rPr>
              <w:t>Nine Months Ended</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9"/>
                <w:szCs w:val="19"/>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28, 2024</w:t>
            </w:r>
          </w:p>
        </w:tc>
        <w:tc>
          <w:tcPr>
            <w:tcW w:w="200" w:type="dxa"/>
            <w:vAlign w:val="bottom"/>
          </w:tcPr>
          <w:p>
            <w:pPr>
              <w:spacing w:after="0"/>
              <w:rPr>
                <w:sz w:val="19"/>
                <w:szCs w:val="19"/>
                <w:color w:val="auto"/>
              </w:rPr>
            </w:pPr>
          </w:p>
        </w:tc>
        <w:tc>
          <w:tcPr>
            <w:tcW w:w="1680" w:type="dxa"/>
            <w:vAlign w:val="bottom"/>
            <w:gridSpan w:val="3"/>
          </w:tcPr>
          <w:p>
            <w:pPr>
              <w:jc w:val="right"/>
              <w:ind w:right="131"/>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September 28, 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5"/>
          </w:tcPr>
          <w:p>
            <w:pPr>
              <w:jc w:val="right"/>
              <w:ind w:right="171"/>
              <w:spacing w:after="0"/>
              <w:rPr>
                <w:sz w:val="20"/>
                <w:szCs w:val="20"/>
                <w:color w:val="auto"/>
              </w:rPr>
            </w:pPr>
            <w:r>
              <w:rPr>
                <w:rFonts w:ascii="Times New Roman" w:cs="Times New Roman" w:eastAsia="Times New Roman" w:hAnsi="Times New Roman"/>
                <w:sz w:val="18"/>
                <w:szCs w:val="18"/>
                <w:color w:val="auto"/>
              </w:rPr>
              <w:t>September 30, 2023</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from discontinued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operations, net of tax</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(73,432)</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(78.5) %</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4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(68,199)</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0" w:type="dxa"/>
            <w:vAlign w:val="bottom"/>
          </w:tcPr>
          <w:p>
            <w:pPr>
              <w:spacing w:after="0"/>
              <w:rPr>
                <w:sz w:val="1"/>
                <w:szCs w:val="1"/>
                <w:color w:val="auto"/>
              </w:rPr>
            </w:pPr>
          </w:p>
        </w:tc>
      </w:tr>
      <w:tr>
        <w:trPr>
          <w:trHeight w:val="156"/>
        </w:trPr>
        <w:tc>
          <w:tcPr>
            <w:tcW w:w="31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(loss) from continuing</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 net of tax</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4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1.4 %</w:t>
            </w:r>
          </w:p>
        </w:tc>
        <w:tc>
          <w:tcPr>
            <w:tcW w:w="0" w:type="dxa"/>
            <w:vAlign w:val="bottom"/>
          </w:tcPr>
          <w:p>
            <w:pPr>
              <w:spacing w:after="0"/>
              <w:rPr>
                <w:sz w:val="1"/>
                <w:szCs w:val="1"/>
                <w:color w:val="auto"/>
              </w:rPr>
            </w:pPr>
          </w:p>
        </w:tc>
      </w:tr>
      <w:tr>
        <w:trPr>
          <w:trHeight w:val="22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0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0.8 %</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10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0.6 %</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22,690</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68,603</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66,521</w:t>
            </w:r>
          </w:p>
        </w:tc>
        <w:tc>
          <w:tcPr>
            <w:tcW w:w="1000" w:type="dxa"/>
            <w:vAlign w:val="bottom"/>
            <w:tcBorders>
              <w:bottom w:val="single" w:sz="8" w:color="CCEEFF"/>
            </w:tcBorders>
          </w:tcPr>
          <w:p>
            <w:pPr>
              <w:jc w:val="center"/>
              <w:ind w:left="451"/>
              <w:spacing w:after="0"/>
              <w:rPr>
                <w:sz w:val="20"/>
                <w:szCs w:val="20"/>
                <w:color w:val="auto"/>
              </w:rPr>
            </w:pPr>
            <w:r>
              <w:rPr>
                <w:rFonts w:ascii="Times New Roman" w:cs="Times New Roman" w:eastAsia="Times New Roman" w:hAnsi="Times New Roman"/>
                <w:sz w:val="18"/>
                <w:szCs w:val="18"/>
                <w:color w:val="auto"/>
                <w:w w:val="99"/>
              </w:rPr>
              <w:t>5.0 %</w:t>
            </w:r>
          </w:p>
        </w:tc>
        <w:tc>
          <w:tcPr>
            <w:tcW w:w="0" w:type="dxa"/>
            <w:vAlign w:val="bottom"/>
          </w:tcPr>
          <w:p>
            <w:pPr>
              <w:spacing w:after="0"/>
              <w:rPr>
                <w:sz w:val="1"/>
                <w:szCs w:val="1"/>
                <w:color w:val="auto"/>
              </w:rPr>
            </w:pPr>
          </w:p>
        </w:tc>
      </w:tr>
      <w:tr>
        <w:trPr>
          <w:trHeight w:val="223"/>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84,674</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103,429</w:t>
            </w:r>
          </w:p>
        </w:tc>
        <w:tc>
          <w:tcPr>
            <w:tcW w:w="10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7.7 %</w:t>
            </w:r>
          </w:p>
        </w:tc>
        <w:tc>
          <w:tcPr>
            <w:tcW w:w="0" w:type="dxa"/>
            <w:vAlign w:val="bottom"/>
          </w:tcPr>
          <w:p>
            <w:pPr>
              <w:spacing w:after="0"/>
              <w:rPr>
                <w:sz w:val="1"/>
                <w:szCs w:val="1"/>
                <w:color w:val="auto"/>
              </w:rPr>
            </w:pPr>
          </w:p>
        </w:tc>
      </w:tr>
      <w:tr>
        <w:trPr>
          <w:trHeight w:val="270"/>
        </w:trPr>
        <w:tc>
          <w:tcPr>
            <w:tcW w:w="312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1.1 %</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extinguishment of debt </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0.2 %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ERP and CRM implementation expenses</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42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173</w:t>
            </w:r>
          </w:p>
        </w:tc>
        <w:tc>
          <w:tcPr>
            <w:tcW w:w="1000" w:type="dxa"/>
            <w:vAlign w:val="bottom"/>
            <w:vMerge w:val="restart"/>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0.0 %</w:t>
            </w: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w:t>
            </w: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0" w:type="dxa"/>
            <w:vAlign w:val="bottom"/>
            <w:tcBorders>
              <w:bottom w:val="single" w:sz="8" w:color="CCEEFF"/>
            </w:tcBorders>
          </w:tcPr>
          <w:p>
            <w:pPr>
              <w:jc w:val="center"/>
              <w:ind w:left="451"/>
              <w:spacing w:after="0"/>
              <w:rPr>
                <w:sz w:val="20"/>
                <w:szCs w:val="20"/>
                <w:color w:val="auto"/>
              </w:rPr>
            </w:pPr>
            <w:r>
              <w:rPr>
                <w:rFonts w:ascii="Times New Roman" w:cs="Times New Roman" w:eastAsia="Times New Roman" w:hAnsi="Times New Roman"/>
                <w:sz w:val="18"/>
                <w:szCs w:val="18"/>
                <w:color w:val="auto"/>
                <w:w w:val="99"/>
              </w:rPr>
              <w:t>0.1 %</w:t>
            </w:r>
          </w:p>
        </w:tc>
        <w:tc>
          <w:tcPr>
            <w:tcW w:w="0" w:type="dxa"/>
            <w:vAlign w:val="bottom"/>
          </w:tcPr>
          <w:p>
            <w:pPr>
              <w:spacing w:after="0"/>
              <w:rPr>
                <w:sz w:val="1"/>
                <w:szCs w:val="1"/>
                <w:color w:val="auto"/>
              </w:rPr>
            </w:pPr>
          </w:p>
        </w:tc>
      </w:tr>
      <w:tr>
        <w:trPr>
          <w:trHeight w:val="156"/>
        </w:trPr>
        <w:tc>
          <w:tcPr>
            <w:tcW w:w="31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Adjusted EBITDA from continuing</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2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b w:val="1"/>
                <w:bCs w:val="1"/>
                <w:color w:val="auto"/>
              </w:rPr>
              <w:t>operations / Adjusted EBITDA</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129,720</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122,011</w:t>
            </w: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Margin from continuing operations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gridSpan w:val="2"/>
            <w:vMerge w:val="continue"/>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gridSpan w:val="4"/>
            <w:vMerge w:val="continue"/>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9.1 %</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300" w:type="dxa"/>
            <w:vAlign w:val="bottom"/>
            <w:gridSpan w:val="7"/>
          </w:tcPr>
          <w:p>
            <w:pPr>
              <w:ind w:left="140"/>
              <w:spacing w:after="0" w:line="85" w:lineRule="exact"/>
              <w:rPr>
                <w:sz w:val="20"/>
                <w:szCs w:val="20"/>
                <w:color w:val="auto"/>
              </w:rPr>
            </w:pPr>
            <w:r>
              <w:rPr>
                <w:rFonts w:ascii="Times New Roman" w:cs="Times New Roman" w:eastAsia="Times New Roman" w:hAnsi="Times New Roman"/>
                <w:sz w:val="9"/>
                <w:szCs w:val="9"/>
                <w:i w:val="1"/>
                <w:iCs w:val="1"/>
                <w:color w:val="auto"/>
              </w:rPr>
              <w:t>Note: Percentages reflect line item as a percentage of net revenue, adjusted for rounding.</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300" w:type="dxa"/>
            <w:vAlign w:val="bottom"/>
            <w:gridSpan w:val="7"/>
          </w:tcPr>
          <w:p>
            <w:pPr>
              <w:ind w:left="14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69"/>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3"/>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4"/>
                <w:szCs w:val="14"/>
                <w:color w:val="auto"/>
              </w:rPr>
            </w:pPr>
          </w:p>
        </w:tc>
        <w:tc>
          <w:tcPr>
            <w:tcW w:w="1280" w:type="dxa"/>
            <w:vAlign w:val="bottom"/>
            <w:gridSpan w:val="5"/>
          </w:tcPr>
          <w:p>
            <w:pPr>
              <w:ind w:left="10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80" w:type="dxa"/>
            <w:vAlign w:val="bottom"/>
          </w:tcPr>
          <w:p>
            <w:pPr>
              <w:spacing w:after="0"/>
              <w:rPr>
                <w:sz w:val="14"/>
                <w:szCs w:val="14"/>
                <w:color w:val="auto"/>
              </w:rPr>
            </w:pPr>
          </w:p>
        </w:tc>
        <w:tc>
          <w:tcPr>
            <w:tcW w:w="1260" w:type="dxa"/>
            <w:vAlign w:val="bottom"/>
            <w:gridSpan w:val="2"/>
          </w:tcPr>
          <w:p>
            <w:pPr>
              <w:jc w:val="right"/>
              <w:ind w:right="11"/>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3"/>
        </w:trPr>
        <w:tc>
          <w:tcPr>
            <w:tcW w:w="31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21"/>
                <w:szCs w:val="21"/>
                <w:color w:val="auto"/>
              </w:rPr>
            </w:pPr>
          </w:p>
        </w:tc>
        <w:tc>
          <w:tcPr>
            <w:tcW w:w="136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Diluted EPS from discontinued operations</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2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Diluted EPS from continuing operations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5"/>
              </w:rPr>
              <w:t>0.23</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5"/>
              </w:rPr>
              <w:t>0.18</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extinguishment of debt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5"/>
              </w:rPr>
              <w:t>0.03</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6"/>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 and deferred financing costs </w:t>
            </w:r>
            <w:r>
              <w:rPr>
                <w:rFonts w:ascii="Times New Roman" w:cs="Times New Roman" w:eastAsia="Times New Roman" w:hAnsi="Times New Roman"/>
                <w:sz w:val="23"/>
                <w:szCs w:val="23"/>
                <w:color w:val="auto"/>
                <w:vertAlign w:val="superscript"/>
              </w:rPr>
              <w:t>(e)</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5"/>
              </w:rPr>
              <w:t>0.03</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 fair value adjustments </w:t>
            </w:r>
            <w:r>
              <w:rPr>
                <w:rFonts w:ascii="Times New Roman" w:cs="Times New Roman" w:eastAsia="Times New Roman" w:hAnsi="Times New Roman"/>
                <w:sz w:val="23"/>
                <w:szCs w:val="23"/>
                <w:color w:val="auto"/>
                <w:vertAlign w:val="superscript"/>
              </w:rPr>
              <w:t>(f)</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5"/>
              </w:rPr>
              <w:t>0.08</w:t>
            </w: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(g)</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5"/>
              </w:rPr>
              <w:t>0.00</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5"/>
              </w:rPr>
              <w:t>0.03</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effects </w:t>
            </w:r>
            <w:r>
              <w:rPr>
                <w:rFonts w:ascii="Times New Roman" w:cs="Times New Roman" w:eastAsia="Times New Roman" w:hAnsi="Times New Roman"/>
                <w:sz w:val="23"/>
                <w:szCs w:val="23"/>
                <w:color w:val="auto"/>
                <w:vertAlign w:val="superscript"/>
              </w:rPr>
              <w:t>(i)</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 from continuing operations</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5"/>
              </w:rPr>
              <w:t>0.51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10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78,747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78,646</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i w:val="1"/>
          <w:iCs w:val="1"/>
          <w:color w:val="auto"/>
        </w:rPr>
        <w:t>Note: Some of the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27" w:lineRule="exact"/>
        <w:rPr>
          <w:rFonts w:ascii="Times New Roman" w:cs="Times New Roman" w:eastAsia="Times New Roman" w:hAnsi="Times New Roman"/>
          <w:sz w:val="14"/>
          <w:szCs w:val="14"/>
          <w:color w:val="auto"/>
        </w:rPr>
      </w:pPr>
    </w:p>
    <w:p>
      <w:pPr>
        <w:ind w:left="660" w:right="640" w:hanging="328"/>
        <w:spacing w:after="0" w:line="254"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28, 2024, reflects the gain on extinguishment related to the repurchase of $217.7 million of the 2025 Notes on August 12, 2024.</w:t>
      </w:r>
    </w:p>
    <w:p>
      <w:pPr>
        <w:spacing w:after="0" w:line="170" w:lineRule="exact"/>
        <w:rPr>
          <w:rFonts w:ascii="Times New Roman" w:cs="Times New Roman" w:eastAsia="Times New Roman" w:hAnsi="Times New Roman"/>
          <w:sz w:val="14"/>
          <w:szCs w:val="14"/>
          <w:color w:val="auto"/>
        </w:rPr>
      </w:pPr>
    </w:p>
    <w:p>
      <w:pPr>
        <w:jc w:val="both"/>
        <w:ind w:left="660" w:right="660" w:hanging="328"/>
        <w:spacing w:after="0" w:line="260" w:lineRule="auto"/>
        <w:tabs>
          <w:tab w:leader="none" w:pos="6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related to non-cash impairment charges of long-lived assets, primarily impairment of Fred Meyer contracts and relationships intangible asset of $10.5 million for the three and nine months ended September 28, 2024, and impairment of property, equipment and lease-related assets on closed or underperforming stores and certain store closure decisions made as part of the Company’s store optimization review in the current period.</w:t>
      </w: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certain litigation.</w:t>
      </w:r>
    </w:p>
    <w:p>
      <w:pPr>
        <w:spacing w:after="0" w:line="14" w:lineRule="exact"/>
        <w:rPr>
          <w:rFonts w:ascii="Times New Roman" w:cs="Times New Roman" w:eastAsia="Times New Roman" w:hAnsi="Times New Roman"/>
          <w:sz w:val="14"/>
          <w:szCs w:val="14"/>
          <w:color w:val="auto"/>
        </w:rPr>
      </w:pPr>
    </w:p>
    <w:p>
      <w:pPr>
        <w:ind w:left="660" w:right="660" w:hanging="328"/>
        <w:spacing w:after="0" w:line="251" w:lineRule="auto"/>
        <w:tabs>
          <w:tab w:leader="none" w:pos="6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jc w:val="both"/>
        <w:ind w:left="660" w:right="660" w:hanging="328"/>
        <w:spacing w:after="0" w:line="261" w:lineRule="auto"/>
        <w:tabs>
          <w:tab w:leader="none" w:pos="65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Company’s ERP and CRM implementation.</w:t>
      </w:r>
    </w:p>
    <w:p>
      <w:pPr>
        <w:spacing w:after="0" w:line="4" w:lineRule="exact"/>
        <w:rPr>
          <w:rFonts w:ascii="Times New Roman" w:cs="Times New Roman" w:eastAsia="Times New Roman" w:hAnsi="Times New Roman"/>
          <w:sz w:val="14"/>
          <w:szCs w:val="14"/>
          <w:color w:val="auto"/>
        </w:rPr>
      </w:pPr>
    </w:p>
    <w:p>
      <w:pPr>
        <w:jc w:val="both"/>
        <w:ind w:left="660" w:right="640" w:hanging="328"/>
        <w:spacing w:after="0" w:line="257"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$1.5 million and $5.7 million for the three and nine months ended September 28, 2024, respectively, costs associated with the store fleet review of $1.1 million for the three and nine months ended September 28, 2024, and other expenses and adjustments. Other adjustments for both Adjusted Operating Income and Adjusted Diluted EPS include amortization of the increase in carrying values of finite-lived intangible assets resulting from the application of purchase accounting following the acquisition of the Company by affiliates of KKR &amp; Co. Inc. Adjusted Diluted EPS is also adjusted to include debt issuance costs.</w:t>
      </w:r>
    </w:p>
    <w:p>
      <w:pPr>
        <w:spacing w:after="0" w:line="1" w:lineRule="exact"/>
        <w:rPr>
          <w:rFonts w:ascii="Times New Roman" w:cs="Times New Roman" w:eastAsia="Times New Roman" w:hAnsi="Times New Roman"/>
          <w:sz w:val="14"/>
          <w:szCs w:val="14"/>
          <w:color w:val="auto"/>
        </w:rPr>
      </w:pPr>
    </w:p>
    <w:p>
      <w:pPr>
        <w:ind w:left="660" w:right="660" w:hanging="328"/>
        <w:spacing w:after="0" w:line="283" w:lineRule="auto"/>
        <w:tabs>
          <w:tab w:leader="none" w:pos="64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 including tax expense (benefit) from stock-based compensation.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Loans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as well as modifications to our Term Loan A where possible.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recently established an incremental term loan in the amount of $115.0 million and used the proceeds of this borrowing in addition to cash on hand to repurchase $217.7 million of aggregate principal amount of the 2025 Notes. Refer to Part I. Item 1. Note 6. “Debt” for more information. Depending on market conditions and other factors, we may elect to repurchase all or a significant portion of our 2025 Notes outstanding principal balance of $84.8 million prior to their maturity on May 15, 2025, utilizing cash on hand and/or one or more of the additional liquidity sources noted above.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28, 2024, we had $81.2 million in cash and cash equivalents and $293.6 million of availability under our Revolving Loans, which includes $6.4 million in outstanding letters of credit.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28, 2024, we had $257.5 million of Term Loan A outstanding under our credit agreement. We were in compliance with all covenants related to our debt as of September 28, 2024.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for) operating activities, investing activities and financing activities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2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9"/>
                <w:szCs w:val="19"/>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28, 2024</w:t>
            </w:r>
          </w:p>
        </w:tc>
        <w:tc>
          <w:tcPr>
            <w:tcW w:w="200" w:type="dxa"/>
            <w:vAlign w:val="bottom"/>
          </w:tcPr>
          <w:p>
            <w:pPr>
              <w:spacing w:after="0"/>
              <w:rPr>
                <w:sz w:val="19"/>
                <w:szCs w:val="19"/>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09"/>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for):</w:t>
            </w:r>
          </w:p>
        </w:tc>
        <w:tc>
          <w:tcPr>
            <w:tcW w:w="2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153,272</w:t>
            </w: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(82,579)</w:t>
            </w:r>
          </w:p>
        </w:tc>
      </w:tr>
      <w:tr>
        <w:trPr>
          <w:trHeight w:val="230"/>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(34,165)</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provided by operating activities decreased by $49.9 million to $103.4 million, during the nine months ended September 28, 2024 from $153.3 million for the nine months ended September 30, 2023 as a result of a decrease in non-cash reconciling items of $77.2 million and changes in net working capital and other assets and liabilities of $22.8 million, partially offset by an increase in net income of $50.0 million compared to the nine months ended September 30, 2023. Both the increase in net income and decrease in non-cash adjustments were primarily driven by the termination of the Walmart partnership and related impairment charges of $79.4 million in the prior year period, partially offset by impairments of long-lived assets and intangible assets of $17.9 million in the current year period.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Decreases in other liabilities during the nine months ended September 28, 2024 used $52.2 million in year-over-year cash, primarily due to decreases in compensation-related accruals. Decreases in accounts payable used $25.6 million in year-over-year cash. These were partially offset by decreases in trade receivables, which contributed $37.0 million in year-over-year cash and decreases in inventories which contributed $29.0 million in year-over-year cash during the nine months ended September 28, 2024, compared to the nine months ended September 30, 2023. These changes in working capital during the nine months ended September 28, 2024 are primarily a result of the AC Lens wind down and the Walmart partnership termination.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decreased by $20.2 million, to $62.4 million, during the nine months ended September 28, 2024 from $82.6 million during the nine months ended September 30, 2023. The year-over-year decrease was primarily due to lower investments in doctor and in-store lab equipment, new stores, and labs and distribution center.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Financing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was $109.4 million during the nine months ended September 28, 2024 as compared to $34.2 million during the nine months ended September 30, 2023. The $75.2 million year-over-year increase in cash used for financing activities was primarily due to an increase in principal payments of debt due to the repurchase of the $217.7 million aggregate principal amount of the 2025 Notes for an aggregate cash repurchase price of $215.0 million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increase was partially offset by an increase in proceeds from long-term debt related to the additional borrowings of $115.0 million and a decrease in purchases of treasury stock of $24.8 million during the nine months ended September 28,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23, 2024, the Board of Directors authorized the Company to repurchase up to $50 million aggregate amount of shares of the Company’s common stock until January 3, 2026. As of September 28, 2024, $50 million remains available under the share repurchase authorization. During the nine months ended September 30, 2023, the Company repurchased 1.1 million shares of its common stock for $25.0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outside the ordinary course of business in our material cash requirements and commercial commitments from those reported in the 2023 Annual Report on Form 10-K.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endeavors. We have disclosed the amount of future commitments associated with these items in the 2023 Annual Report on Form 10-K. We are not a party to any other material off-balance sheet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2023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2023 Annual Report on Form 10-K. Refer to Note 5. “Fair Value Measurement” for information on estimates related to the valuation of our Fred Meyer contracts and relationships intangible asset.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due to recently issued or adopted accounting standards since those disclosed in our 2023 Annual Report on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5. “Fair Value Measurement” and Note 7. “Interest Rate Derivatives” to our unaudited condensed consolidated financial statements included in Part I. Item 1. of this Form 10-Q.</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28, 2024, $257.5 million of term loan borrowings were subject to variable interest rates, and we had total borrowings of $342.3 million with a weighted average borrowing rate of 6.9%. Our interest rate collar matured on July 18, 2024 and our variable interest rate term loan borrowings are exposed to changes in market rates. A 1.0% increase in market rates would result in a $2.6 million increase in annual interest expense. For more information about quantitative and qualitative disclosures about market risk, please see Item 7A. “Quantitative and Qualitative Disclosures About Market Risk” in Part II. of the 2023 Annual Report on Form 10-K.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September 28, 2024.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of the Exchange Act) that occurred during the third quarter of fiscal year 2024 that have materially affected, or are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Note 11.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information regarding factors that could affect the Company’s results of operations, financial condition and liquidity, see the risk factors discussed in Part I. Item 1A. “Risk Factors” in our 2023 Annual Report on Form 10-K. There have been no material changes to the risk factors described in our 2023 Annual Report on Form 10-K.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8"/>
        <w:spacing w:after="0" w:line="266" w:lineRule="auto"/>
        <w:tabs>
          <w:tab w:leader="none" w:pos="2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28, 2024, none of the Company’s directors or officers (as defined in Rule 16a-1(f) of the Exchange Act) adopted, terminated or modified a “Rule 10b5-1 trading arrangement” or “non-Rule 10b5-1 trading arrangement” (as such terms are defined in Item 408(a) of Regulation S-K).</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668"/>
        </w:trPr>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2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3"/>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83"/>
        </w:trPr>
        <w:tc>
          <w:tcPr>
            <w:tcW w:w="34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Third Amended and Restated Certificate of Incorporation of National Vision Holdings, Inc. - incorporated herein by reference to</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3.1 to the Company’s Current Report on Form 8-K filed on June 10, 2021.</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Fourth Amended and Restated Bylaws of National Vision Holdings, Inc. - incorporated herein by reference to Exhibit 3.1 to the</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Company’s Current Report on Form 8-K filed on December 12, 2023.</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w w:val="95"/>
              </w:rPr>
            </w:pPr>
            <w:hyperlink r:id="rId7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Joinder Agreement, dated as of August 9, 2024, among Nautilus Acquisition Holdings, Inc., National Vision, Inc., the other credit</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7"/>
                <w:szCs w:val="17"/>
                <w:color w:val="auto"/>
              </w:rPr>
              <w:t>parties party thereto, the lenders party thereto and Bank of America, N.A., as administrative agent and collateral agent - incorporated</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herein by reference to Exhibit 10.1 to the Company’s Current Report on Form 8-K filed on August 9, 2024.</w:t>
            </w:r>
          </w:p>
        </w:tc>
      </w:tr>
      <w:tr>
        <w:trPr>
          <w:trHeight w:val="194"/>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 (filed herewith).</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 (filed herewith).</w:t>
            </w:r>
          </w:p>
        </w:tc>
      </w:tr>
      <w:tr>
        <w:trPr>
          <w:trHeight w:val="209"/>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Oxley Act of 2002 (furnished herewith).</w:t>
            </w:r>
          </w:p>
        </w:tc>
      </w:tr>
      <w:tr>
        <w:trPr>
          <w:trHeight w:val="194"/>
        </w:trPr>
        <w:tc>
          <w:tcPr>
            <w:tcW w:w="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Certification of Chief Financial Officer Pursuant to 18 U.S.C. Section 1350 as Adopted Pursuant to Section 906 of the Sarbanes-Oxley</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Act of 2002 (furnished herewith).</w:t>
            </w:r>
          </w:p>
        </w:tc>
      </w:tr>
      <w:tr>
        <w:trPr>
          <w:trHeight w:val="180"/>
        </w:trPr>
        <w:tc>
          <w:tcPr>
            <w:tcW w:w="20" w:type="dxa"/>
            <w:vAlign w:val="bottom"/>
          </w:tcPr>
          <w:p>
            <w:pPr>
              <w:spacing w:after="0"/>
              <w:rPr>
                <w:sz w:val="15"/>
                <w:szCs w:val="15"/>
                <w:color w:val="auto"/>
              </w:rPr>
            </w:pPr>
          </w:p>
        </w:tc>
        <w:tc>
          <w:tcPr>
            <w:tcW w:w="14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embedded within Inline XBRL document.</w:t>
            </w:r>
          </w:p>
        </w:tc>
      </w:tr>
      <w:tr>
        <w:trPr>
          <w:trHeight w:val="233"/>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520" w:right="20" w:hanging="1494"/>
        <w:spacing w:after="0" w:line="234"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Company’s Quarterly report on Form 10-Q for the quarter ended September 28, 2024,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52" w:lineRule="exact"/>
        <w:rPr>
          <w:sz w:val="20"/>
          <w:szCs w:val="20"/>
          <w:color w:val="auto"/>
        </w:rPr>
      </w:pPr>
    </w:p>
    <w:p>
      <w:pPr>
        <w:ind w:left="20"/>
        <w:spacing w:after="0"/>
        <w:tabs>
          <w:tab w:leader="none" w:pos="5520" w:val="left"/>
          <w:tab w:leader="none" w:pos="602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ind w:left="20"/>
        <w:spacing w:after="0"/>
        <w:tabs>
          <w:tab w:leader="none" w:pos="5520" w:val="left"/>
          <w:tab w:leader="none" w:pos="602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By:</w:t>
        <w:tab/>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00"/>
          </w:cols>
          <w:pgMar w:left="320" w:top="121" w:right="3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28, 2024 of National Vision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3660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Melissa Rasmussen, certify that:</w:t>
      </w:r>
    </w:p>
    <w:p>
      <w:pPr>
        <w:spacing w:after="0" w:line="252"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28, 2024 of National Vision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Vision Holdings, Inc. (the “Company”) on Form 10-Q for the quarterly period ended September 28, 2024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3660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National Vision Holdings, Inc. (the “Company”) on Form 10-Q for the quarterly period ended September 28, 2024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spacing w:after="0" w:line="185"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69" Type="http://schemas.openxmlformats.org/officeDocument/2006/relationships/hyperlink" Target="https://www.sec.gov/Archives/edgar/data/1710155/000171015521000036/nationalvision-thirdamende.htm" TargetMode="External"/><Relationship Id="rId70" Type="http://schemas.openxmlformats.org/officeDocument/2006/relationships/hyperlink" Target="https://www.sec.gov/Archives/edgar/data/1710155/000171015523000063/ex31eye-bylawamendmentsnov.htm" TargetMode="External"/><Relationship Id="rId71" Type="http://schemas.openxmlformats.org/officeDocument/2006/relationships/hyperlink" Target="https://www.sec.gov/Archives/edgar/data/1710155/000110465924087777/tm242119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2024-11-06T05:24:24Z</dcterms:created>
  <dcterms:modified xsi:type="dcterms:W3CDTF">2024-11-06T05:24:24Z</dcterms:modified>
</cp:coreProperties>
</file>