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5"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8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6"/>
          <w:szCs w:val="16"/>
          <w:b w:val="1"/>
          <w:bCs w:val="1"/>
          <w:color w:val="auto"/>
        </w:rPr>
        <w:t>For the quarterly period ended April 1, 2023</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7"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ind w:left="4100"/>
        <w:spacing w:after="0"/>
        <w:tabs>
          <w:tab w:leader="none" w:pos="6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113"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30" w:lineRule="exact"/>
        <w:rPr>
          <w:sz w:val="24"/>
          <w:szCs w:val="24"/>
          <w:color w:val="auto"/>
        </w:rPr>
      </w:pPr>
    </w:p>
    <w:tbl>
      <w:tblPr>
        <w:tblLayout w:type="fixed"/>
        <w:tblInd w:w="1840" w:type="dxa"/>
        <w:tblCellMar>
          <w:top w:w="0" w:type="dxa"/>
          <w:left w:w="0" w:type="dxa"/>
          <w:bottom w:w="0" w:type="dxa"/>
          <w:right w:w="0" w:type="dxa"/>
        </w:tblCellMar>
      </w:tblPr>
      <w:tr>
        <w:trPr>
          <w:trHeight w:val="210"/>
        </w:trPr>
        <w:tc>
          <w:tcPr>
            <w:tcW w:w="4120" w:type="dxa"/>
            <w:vAlign w:val="bottom"/>
          </w:tcPr>
          <w:p>
            <w:pPr>
              <w:jc w:val="center"/>
              <w:ind w:right="1459"/>
              <w:spacing w:after="0"/>
              <w:rPr>
                <w:sz w:val="20"/>
                <w:szCs w:val="20"/>
                <w:color w:val="auto"/>
              </w:rPr>
            </w:pPr>
            <w:r>
              <w:rPr>
                <w:rFonts w:ascii="Arial" w:cs="Arial" w:eastAsia="Arial" w:hAnsi="Arial"/>
                <w:sz w:val="16"/>
                <w:szCs w:val="16"/>
                <w:b w:val="1"/>
                <w:bCs w:val="1"/>
                <w:color w:val="auto"/>
                <w:w w:val="93"/>
              </w:rPr>
              <w:t>Delaware</w:t>
            </w:r>
          </w:p>
        </w:tc>
        <w:tc>
          <w:tcPr>
            <w:tcW w:w="276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3"/>
              </w:rPr>
              <w:t>(State or other jurisdiction of</w:t>
            </w:r>
          </w:p>
        </w:tc>
        <w:tc>
          <w:tcPr>
            <w:tcW w:w="2760" w:type="dxa"/>
            <w:vAlign w:val="bottom"/>
          </w:tcPr>
          <w:p>
            <w:pPr>
              <w:jc w:val="center"/>
              <w:ind w:left="1499"/>
              <w:spacing w:after="0"/>
              <w:rPr>
                <w:sz w:val="20"/>
                <w:szCs w:val="20"/>
                <w:color w:val="auto"/>
              </w:rPr>
            </w:pPr>
            <w:r>
              <w:rPr>
                <w:rFonts w:ascii="Arial" w:cs="Arial" w:eastAsia="Arial" w:hAnsi="Arial"/>
                <w:sz w:val="16"/>
                <w:szCs w:val="16"/>
                <w:color w:val="auto"/>
                <w:w w:val="93"/>
              </w:rPr>
              <w:t>(I.R.S. Employer</w:t>
            </w:r>
          </w:p>
        </w:tc>
      </w:tr>
      <w:tr>
        <w:trPr>
          <w:trHeight w:val="206"/>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4"/>
              </w:rPr>
              <w:t>incorporation or organization)</w:t>
            </w:r>
          </w:p>
        </w:tc>
        <w:tc>
          <w:tcPr>
            <w:tcW w:w="2760" w:type="dxa"/>
            <w:vAlign w:val="bottom"/>
          </w:tcPr>
          <w:p>
            <w:pPr>
              <w:jc w:val="center"/>
              <w:ind w:left="1479"/>
              <w:spacing w:after="0"/>
              <w:rPr>
                <w:sz w:val="20"/>
                <w:szCs w:val="20"/>
                <w:color w:val="auto"/>
              </w:rPr>
            </w:pPr>
            <w:r>
              <w:rPr>
                <w:rFonts w:ascii="Arial" w:cs="Arial" w:eastAsia="Arial" w:hAnsi="Arial"/>
                <w:sz w:val="16"/>
                <w:szCs w:val="16"/>
                <w:color w:val="auto"/>
                <w:w w:val="96"/>
              </w:rPr>
              <w:t>Identification No.)</w:t>
            </w:r>
          </w:p>
        </w:tc>
      </w:tr>
      <w:tr>
        <w:trPr>
          <w:trHeight w:val="270"/>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89"/>
              </w:rPr>
              <w:t>2435 Commerce Ave</w:t>
            </w:r>
          </w:p>
        </w:tc>
        <w:tc>
          <w:tcPr>
            <w:tcW w:w="2760" w:type="dxa"/>
            <w:vAlign w:val="bottom"/>
          </w:tcPr>
          <w:p>
            <w:pPr>
              <w:spacing w:after="0"/>
              <w:rPr>
                <w:sz w:val="23"/>
                <w:szCs w:val="23"/>
                <w:color w:val="auto"/>
              </w:rPr>
            </w:pP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2"/>
              </w:rPr>
              <w:t>Building 2200</w:t>
            </w:r>
          </w:p>
        </w:tc>
        <w:tc>
          <w:tcPr>
            <w:tcW w:w="27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3"/>
              </w:rPr>
              <w:t>Duluth, Georgia</w:t>
            </w:r>
          </w:p>
        </w:tc>
        <w:tc>
          <w:tcPr>
            <w:tcW w:w="2760" w:type="dxa"/>
            <w:vAlign w:val="bottom"/>
          </w:tcPr>
          <w:p>
            <w:pPr>
              <w:jc w:val="center"/>
              <w:ind w:left="1479"/>
              <w:spacing w:after="0"/>
              <w:rPr>
                <w:sz w:val="20"/>
                <w:szCs w:val="20"/>
                <w:color w:val="auto"/>
              </w:rPr>
            </w:pPr>
            <w:r>
              <w:rPr>
                <w:rFonts w:ascii="Arial" w:cs="Arial" w:eastAsia="Arial" w:hAnsi="Arial"/>
                <w:sz w:val="16"/>
                <w:szCs w:val="16"/>
                <w:color w:val="auto"/>
                <w:w w:val="95"/>
              </w:rPr>
              <w:t>(Zip Code)</w:t>
            </w: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3"/>
              </w:rPr>
              <w:t>(Address of principal executive offices)</w:t>
            </w:r>
          </w:p>
        </w:tc>
        <w:tc>
          <w:tcPr>
            <w:tcW w:w="2760" w:type="dxa"/>
            <w:vAlign w:val="bottom"/>
          </w:tcPr>
          <w:p>
            <w:pPr>
              <w:spacing w:after="0"/>
              <w:rPr>
                <w:sz w:val="18"/>
                <w:szCs w:val="18"/>
                <w:color w:val="auto"/>
              </w:rPr>
            </w:pPr>
          </w:p>
        </w:tc>
      </w:tr>
    </w:tbl>
    <w:p>
      <w:pPr>
        <w:spacing w:after="0" w:line="87"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51"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920" w:type="dxa"/>
        <w:tblCellMar>
          <w:top w:w="0" w:type="dxa"/>
          <w:left w:w="0" w:type="dxa"/>
          <w:bottom w:w="0" w:type="dxa"/>
          <w:right w:w="0" w:type="dxa"/>
        </w:tblCellMar>
      </w:tblPr>
      <w:tr>
        <w:trPr>
          <w:trHeight w:val="21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20" w:type="dxa"/>
            <w:vAlign w:val="bottom"/>
          </w:tcPr>
          <w:p>
            <w:pPr>
              <w:spacing w:after="0"/>
              <w:rPr>
                <w:sz w:val="18"/>
                <w:szCs w:val="18"/>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3740" w:type="dxa"/>
            <w:vAlign w:val="bottom"/>
          </w:tcPr>
          <w:p>
            <w:pPr>
              <w:jc w:val="center"/>
              <w:spacing w:after="0"/>
              <w:rPr>
                <w:sz w:val="20"/>
                <w:szCs w:val="20"/>
                <w:color w:val="auto"/>
              </w:rPr>
            </w:pPr>
            <w:r>
              <w:rPr>
                <w:rFonts w:ascii="Arial" w:cs="Arial" w:eastAsia="Arial" w:hAnsi="Arial"/>
                <w:sz w:val="16"/>
                <w:szCs w:val="16"/>
                <w:color w:val="auto"/>
                <w:w w:val="91"/>
              </w:rPr>
              <w:t>Common Stock, par value $0.01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EYE</w:t>
            </w:r>
          </w:p>
        </w:tc>
        <w:tc>
          <w:tcPr>
            <w:tcW w:w="120" w:type="dxa"/>
            <w:vAlign w:val="bottom"/>
          </w:tcPr>
          <w:p>
            <w:pPr>
              <w:spacing w:after="0"/>
              <w:rPr>
                <w:sz w:val="17"/>
                <w:szCs w:val="17"/>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86"/>
              </w:rPr>
              <w:t>Nasdaq</w:t>
            </w:r>
          </w:p>
        </w:tc>
      </w:tr>
    </w:tbl>
    <w:p>
      <w:pPr>
        <w:spacing w:after="0" w:line="185" w:lineRule="exact"/>
        <w:rPr>
          <w:sz w:val="24"/>
          <w:szCs w:val="24"/>
          <w:color w:val="auto"/>
        </w:rPr>
      </w:pPr>
    </w:p>
    <w:p>
      <w:pPr>
        <w:ind w:right="380"/>
        <w:spacing w:after="0" w:line="19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ind w:right="40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1" w:lineRule="exact"/>
        <w:rPr>
          <w:sz w:val="24"/>
          <w:szCs w:val="24"/>
          <w:color w:val="auto"/>
        </w:rPr>
      </w:pPr>
    </w:p>
    <w:p>
      <w:pPr>
        <w:ind w:right="120"/>
        <w:spacing w:after="0" w:line="25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1820" w:type="dxa"/>
        <w:tblCellMar>
          <w:top w:w="0" w:type="dxa"/>
          <w:left w:w="0" w:type="dxa"/>
          <w:bottom w:w="0" w:type="dxa"/>
          <w:right w:w="0" w:type="dxa"/>
        </w:tblCellMar>
      </w:tblPr>
      <w:tr>
        <w:trPr>
          <w:trHeight w:val="239"/>
        </w:trPr>
        <w:tc>
          <w:tcPr>
            <w:tcW w:w="1680" w:type="dxa"/>
            <w:vAlign w:val="bottom"/>
          </w:tcPr>
          <w:p>
            <w:pPr>
              <w:jc w:val="center"/>
              <w:ind w:right="139"/>
              <w:spacing w:after="0"/>
              <w:rPr>
                <w:sz w:val="20"/>
                <w:szCs w:val="20"/>
                <w:color w:val="auto"/>
              </w:rPr>
            </w:pPr>
            <w:r>
              <w:rPr>
                <w:rFonts w:ascii="Arial" w:cs="Arial" w:eastAsia="Arial" w:hAnsi="Arial"/>
                <w:sz w:val="16"/>
                <w:szCs w:val="16"/>
                <w:color w:val="auto"/>
                <w:w w:val="92"/>
              </w:rPr>
              <w:t>Large accelerated filer</w:t>
            </w:r>
          </w:p>
        </w:tc>
        <w:tc>
          <w:tcPr>
            <w:tcW w:w="1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jc w:val="center"/>
              <w:ind w:left="559"/>
              <w:spacing w:after="0"/>
              <w:rPr>
                <w:sz w:val="20"/>
                <w:szCs w:val="20"/>
                <w:color w:val="auto"/>
              </w:rPr>
            </w:pPr>
            <w:r>
              <w:rPr>
                <w:rFonts w:ascii="Arial" w:cs="Arial" w:eastAsia="Arial" w:hAnsi="Arial"/>
                <w:sz w:val="16"/>
                <w:szCs w:val="16"/>
                <w:color w:val="auto"/>
                <w:w w:val="94"/>
              </w:rPr>
              <w:t>Accelerated filer</w:t>
            </w:r>
          </w:p>
        </w:tc>
        <w:tc>
          <w:tcPr>
            <w:tcW w:w="2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680" w:type="dxa"/>
            <w:vAlign w:val="bottom"/>
          </w:tcPr>
          <w:p>
            <w:pPr>
              <w:jc w:val="center"/>
              <w:ind w:right="139"/>
              <w:spacing w:after="0"/>
              <w:rPr>
                <w:sz w:val="20"/>
                <w:szCs w:val="20"/>
                <w:color w:val="auto"/>
              </w:rPr>
            </w:pPr>
            <w:r>
              <w:rPr>
                <w:rFonts w:ascii="Arial" w:cs="Arial" w:eastAsia="Arial" w:hAnsi="Arial"/>
                <w:sz w:val="16"/>
                <w:szCs w:val="16"/>
                <w:color w:val="auto"/>
                <w:w w:val="93"/>
              </w:rPr>
              <w:t>Non-accelerated filer</w:t>
            </w:r>
          </w:p>
        </w:tc>
        <w:tc>
          <w:tcPr>
            <w:tcW w:w="11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jc w:val="center"/>
              <w:ind w:left="559"/>
              <w:spacing w:after="0"/>
              <w:rPr>
                <w:sz w:val="20"/>
                <w:szCs w:val="20"/>
                <w:color w:val="auto"/>
              </w:rPr>
            </w:pPr>
            <w:r>
              <w:rPr>
                <w:rFonts w:ascii="Arial" w:cs="Arial" w:eastAsia="Arial" w:hAnsi="Arial"/>
                <w:sz w:val="16"/>
                <w:szCs w:val="16"/>
                <w:color w:val="auto"/>
                <w:w w:val="92"/>
              </w:rPr>
              <w:t>Smaller reporting company</w:t>
            </w:r>
          </w:p>
        </w:tc>
        <w:tc>
          <w:tcPr>
            <w:tcW w:w="2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720" w:type="dxa"/>
            <w:vAlign w:val="bottom"/>
          </w:tcPr>
          <w:p>
            <w:pPr>
              <w:jc w:val="center"/>
              <w:ind w:left="559"/>
              <w:spacing w:after="0"/>
              <w:rPr>
                <w:sz w:val="20"/>
                <w:szCs w:val="20"/>
                <w:color w:val="auto"/>
              </w:rPr>
            </w:pPr>
            <w:r>
              <w:rPr>
                <w:rFonts w:ascii="Arial" w:cs="Arial" w:eastAsia="Arial" w:hAnsi="Arial"/>
                <w:sz w:val="16"/>
                <w:szCs w:val="16"/>
                <w:color w:val="auto"/>
                <w:w w:val="92"/>
              </w:rPr>
              <w:t>Emerging growth company</w:t>
            </w:r>
          </w:p>
        </w:tc>
        <w:tc>
          <w:tcPr>
            <w:tcW w:w="2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ind w:right="58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880"/>
        <w:spacing w:after="0" w:line="25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Class</w:t>
            </w:r>
          </w:p>
        </w:tc>
        <w:tc>
          <w:tcPr>
            <w:tcW w:w="1440" w:type="dxa"/>
            <w:vAlign w:val="bottom"/>
          </w:tcPr>
          <w:p>
            <w:pPr>
              <w:spacing w:after="0"/>
              <w:rPr>
                <w:sz w:val="18"/>
                <w:szCs w:val="18"/>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Outstanding at April 28, 2023</w:t>
            </w:r>
          </w:p>
        </w:tc>
      </w:tr>
      <w:tr>
        <w:trPr>
          <w:trHeight w:val="206"/>
        </w:trPr>
        <w:tc>
          <w:tcPr>
            <w:tcW w:w="4900" w:type="dxa"/>
            <w:vAlign w:val="bottom"/>
          </w:tcPr>
          <w:p>
            <w:pPr>
              <w:ind w:left="20"/>
              <w:spacing w:after="0"/>
              <w:rPr>
                <w:sz w:val="20"/>
                <w:szCs w:val="20"/>
                <w:color w:val="auto"/>
              </w:rPr>
            </w:pPr>
            <w:r>
              <w:rPr>
                <w:rFonts w:ascii="Arial" w:cs="Arial" w:eastAsia="Arial" w:hAnsi="Arial"/>
                <w:sz w:val="16"/>
                <w:szCs w:val="16"/>
                <w:color w:val="auto"/>
              </w:rPr>
              <w:t>Common stock, $0.01 par value</w:t>
            </w:r>
          </w:p>
        </w:tc>
        <w:tc>
          <w:tcPr>
            <w:tcW w:w="6340" w:type="dxa"/>
            <w:vAlign w:val="bottom"/>
            <w:gridSpan w:val="2"/>
          </w:tcPr>
          <w:p>
            <w:pPr>
              <w:ind w:left="1460"/>
              <w:spacing w:after="0"/>
              <w:rPr>
                <w:sz w:val="20"/>
                <w:szCs w:val="20"/>
                <w:color w:val="auto"/>
              </w:rPr>
            </w:pPr>
            <w:r>
              <w:rPr>
                <w:rFonts w:ascii="Arial" w:cs="Arial" w:eastAsia="Arial" w:hAnsi="Arial"/>
                <w:sz w:val="16"/>
                <w:szCs w:val="16"/>
                <w:color w:val="auto"/>
              </w:rPr>
              <w:t>78,086,741</w:t>
            </w:r>
          </w:p>
        </w:tc>
      </w:tr>
      <w:tr>
        <w:trPr>
          <w:trHeight w:val="128"/>
        </w:trPr>
        <w:tc>
          <w:tcPr>
            <w:tcW w:w="49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4900" w:type="dxa"/>
            <w:vAlign w:val="bottom"/>
            <w:tcBorders>
              <w:bottom w:val="single" w:sz="8" w:color="auto"/>
            </w:tcBorders>
          </w:tcPr>
          <w:p>
            <w:pPr>
              <w:spacing w:after="0"/>
              <w:rPr>
                <w:sz w:val="11"/>
                <w:szCs w:val="11"/>
                <w:color w:val="auto"/>
              </w:rPr>
            </w:pPr>
          </w:p>
        </w:tc>
      </w:tr>
      <w:tr>
        <w:trPr>
          <w:trHeight w:val="41"/>
        </w:trPr>
        <w:tc>
          <w:tcPr>
            <w:tcW w:w="49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844"/>
        </w:trPr>
        <w:tc>
          <w:tcPr>
            <w:tcW w:w="49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Page</w:t>
            </w:r>
          </w:p>
        </w:tc>
      </w:tr>
      <w:tr>
        <w:trPr>
          <w:trHeight w:val="230"/>
        </w:trPr>
        <w:tc>
          <w:tcPr>
            <w:tcW w:w="180" w:type="dxa"/>
            <w:vAlign w:val="bottom"/>
          </w:tcPr>
          <w:p>
            <w:pPr>
              <w:spacing w:after="0"/>
              <w:rPr>
                <w:sz w:val="19"/>
                <w:szCs w:val="19"/>
                <w:color w:val="auto"/>
              </w:rPr>
            </w:pPr>
          </w:p>
        </w:tc>
        <w:tc>
          <w:tcPr>
            <w:tcW w:w="53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5"/>
              </w:rPr>
              <w:t>SPECIAL NOTE REGARDING FORWARD-LOOKING STATEMENTS</w:t>
            </w:r>
          </w:p>
        </w:tc>
        <w:tc>
          <w:tcPr>
            <w:tcW w:w="4980" w:type="dxa"/>
            <w:vAlign w:val="bottom"/>
            <w:gridSpan w:val="7"/>
          </w:tcPr>
          <w:p>
            <w:pPr>
              <w:spacing w:after="0"/>
              <w:rPr>
                <w:sz w:val="19"/>
                <w:szCs w:val="19"/>
                <w:color w:val="auto"/>
              </w:rPr>
            </w:pP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50"/>
        </w:trPr>
        <w:tc>
          <w:tcPr>
            <w:tcW w:w="180" w:type="dxa"/>
            <w:vAlign w:val="bottom"/>
          </w:tcPr>
          <w:p>
            <w:pPr>
              <w:spacing w:after="0"/>
              <w:rPr>
                <w:sz w:val="21"/>
                <w:szCs w:val="21"/>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0000FF"/>
              </w:rPr>
              <w:t>PART I – FINANCIAL INFORMATION</w:t>
            </w:r>
          </w:p>
        </w:tc>
        <w:tc>
          <w:tcPr>
            <w:tcW w:w="80" w:type="dxa"/>
            <w:vAlign w:val="bottom"/>
          </w:tcPr>
          <w:p>
            <w:pPr>
              <w:spacing w:after="0"/>
              <w:rPr>
                <w:sz w:val="20"/>
                <w:szCs w:val="20"/>
                <w:color w:val="auto"/>
              </w:rPr>
            </w:pPr>
            <w:r>
              <w:rPr>
                <w:rFonts w:ascii="Arial" w:cs="Arial" w:eastAsia="Arial" w:hAnsi="Arial"/>
                <w:sz w:val="15"/>
                <w:szCs w:val="15"/>
                <w:color w:val="0000FF"/>
                <w:w w:val="71"/>
              </w:rPr>
              <w:t>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1.</w:t>
            </w:r>
          </w:p>
        </w:tc>
        <w:tc>
          <w:tcPr>
            <w:tcW w:w="440" w:type="dxa"/>
            <w:vAlign w:val="bottom"/>
            <w:gridSpan w:val="2"/>
          </w:tcPr>
          <w:p>
            <w:pPr>
              <w:spacing w:after="0"/>
              <w:rPr>
                <w:sz w:val="21"/>
                <w:szCs w:val="21"/>
                <w:color w:val="auto"/>
              </w:rPr>
            </w:pPr>
          </w:p>
        </w:tc>
        <w:tc>
          <w:tcPr>
            <w:tcW w:w="24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Financial Statements (Unaudited)</w:t>
            </w:r>
          </w:p>
        </w:tc>
        <w:tc>
          <w:tcPr>
            <w:tcW w:w="6480" w:type="dxa"/>
            <w:vAlign w:val="bottom"/>
            <w:gridSpan w:val="10"/>
          </w:tcPr>
          <w:p>
            <w:pPr>
              <w:spacing w:after="0"/>
              <w:rPr>
                <w:sz w:val="21"/>
                <w:szCs w:val="21"/>
                <w:color w:val="auto"/>
              </w:rPr>
            </w:pP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90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w:t>
            </w:r>
          </w:p>
        </w:tc>
        <w:tc>
          <w:tcPr>
            <w:tcW w:w="80" w:type="dxa"/>
            <w:vAlign w:val="bottom"/>
          </w:tcPr>
          <w:p>
            <w:pPr>
              <w:spacing w:after="0"/>
              <w:rPr>
                <w:sz w:val="20"/>
                <w:szCs w:val="20"/>
                <w:color w:val="auto"/>
              </w:rPr>
            </w:pPr>
            <w:r>
              <w:rPr>
                <w:rFonts w:ascii="Arial" w:cs="Arial" w:eastAsia="Arial" w:hAnsi="Arial"/>
                <w:sz w:val="15"/>
                <w:szCs w:val="15"/>
                <w:color w:val="0000FF"/>
                <w:w w:val="71"/>
              </w:rPr>
              <w:t>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72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8"/>
              </w:rPr>
              <w:t>Condensed Consolidated Statements of Operations and Comprehensive Income</w:t>
            </w:r>
          </w:p>
        </w:tc>
        <w:tc>
          <w:tcPr>
            <w:tcW w:w="3180" w:type="dxa"/>
            <w:vAlign w:val="bottom"/>
            <w:gridSpan w:val="2"/>
          </w:tcPr>
          <w:p>
            <w:pPr>
              <w:spacing w:after="0"/>
              <w:rPr>
                <w:sz w:val="21"/>
                <w:szCs w:val="21"/>
                <w:color w:val="auto"/>
              </w:rPr>
            </w:pP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Condensed Consolidated Statements of Stockholders’ Equity</w:t>
            </w:r>
          </w:p>
        </w:tc>
        <w:tc>
          <w:tcPr>
            <w:tcW w:w="4520" w:type="dxa"/>
            <w:vAlign w:val="bottom"/>
            <w:gridSpan w:val="3"/>
          </w:tcPr>
          <w:p>
            <w:pPr>
              <w:spacing w:after="0"/>
              <w:rPr>
                <w:sz w:val="21"/>
                <w:szCs w:val="21"/>
                <w:color w:val="auto"/>
              </w:rPr>
            </w:pP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90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Cash Flows</w:t>
            </w:r>
          </w:p>
        </w:tc>
        <w:tc>
          <w:tcPr>
            <w:tcW w:w="80" w:type="dxa"/>
            <w:vAlign w:val="bottom"/>
          </w:tcPr>
          <w:p>
            <w:pPr>
              <w:spacing w:after="0"/>
              <w:rPr>
                <w:sz w:val="20"/>
                <w:szCs w:val="20"/>
                <w:color w:val="auto"/>
              </w:rPr>
            </w:pPr>
            <w:r>
              <w:rPr>
                <w:rFonts w:ascii="Arial" w:cs="Arial" w:eastAsia="Arial" w:hAnsi="Arial"/>
                <w:sz w:val="15"/>
                <w:szCs w:val="15"/>
                <w:color w:val="0000FF"/>
                <w:w w:val="71"/>
              </w:rPr>
              <w:t>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900" w:type="dxa"/>
            <w:vAlign w:val="bottom"/>
            <w:gridSpan w:val="20"/>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80" w:type="dxa"/>
            <w:vAlign w:val="bottom"/>
          </w:tcPr>
          <w:p>
            <w:pPr>
              <w:spacing w:after="0"/>
              <w:rPr>
                <w:sz w:val="20"/>
                <w:szCs w:val="20"/>
                <w:color w:val="auto"/>
              </w:rPr>
            </w:pPr>
            <w:r>
              <w:rPr>
                <w:rFonts w:ascii="Arial" w:cs="Arial" w:eastAsia="Arial" w:hAnsi="Arial"/>
                <w:sz w:val="15"/>
                <w:szCs w:val="15"/>
                <w:color w:val="0000FF"/>
                <w:w w:val="71"/>
              </w:rPr>
              <w:t>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440" w:type="dxa"/>
            <w:vAlign w:val="bottom"/>
            <w:gridSpan w:val="2"/>
          </w:tcPr>
          <w:p>
            <w:pPr>
              <w:spacing w:after="0"/>
              <w:rPr>
                <w:sz w:val="21"/>
                <w:szCs w:val="21"/>
                <w:color w:val="auto"/>
              </w:rPr>
            </w:pPr>
          </w:p>
        </w:tc>
        <w:tc>
          <w:tcPr>
            <w:tcW w:w="890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19</w:t>
            </w: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3.</w:t>
            </w:r>
          </w:p>
        </w:tc>
        <w:tc>
          <w:tcPr>
            <w:tcW w:w="440" w:type="dxa"/>
            <w:vAlign w:val="bottom"/>
            <w:gridSpan w:val="2"/>
          </w:tcPr>
          <w:p>
            <w:pPr>
              <w:spacing w:after="0"/>
              <w:rPr>
                <w:sz w:val="21"/>
                <w:szCs w:val="21"/>
                <w:color w:val="auto"/>
              </w:rPr>
            </w:pPr>
          </w:p>
        </w:tc>
        <w:tc>
          <w:tcPr>
            <w:tcW w:w="436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3"/>
          </w:tcPr>
          <w:p>
            <w:pPr>
              <w:spacing w:after="0"/>
              <w:rPr>
                <w:sz w:val="21"/>
                <w:szCs w:val="21"/>
                <w:color w:val="auto"/>
              </w:rPr>
            </w:pPr>
          </w:p>
        </w:tc>
        <w:tc>
          <w:tcPr>
            <w:tcW w:w="24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79"/>
              </w:rPr>
              <w:t>30</w:t>
            </w: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440" w:type="dxa"/>
            <w:vAlign w:val="bottom"/>
            <w:gridSpan w:val="2"/>
          </w:tcPr>
          <w:p>
            <w:pPr>
              <w:spacing w:after="0"/>
              <w:rPr>
                <w:sz w:val="21"/>
                <w:szCs w:val="21"/>
                <w:color w:val="auto"/>
              </w:rPr>
            </w:pPr>
          </w:p>
        </w:tc>
        <w:tc>
          <w:tcPr>
            <w:tcW w:w="890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31</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0000FF"/>
              </w:rPr>
              <w:t>PART II – OTHER INFORMATION</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31</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1.</w:t>
            </w:r>
          </w:p>
        </w:tc>
        <w:tc>
          <w:tcPr>
            <w:tcW w:w="440" w:type="dxa"/>
            <w:vAlign w:val="bottom"/>
            <w:gridSpan w:val="2"/>
          </w:tcPr>
          <w:p>
            <w:pPr>
              <w:spacing w:after="0"/>
              <w:rPr>
                <w:sz w:val="21"/>
                <w:szCs w:val="21"/>
                <w:color w:val="auto"/>
              </w:rPr>
            </w:pP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7560" w:type="dxa"/>
            <w:vAlign w:val="bottom"/>
            <w:gridSpan w:val="14"/>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31</w:t>
            </w: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0000FF"/>
              </w:rPr>
              <w:t>Item 1A.</w:t>
            </w:r>
          </w:p>
        </w:tc>
        <w:tc>
          <w:tcPr>
            <w:tcW w:w="890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31</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90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32</w:t>
            </w: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3.</w:t>
            </w:r>
          </w:p>
        </w:tc>
        <w:tc>
          <w:tcPr>
            <w:tcW w:w="440" w:type="dxa"/>
            <w:vAlign w:val="bottom"/>
            <w:gridSpan w:val="2"/>
          </w:tcPr>
          <w:p>
            <w:pPr>
              <w:spacing w:after="0"/>
              <w:rPr>
                <w:sz w:val="21"/>
                <w:szCs w:val="21"/>
                <w:color w:val="auto"/>
              </w:rPr>
            </w:pPr>
          </w:p>
        </w:tc>
        <w:tc>
          <w:tcPr>
            <w:tcW w:w="23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0"/>
              </w:rPr>
              <w:t>Defaults Upon Senior Securities</w:t>
            </w:r>
          </w:p>
        </w:tc>
        <w:tc>
          <w:tcPr>
            <w:tcW w:w="2020" w:type="dxa"/>
            <w:vAlign w:val="bottom"/>
            <w:tcBorders>
              <w:top w:val="single" w:sz="8" w:color="0000FF"/>
            </w:tcBorders>
            <w:gridSpan w:val="6"/>
          </w:tcPr>
          <w:p>
            <w:pPr>
              <w:spacing w:after="0"/>
              <w:rPr>
                <w:sz w:val="21"/>
                <w:szCs w:val="21"/>
                <w:color w:val="auto"/>
              </w:rPr>
            </w:pPr>
          </w:p>
        </w:tc>
        <w:tc>
          <w:tcPr>
            <w:tcW w:w="4560" w:type="dxa"/>
            <w:vAlign w:val="bottom"/>
            <w:gridSpan w:val="5"/>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79"/>
              </w:rPr>
              <w:t>32</w:t>
            </w: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440" w:type="dxa"/>
            <w:vAlign w:val="bottom"/>
            <w:gridSpan w:val="2"/>
          </w:tcPr>
          <w:p>
            <w:pPr>
              <w:spacing w:after="0"/>
              <w:rPr>
                <w:sz w:val="21"/>
                <w:szCs w:val="21"/>
                <w:color w:val="auto"/>
              </w:rPr>
            </w:pPr>
          </w:p>
        </w:tc>
        <w:tc>
          <w:tcPr>
            <w:tcW w:w="890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32</w:t>
            </w: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5.</w:t>
            </w:r>
          </w:p>
        </w:tc>
        <w:tc>
          <w:tcPr>
            <w:tcW w:w="440" w:type="dxa"/>
            <w:vAlign w:val="bottom"/>
            <w:gridSpan w:val="2"/>
          </w:tcPr>
          <w:p>
            <w:pPr>
              <w:spacing w:after="0"/>
              <w:rPr>
                <w:sz w:val="21"/>
                <w:szCs w:val="21"/>
                <w:color w:val="auto"/>
              </w:rPr>
            </w:pPr>
          </w:p>
        </w:tc>
        <w:tc>
          <w:tcPr>
            <w:tcW w:w="13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3"/>
          </w:tcPr>
          <w:p>
            <w:pPr>
              <w:spacing w:after="0"/>
              <w:rPr>
                <w:sz w:val="21"/>
                <w:szCs w:val="21"/>
                <w:color w:val="auto"/>
              </w:rPr>
            </w:pPr>
          </w:p>
        </w:tc>
        <w:tc>
          <w:tcPr>
            <w:tcW w:w="7140" w:type="dxa"/>
            <w:vAlign w:val="bottom"/>
            <w:gridSpan w:val="12"/>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79"/>
              </w:rPr>
              <w:t>32</w:t>
            </w: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6.</w:t>
            </w:r>
          </w:p>
        </w:tc>
        <w:tc>
          <w:tcPr>
            <w:tcW w:w="440" w:type="dxa"/>
            <w:vAlign w:val="bottom"/>
            <w:gridSpan w:val="2"/>
          </w:tcPr>
          <w:p>
            <w:pPr>
              <w:spacing w:after="0"/>
              <w:rPr>
                <w:sz w:val="21"/>
                <w:szCs w:val="21"/>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8300" w:type="dxa"/>
            <w:vAlign w:val="bottom"/>
            <w:gridSpan w:val="19"/>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33</w:t>
            </w: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90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34</w:t>
            </w:r>
          </w:p>
        </w:tc>
        <w:tc>
          <w:tcPr>
            <w:tcW w:w="560" w:type="dxa"/>
            <w:vAlign w:val="bottom"/>
          </w:tcPr>
          <w:p>
            <w:pPr>
              <w:spacing w:after="0"/>
              <w:rPr>
                <w:sz w:val="21"/>
                <w:szCs w:val="21"/>
                <w:color w:val="auto"/>
              </w:rPr>
            </w:pPr>
          </w:p>
        </w:tc>
      </w:tr>
      <w:tr>
        <w:trPr>
          <w:trHeight w:val="1135"/>
        </w:trPr>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 Item 1A - “Risk Factors” in the Company’s Annual Report on Form 10-K for the year ended December 31, 2022 (the “2022 Annual Report on Form 10-K”), as filed with the Securities and Exchange Commission (the “SEC”), as such risk factors may be updated from time to time in our periodic filings with the SEC, which are accessible on the SEC’s website at www.sec.gov, and also include, but are not limited to, the COVID-19 pandemic and future resurgences, and related impacts including federal, state, and local governmental actions in response thereto; customer behavior in response to the pandemic, including the impact of such behavior on in-store traffic and sales; market volatility and an overall decline in the health of the economy and other factors impacting consumer spending, including inflation and uncertainty in financial markets (including as a result of recent bank failures and events affecting financial institutions); our ability to recruit and retain vision care professionals for our stores and remote medicine offerings in general and in light of the pandemic; our ability to compete successfully; our ability to successfully open new stores and enter new markets; our ability to expand our remote medicine offerings and electronic health records capabilities; our ability to maintain the performance of our Host and Legacy brands and our current operating relationships with our Host and Legacy partners; our ability to maintain sufficient levels of cash flow from our operations to execute or sustain our growth strategy or obtain additional financing at satisfactory terms or at all; the impact of wage rate increases, inflation, cost increases and increases in raw material prices and energy prices; our growth strategy straining our existing resources and causing the performance of our existing stores to suffer; our ability to successfully and efficiently implement our marketing, advertising and promotional efforts; risks associated with leasing substantial amounts of 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our ability to manage our inventory; seasonal fluctuations in our operating results and inventory levels; risks associated with our e-commerce and omni-channel business; the loss of, or disruption in the operations of, one or more of our distribution centers and/or optical laboratories, resulting in the inability to fulfill customer orders and deliver our products in a timely manner; risk of losses arising from our investments in technological innovators in the optical retail industry; risks associated with environmental, social and governance issues, including climate change; risks associated with vendors from whom our products are sourced, including our dependence on a limited number of suppliers; our ability to develop, maintain and extend relationships with managed vision care companies, vision insurance providers and other third-party payors; our ability to effectively operate our information technology systems and prevent interruption or security breach; our reliance on third-party coverage and reimbursement, including government programs, for an increasing portion of our revenues; our ability to adhere to extensive state, local and federal vision care and healthcare laws and regulations; our compliance with managed vision care laws and regulations; our ability to adhere to changing state, local and federal privacy, data security and data protection laws and regulations;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our ability to adequately protect our intellectual property; our significant amount of indebtedness and our ability to generate sufficient cash flow to satisfy our debt obligations; a change in interest rates as well as changes in benchmark rates and uncertainty related to the foregoing; restrictions in our credit agreement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 limits our flexibility in operating our business; potential dilution to existing stockholders upon the conversion of our convertible notes; and risks related to owning our common stock (including the timing, manner and volume of repurchases of common stock pursuant to our share repurchase program), including our ability to comply with requirements to design and implement and maintain effective internal controls.</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7"/>
        </w:trPr>
        <w:tc>
          <w:tcPr>
            <w:tcW w:w="68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April 1, 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6"/>
              </w:rPr>
              <w:t>December 31, 2022</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246,906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229,425</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80,045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79,892</w:t>
            </w:r>
          </w:p>
        </w:tc>
        <w:tc>
          <w:tcPr>
            <w:tcW w:w="0" w:type="dxa"/>
            <w:vAlign w:val="bottom"/>
          </w:tcPr>
          <w:p>
            <w:pPr>
              <w:spacing w:after="0"/>
              <w:rPr>
                <w:sz w:val="1"/>
                <w:szCs w:val="1"/>
                <w:color w:val="auto"/>
              </w:rPr>
            </w:pPr>
          </w:p>
        </w:tc>
      </w:tr>
      <w:tr>
        <w:trPr>
          <w:trHeight w:val="243"/>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123,524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123,158</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41,361</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473,836</w:t>
            </w:r>
          </w:p>
        </w:tc>
        <w:tc>
          <w:tcPr>
            <w:tcW w:w="0" w:type="dxa"/>
            <w:vAlign w:val="bottom"/>
          </w:tcPr>
          <w:p>
            <w:pPr>
              <w:spacing w:after="0"/>
              <w:rPr>
                <w:sz w:val="1"/>
                <w:szCs w:val="1"/>
                <w:color w:val="auto"/>
              </w:rPr>
            </w:pPr>
          </w:p>
        </w:tc>
      </w:tr>
      <w:tr>
        <w:trPr>
          <w:trHeight w:val="203"/>
        </w:trPr>
        <w:tc>
          <w:tcPr>
            <w:tcW w:w="6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0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361,868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359,775</w:t>
            </w:r>
          </w:p>
        </w:tc>
        <w:tc>
          <w:tcPr>
            <w:tcW w:w="0" w:type="dxa"/>
            <w:vAlign w:val="bottom"/>
          </w:tcPr>
          <w:p>
            <w:pPr>
              <w:spacing w:after="0"/>
              <w:rPr>
                <w:sz w:val="1"/>
                <w:szCs w:val="1"/>
                <w:color w:val="auto"/>
              </w:rPr>
            </w:pPr>
          </w:p>
        </w:tc>
      </w:tr>
      <w:tr>
        <w:trPr>
          <w:trHeight w:val="23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777,613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Trademarks and trade names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240,547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 assets, net</w:t>
            </w:r>
          </w:p>
        </w:tc>
        <w:tc>
          <w:tcPr>
            <w:tcW w:w="3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34,669</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Right of use assets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389,697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382,825</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21,981</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noncurrent assets</w:t>
            </w: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1,825,887</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1,817,410</w:t>
            </w:r>
          </w:p>
        </w:tc>
        <w:tc>
          <w:tcPr>
            <w:tcW w:w="0" w:type="dxa"/>
            <w:vAlign w:val="bottom"/>
          </w:tcPr>
          <w:p>
            <w:pPr>
              <w:spacing w:after="0"/>
              <w:rPr>
                <w:sz w:val="1"/>
                <w:szCs w:val="1"/>
                <w:color w:val="auto"/>
              </w:rPr>
            </w:pPr>
          </w:p>
        </w:tc>
      </w:tr>
      <w:tr>
        <w:trPr>
          <w:trHeight w:val="254"/>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2,312,366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2,291,246</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65,276</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Other payables and accrued expenses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103,188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94,225</w:t>
            </w:r>
          </w:p>
        </w:tc>
        <w:tc>
          <w:tcPr>
            <w:tcW w:w="0" w:type="dxa"/>
            <w:vAlign w:val="bottom"/>
          </w:tcPr>
          <w:p>
            <w:pPr>
              <w:spacing w:after="0"/>
              <w:rPr>
                <w:sz w:val="1"/>
                <w:szCs w:val="1"/>
                <w:color w:val="auto"/>
              </w:rPr>
            </w:pPr>
          </w:p>
        </w:tc>
      </w:tr>
      <w:tr>
        <w:trPr>
          <w:trHeight w:val="243"/>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3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41,239</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64,359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62,201</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43"/>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operating lease obligations</w:t>
            </w:r>
          </w:p>
        </w:tc>
        <w:tc>
          <w:tcPr>
            <w:tcW w:w="3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72,024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77,186</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344,264</w:t>
            </w:r>
          </w:p>
        </w:tc>
        <w:tc>
          <w:tcPr>
            <w:tcW w:w="0" w:type="dxa"/>
            <w:vAlign w:val="bottom"/>
          </w:tcPr>
          <w:p>
            <w:pPr>
              <w:spacing w:after="0"/>
              <w:rPr>
                <w:sz w:val="1"/>
                <w:szCs w:val="1"/>
                <w:color w:val="auto"/>
              </w:rPr>
            </w:pPr>
          </w:p>
        </w:tc>
      </w:tr>
      <w:tr>
        <w:trPr>
          <w:trHeight w:val="162"/>
        </w:trPr>
        <w:tc>
          <w:tcPr>
            <w:tcW w:w="6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00" w:type="dxa"/>
            <w:vAlign w:val="bottom"/>
          </w:tcPr>
          <w:p>
            <w:pPr>
              <w:ind w:left="220"/>
              <w:spacing w:after="0"/>
              <w:rPr>
                <w:sz w:val="20"/>
                <w:szCs w:val="20"/>
                <w:color w:val="auto"/>
              </w:rPr>
            </w:pPr>
            <w:r>
              <w:rPr>
                <w:rFonts w:ascii="Arial" w:cs="Arial" w:eastAsia="Arial" w:hAnsi="Arial"/>
                <w:sz w:val="18"/>
                <w:szCs w:val="18"/>
                <w:color w:val="auto"/>
                <w:w w:val="97"/>
              </w:rPr>
              <w:t>Long-term debt and finance lease obligations, less current portion and debt discount</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563,702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563,388</w:t>
            </w:r>
          </w:p>
        </w:tc>
        <w:tc>
          <w:tcPr>
            <w:tcW w:w="0" w:type="dxa"/>
            <w:vAlign w:val="bottom"/>
          </w:tcPr>
          <w:p>
            <w:pPr>
              <w:spacing w:after="0"/>
              <w:rPr>
                <w:sz w:val="1"/>
                <w:szCs w:val="1"/>
                <w:color w:val="auto"/>
              </w:rPr>
            </w:pPr>
          </w:p>
        </w:tc>
      </w:tr>
      <w:tr>
        <w:trPr>
          <w:trHeight w:val="23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operating lease obligations</w:t>
            </w:r>
          </w:p>
        </w:tc>
        <w:tc>
          <w:tcPr>
            <w:tcW w:w="3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371,687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358,110</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21,852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21,601</w:t>
            </w:r>
          </w:p>
        </w:tc>
        <w:tc>
          <w:tcPr>
            <w:tcW w:w="0" w:type="dxa"/>
            <w:vAlign w:val="bottom"/>
          </w:tcPr>
          <w:p>
            <w:pPr>
              <w:spacing w:after="0"/>
              <w:rPr>
                <w:sz w:val="1"/>
                <w:szCs w:val="1"/>
                <w:color w:val="auto"/>
              </w:rPr>
            </w:pPr>
          </w:p>
        </w:tc>
      </w:tr>
      <w:tr>
        <w:trPr>
          <w:trHeight w:val="243"/>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income taxes, net</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93,870</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1,045,869</w:t>
            </w:r>
          </w:p>
        </w:tc>
        <w:tc>
          <w:tcPr>
            <w:tcW w:w="0" w:type="dxa"/>
            <w:vAlign w:val="bottom"/>
          </w:tcPr>
          <w:p>
            <w:pPr>
              <w:spacing w:after="0"/>
              <w:rPr>
                <w:sz w:val="1"/>
                <w:szCs w:val="1"/>
                <w:color w:val="auto"/>
              </w:rPr>
            </w:pPr>
          </w:p>
        </w:tc>
      </w:tr>
      <w:tr>
        <w:trPr>
          <w:trHeight w:val="239"/>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(See Note 9)</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0"/>
              <w:spacing w:after="0" w:line="176" w:lineRule="exact"/>
              <w:rPr>
                <w:sz w:val="20"/>
                <w:szCs w:val="20"/>
                <w:color w:val="auto"/>
              </w:rPr>
            </w:pPr>
            <w:r>
              <w:rPr>
                <w:rFonts w:ascii="Arial" w:cs="Arial" w:eastAsia="Arial" w:hAnsi="Arial"/>
                <w:sz w:val="18"/>
                <w:szCs w:val="18"/>
                <w:color w:val="auto"/>
                <w:w w:val="89"/>
              </w:rPr>
              <w:t>Common stock, $0.01 par value; 200,000 shares authorized; 84,555 and 84,273 shares issued</w:t>
            </w:r>
          </w:p>
        </w:tc>
        <w:tc>
          <w:tcPr>
            <w:tcW w:w="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800" w:type="dxa"/>
            <w:vAlign w:val="bottom"/>
          </w:tcPr>
          <w:p>
            <w:pPr>
              <w:ind w:left="20"/>
              <w:spacing w:after="0" w:line="189" w:lineRule="exact"/>
              <w:rPr>
                <w:sz w:val="20"/>
                <w:szCs w:val="20"/>
                <w:color w:val="auto"/>
              </w:rPr>
            </w:pPr>
            <w:r>
              <w:rPr>
                <w:rFonts w:ascii="Arial" w:cs="Arial" w:eastAsia="Arial" w:hAnsi="Arial"/>
                <w:sz w:val="18"/>
                <w:szCs w:val="18"/>
                <w:color w:val="auto"/>
              </w:rPr>
              <w:t>as of April 1, 2023 and December 31, 2022, respectively; 78,085 and 78,992 shares</w:t>
            </w: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outstanding as of April 1, 2023 and December 31, 2022, respectively</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767,112</w:t>
            </w:r>
          </w:p>
        </w:tc>
        <w:tc>
          <w:tcPr>
            <w:tcW w:w="0" w:type="dxa"/>
            <w:vAlign w:val="bottom"/>
          </w:tcPr>
          <w:p>
            <w:pPr>
              <w:spacing w:after="0"/>
              <w:rPr>
                <w:sz w:val="1"/>
                <w:szCs w:val="1"/>
                <w:color w:val="auto"/>
              </w:rPr>
            </w:pPr>
          </w:p>
        </w:tc>
      </w:tr>
      <w:tr>
        <w:trPr>
          <w:trHeight w:val="237"/>
        </w:trPr>
        <w:tc>
          <w:tcPr>
            <w:tcW w:w="680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3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338,787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320,517</w:t>
            </w: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line="176" w:lineRule="exact"/>
              <w:rPr>
                <w:sz w:val="20"/>
                <w:szCs w:val="20"/>
                <w:color w:val="auto"/>
              </w:rPr>
            </w:pPr>
            <w:r>
              <w:rPr>
                <w:rFonts w:ascii="Arial" w:cs="Arial" w:eastAsia="Arial" w:hAnsi="Arial"/>
                <w:sz w:val="18"/>
                <w:szCs w:val="18"/>
                <w:color w:val="auto"/>
                <w:w w:val="92"/>
              </w:rPr>
              <w:t>Treasury stock, at cost; 6,470 and 5,281 shares as of April 1, 2023 and December 31, 2022,</w:t>
            </w:r>
          </w:p>
        </w:tc>
        <w:tc>
          <w:tcPr>
            <w:tcW w:w="340" w:type="dxa"/>
            <w:vAlign w:val="bottom"/>
          </w:tcPr>
          <w:p>
            <w:pPr>
              <w:spacing w:after="0"/>
              <w:rPr>
                <w:sz w:val="15"/>
                <w:szCs w:val="15"/>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(213,788)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(186,179)</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896,726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901,113</w:t>
            </w:r>
          </w:p>
        </w:tc>
        <w:tc>
          <w:tcPr>
            <w:tcW w:w="0" w:type="dxa"/>
            <w:vAlign w:val="bottom"/>
          </w:tcPr>
          <w:p>
            <w:pPr>
              <w:spacing w:after="0"/>
              <w:rPr>
                <w:sz w:val="1"/>
                <w:szCs w:val="1"/>
                <w:color w:val="auto"/>
              </w:rPr>
            </w:pP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2,312,366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2,291,246</w:t>
            </w:r>
          </w:p>
        </w:tc>
        <w:tc>
          <w:tcPr>
            <w:tcW w:w="0" w:type="dxa"/>
            <w:vAlign w:val="bottom"/>
          </w:tcPr>
          <w:p>
            <w:pPr>
              <w:spacing w:after="0"/>
              <w:rPr>
                <w:sz w:val="1"/>
                <w:szCs w:val="1"/>
                <w:color w:val="auto"/>
              </w:rPr>
            </w:pPr>
          </w:p>
        </w:tc>
      </w:tr>
      <w:tr>
        <w:trPr>
          <w:trHeight w:val="21"/>
        </w:trPr>
        <w:tc>
          <w:tcPr>
            <w:tcW w:w="6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8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812"/>
        </w:trPr>
        <w:tc>
          <w:tcPr>
            <w:tcW w:w="12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6520" w:type="dxa"/>
            <w:vAlign w:val="bottom"/>
          </w:tcPr>
          <w:p>
            <w:pPr>
              <w:ind w:left="286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1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8"/>
              </w:rPr>
              <w:t>Condensed Consolidated Statements of Operations and Comprehensive Income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2"/>
        </w:trPr>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520" w:type="dxa"/>
            <w:vAlign w:val="bottom"/>
          </w:tcPr>
          <w:p>
            <w:pPr>
              <w:jc w:val="center"/>
              <w:ind w:left="2090"/>
              <w:spacing w:after="0"/>
              <w:rPr>
                <w:sz w:val="20"/>
                <w:szCs w:val="20"/>
                <w:color w:val="auto"/>
              </w:rPr>
            </w:pPr>
            <w:r>
              <w:rPr>
                <w:rFonts w:ascii="Arial" w:cs="Arial" w:eastAsia="Arial" w:hAnsi="Arial"/>
                <w:sz w:val="18"/>
                <w:szCs w:val="18"/>
                <w:i w:val="1"/>
                <w:iCs w:val="1"/>
                <w:color w:val="auto"/>
                <w:w w:val="89"/>
              </w:rPr>
              <w:t>In Thousands, Except Earnings Per Share</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520" w:type="dxa"/>
            <w:vAlign w:val="bottom"/>
          </w:tcPr>
          <w:p>
            <w:pPr>
              <w:jc w:val="center"/>
              <w:ind w:left="207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color w:val="auto"/>
              </w:rPr>
              <w:t>Three Months Ended</w:t>
            </w:r>
          </w:p>
        </w:tc>
      </w:tr>
      <w:tr>
        <w:trPr>
          <w:trHeight w:val="223"/>
        </w:trPr>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April 1, 2023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April 2, 2022</w:t>
            </w:r>
          </w:p>
        </w:tc>
      </w:tr>
      <w:tr>
        <w:trPr>
          <w:trHeight w:val="223"/>
        </w:trPr>
        <w:tc>
          <w:tcPr>
            <w:tcW w:w="120" w:type="dxa"/>
            <w:vAlign w:val="bottom"/>
          </w:tcPr>
          <w:p>
            <w:pPr>
              <w:spacing w:after="0"/>
              <w:rPr>
                <w:sz w:val="19"/>
                <w:szCs w:val="19"/>
                <w:color w:val="auto"/>
              </w:rPr>
            </w:pPr>
          </w:p>
        </w:tc>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680" w:type="dxa"/>
            <w:vAlign w:val="bottom"/>
            <w:gridSpan w:val="2"/>
          </w:tcPr>
          <w:p>
            <w:pPr>
              <w:ind w:left="220"/>
              <w:spacing w:after="0"/>
              <w:rPr>
                <w:sz w:val="20"/>
                <w:szCs w:val="20"/>
                <w:color w:val="auto"/>
              </w:rPr>
            </w:pPr>
            <w:r>
              <w:rPr>
                <w:rFonts w:ascii="Arial" w:cs="Arial" w:eastAsia="Arial" w:hAnsi="Arial"/>
                <w:sz w:val="18"/>
                <w:szCs w:val="18"/>
                <w:color w:val="auto"/>
              </w:rPr>
              <w:t>Net product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464,761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433,253</w:t>
            </w:r>
          </w:p>
        </w:tc>
      </w:tr>
      <w:tr>
        <w:trPr>
          <w:trHeight w:val="243"/>
        </w:trPr>
        <w:tc>
          <w:tcPr>
            <w:tcW w:w="120" w:type="dxa"/>
            <w:vAlign w:val="bottom"/>
          </w:tcPr>
          <w:p>
            <w:pPr>
              <w:spacing w:after="0"/>
              <w:rPr>
                <w:sz w:val="21"/>
                <w:szCs w:val="21"/>
                <w:color w:val="auto"/>
              </w:rPr>
            </w:pPr>
          </w:p>
        </w:tc>
        <w:tc>
          <w:tcPr>
            <w:tcW w:w="7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94,458</w:t>
            </w:r>
          </w:p>
        </w:tc>
      </w:tr>
      <w:tr>
        <w:trPr>
          <w:trHeight w:val="223"/>
        </w:trPr>
        <w:tc>
          <w:tcPr>
            <w:tcW w:w="120" w:type="dxa"/>
            <w:vAlign w:val="bottom"/>
          </w:tcPr>
          <w:p>
            <w:pPr>
              <w:spacing w:after="0"/>
              <w:rPr>
                <w:sz w:val="19"/>
                <w:szCs w:val="19"/>
                <w:color w:val="auto"/>
              </w:rPr>
            </w:pPr>
          </w:p>
        </w:tc>
        <w:tc>
          <w:tcPr>
            <w:tcW w:w="7680" w:type="dxa"/>
            <w:vAlign w:val="bottom"/>
            <w:gridSpan w:val="2"/>
          </w:tcPr>
          <w:p>
            <w:pPr>
              <w:ind w:left="340"/>
              <w:spacing w:after="0"/>
              <w:rPr>
                <w:sz w:val="20"/>
                <w:szCs w:val="20"/>
                <w:color w:val="auto"/>
              </w:rPr>
            </w:pPr>
            <w:r>
              <w:rPr>
                <w:rFonts w:ascii="Arial" w:cs="Arial" w:eastAsia="Arial" w:hAnsi="Arial"/>
                <w:sz w:val="18"/>
                <w:szCs w:val="18"/>
                <w:color w:val="auto"/>
              </w:rPr>
              <w:t>Total net revenue</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562,369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527,711</w:t>
            </w:r>
          </w:p>
        </w:tc>
      </w:tr>
      <w:tr>
        <w:trPr>
          <w:trHeight w:val="230"/>
        </w:trPr>
        <w:tc>
          <w:tcPr>
            <w:tcW w:w="120" w:type="dxa"/>
            <w:vAlign w:val="bottom"/>
          </w:tcPr>
          <w:p>
            <w:pPr>
              <w:spacing w:after="0"/>
              <w:rPr>
                <w:sz w:val="19"/>
                <w:szCs w:val="19"/>
                <w:color w:val="auto"/>
              </w:rPr>
            </w:pPr>
          </w:p>
        </w:tc>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120" w:type="dxa"/>
            <w:vAlign w:val="bottom"/>
          </w:tcPr>
          <w:p>
            <w:pPr>
              <w:spacing w:after="0"/>
              <w:rPr>
                <w:sz w:val="20"/>
                <w:szCs w:val="20"/>
                <w:color w:val="auto"/>
              </w:rPr>
            </w:pPr>
          </w:p>
        </w:tc>
        <w:tc>
          <w:tcPr>
            <w:tcW w:w="7680" w:type="dxa"/>
            <w:vAlign w:val="bottom"/>
            <w:gridSpan w:val="2"/>
          </w:tcPr>
          <w:p>
            <w:pPr>
              <w:ind w:left="220"/>
              <w:spacing w:after="0"/>
              <w:rPr>
                <w:sz w:val="20"/>
                <w:szCs w:val="20"/>
                <w:color w:val="auto"/>
              </w:rPr>
            </w:pPr>
            <w:r>
              <w:rPr>
                <w:rFonts w:ascii="Arial" w:cs="Arial" w:eastAsia="Arial" w:hAnsi="Arial"/>
                <w:sz w:val="18"/>
                <w:szCs w:val="18"/>
                <w:color w:val="auto"/>
              </w:rPr>
              <w:t>Products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173,102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164,219</w:t>
            </w:r>
          </w:p>
        </w:tc>
      </w:tr>
      <w:tr>
        <w:trPr>
          <w:trHeight w:val="236"/>
        </w:trPr>
        <w:tc>
          <w:tcPr>
            <w:tcW w:w="120" w:type="dxa"/>
            <w:vAlign w:val="bottom"/>
          </w:tcPr>
          <w:p>
            <w:pPr>
              <w:spacing w:after="0"/>
              <w:rPr>
                <w:sz w:val="20"/>
                <w:szCs w:val="20"/>
                <w:color w:val="auto"/>
              </w:rPr>
            </w:pPr>
          </w:p>
        </w:tc>
        <w:tc>
          <w:tcPr>
            <w:tcW w:w="7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2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71,818</w:t>
            </w:r>
          </w:p>
        </w:tc>
      </w:tr>
      <w:tr>
        <w:trPr>
          <w:trHeight w:val="223"/>
        </w:trPr>
        <w:tc>
          <w:tcPr>
            <w:tcW w:w="120" w:type="dxa"/>
            <w:vAlign w:val="bottom"/>
          </w:tcPr>
          <w:p>
            <w:pPr>
              <w:spacing w:after="0"/>
              <w:rPr>
                <w:sz w:val="19"/>
                <w:szCs w:val="19"/>
                <w:color w:val="auto"/>
              </w:rPr>
            </w:pPr>
          </w:p>
        </w:tc>
        <w:tc>
          <w:tcPr>
            <w:tcW w:w="7680" w:type="dxa"/>
            <w:vAlign w:val="bottom"/>
            <w:gridSpan w:val="2"/>
          </w:tcPr>
          <w:p>
            <w:pPr>
              <w:ind w:left="340"/>
              <w:spacing w:after="0"/>
              <w:rPr>
                <w:sz w:val="20"/>
                <w:szCs w:val="20"/>
                <w:color w:val="auto"/>
              </w:rPr>
            </w:pPr>
            <w:r>
              <w:rPr>
                <w:rFonts w:ascii="Arial" w:cs="Arial" w:eastAsia="Arial" w:hAnsi="Arial"/>
                <w:sz w:val="18"/>
                <w:szCs w:val="18"/>
                <w:color w:val="auto"/>
              </w:rPr>
              <w:t>Total costs applicable to revenue</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254,052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236,037</w:t>
            </w:r>
          </w:p>
        </w:tc>
      </w:tr>
      <w:tr>
        <w:trPr>
          <w:trHeight w:val="243"/>
        </w:trPr>
        <w:tc>
          <w:tcPr>
            <w:tcW w:w="120" w:type="dxa"/>
            <w:vAlign w:val="bottom"/>
          </w:tcPr>
          <w:p>
            <w:pPr>
              <w:spacing w:after="0"/>
              <w:rPr>
                <w:sz w:val="21"/>
                <w:szCs w:val="21"/>
                <w:color w:val="auto"/>
              </w:rPr>
            </w:pPr>
          </w:p>
        </w:tc>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9"/>
        </w:trPr>
        <w:tc>
          <w:tcPr>
            <w:tcW w:w="120" w:type="dxa"/>
            <w:vAlign w:val="bottom"/>
          </w:tcPr>
          <w:p>
            <w:pPr>
              <w:spacing w:after="0"/>
              <w:rPr>
                <w:sz w:val="19"/>
                <w:szCs w:val="19"/>
                <w:color w:val="auto"/>
              </w:rPr>
            </w:pPr>
          </w:p>
        </w:tc>
        <w:tc>
          <w:tcPr>
            <w:tcW w:w="768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249,922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228,554</w:t>
            </w:r>
          </w:p>
        </w:tc>
      </w:tr>
      <w:tr>
        <w:trPr>
          <w:trHeight w:val="229"/>
        </w:trPr>
        <w:tc>
          <w:tcPr>
            <w:tcW w:w="120" w:type="dxa"/>
            <w:vAlign w:val="bottom"/>
          </w:tcPr>
          <w:p>
            <w:pPr>
              <w:spacing w:after="0"/>
              <w:rPr>
                <w:sz w:val="19"/>
                <w:szCs w:val="19"/>
                <w:color w:val="auto"/>
              </w:rPr>
            </w:pPr>
          </w:p>
        </w:tc>
        <w:tc>
          <w:tcPr>
            <w:tcW w:w="7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25,151</w:t>
            </w:r>
          </w:p>
        </w:tc>
      </w:tr>
      <w:tr>
        <w:trPr>
          <w:trHeight w:val="237"/>
        </w:trPr>
        <w:tc>
          <w:tcPr>
            <w:tcW w:w="120" w:type="dxa"/>
            <w:vAlign w:val="bottom"/>
          </w:tcPr>
          <w:p>
            <w:pPr>
              <w:spacing w:after="0"/>
              <w:rPr>
                <w:sz w:val="20"/>
                <w:szCs w:val="20"/>
                <w:color w:val="auto"/>
              </w:rPr>
            </w:pPr>
          </w:p>
        </w:tc>
        <w:tc>
          <w:tcPr>
            <w:tcW w:w="7680" w:type="dxa"/>
            <w:vAlign w:val="bottom"/>
            <w:gridSpan w:val="2"/>
          </w:tcPr>
          <w:p>
            <w:pPr>
              <w:ind w:left="220"/>
              <w:spacing w:after="0"/>
              <w:rPr>
                <w:sz w:val="20"/>
                <w:szCs w:val="20"/>
                <w:color w:val="auto"/>
              </w:rPr>
            </w:pPr>
            <w:r>
              <w:rPr>
                <w:rFonts w:ascii="Arial" w:cs="Arial" w:eastAsia="Arial" w:hAnsi="Arial"/>
                <w:sz w:val="18"/>
                <w:szCs w:val="18"/>
                <w:color w:val="auto"/>
              </w:rPr>
              <w:t>Asset impairment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36"/>
        </w:trPr>
        <w:tc>
          <w:tcPr>
            <w:tcW w:w="120" w:type="dxa"/>
            <w:vAlign w:val="bottom"/>
          </w:tcPr>
          <w:p>
            <w:pPr>
              <w:spacing w:after="0"/>
              <w:rPr>
                <w:sz w:val="20"/>
                <w:szCs w:val="20"/>
                <w:color w:val="auto"/>
              </w:rPr>
            </w:pPr>
          </w:p>
        </w:tc>
        <w:tc>
          <w:tcPr>
            <w:tcW w:w="7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3"/>
        </w:trPr>
        <w:tc>
          <w:tcPr>
            <w:tcW w:w="120" w:type="dxa"/>
            <w:vAlign w:val="bottom"/>
          </w:tcPr>
          <w:p>
            <w:pPr>
              <w:spacing w:after="0"/>
              <w:rPr>
                <w:sz w:val="19"/>
                <w:szCs w:val="19"/>
                <w:color w:val="auto"/>
              </w:rPr>
            </w:pPr>
          </w:p>
        </w:tc>
        <w:tc>
          <w:tcPr>
            <w:tcW w:w="768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254,342</w:t>
            </w:r>
          </w:p>
        </w:tc>
      </w:tr>
      <w:tr>
        <w:trPr>
          <w:trHeight w:val="237"/>
        </w:trPr>
        <w:tc>
          <w:tcPr>
            <w:tcW w:w="120" w:type="dxa"/>
            <w:vAlign w:val="bottom"/>
          </w:tcPr>
          <w:p>
            <w:pPr>
              <w:spacing w:after="0"/>
              <w:rPr>
                <w:sz w:val="20"/>
                <w:szCs w:val="20"/>
                <w:color w:val="auto"/>
              </w:rPr>
            </w:pPr>
          </w:p>
        </w:tc>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37,332</w:t>
            </w:r>
          </w:p>
        </w:tc>
      </w:tr>
      <w:tr>
        <w:trPr>
          <w:trHeight w:val="229"/>
        </w:trPr>
        <w:tc>
          <w:tcPr>
            <w:tcW w:w="120" w:type="dxa"/>
            <w:vAlign w:val="bottom"/>
          </w:tcPr>
          <w:p>
            <w:pPr>
              <w:spacing w:after="0"/>
              <w:rPr>
                <w:sz w:val="19"/>
                <w:szCs w:val="19"/>
                <w:color w:val="auto"/>
              </w:rPr>
            </w:pPr>
          </w:p>
        </w:tc>
        <w:tc>
          <w:tcPr>
            <w:tcW w:w="7680" w:type="dxa"/>
            <w:vAlign w:val="bottom"/>
            <w:gridSpan w:val="2"/>
          </w:tcPr>
          <w:p>
            <w:pPr>
              <w:ind w:left="220"/>
              <w:spacing w:after="0"/>
              <w:rPr>
                <w:sz w:val="20"/>
                <w:szCs w:val="20"/>
                <w:color w:val="auto"/>
              </w:rPr>
            </w:pPr>
            <w:r>
              <w:rPr>
                <w:rFonts w:ascii="Arial" w:cs="Arial" w:eastAsia="Arial" w:hAnsi="Arial"/>
                <w:sz w:val="18"/>
                <w:szCs w:val="18"/>
                <w:color w:val="auto"/>
              </w:rPr>
              <w:t>Interest expense (income), net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(4,144)</w:t>
            </w:r>
          </w:p>
        </w:tc>
      </w:tr>
      <w:tr>
        <w:trPr>
          <w:trHeight w:val="223"/>
        </w:trPr>
        <w:tc>
          <w:tcPr>
            <w:tcW w:w="120" w:type="dxa"/>
            <w:vAlign w:val="bottom"/>
          </w:tcPr>
          <w:p>
            <w:pPr>
              <w:spacing w:after="0"/>
              <w:rPr>
                <w:sz w:val="19"/>
                <w:szCs w:val="19"/>
                <w:color w:val="auto"/>
              </w:rPr>
            </w:pPr>
          </w:p>
        </w:tc>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41,476</w:t>
            </w:r>
          </w:p>
        </w:tc>
      </w:tr>
      <w:tr>
        <w:trPr>
          <w:trHeight w:val="243"/>
        </w:trPr>
        <w:tc>
          <w:tcPr>
            <w:tcW w:w="120" w:type="dxa"/>
            <w:vAlign w:val="bottom"/>
          </w:tcPr>
          <w:p>
            <w:pPr>
              <w:spacing w:after="0"/>
              <w:rPr>
                <w:sz w:val="21"/>
                <w:szCs w:val="21"/>
                <w:color w:val="auto"/>
              </w:rPr>
            </w:pPr>
          </w:p>
        </w:tc>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11,329</w:t>
            </w:r>
          </w:p>
        </w:tc>
      </w:tr>
      <w:tr>
        <w:trPr>
          <w:trHeight w:val="248"/>
        </w:trPr>
        <w:tc>
          <w:tcPr>
            <w:tcW w:w="120" w:type="dxa"/>
            <w:vAlign w:val="bottom"/>
          </w:tcPr>
          <w:p>
            <w:pPr>
              <w:spacing w:after="0"/>
              <w:rPr>
                <w:sz w:val="21"/>
                <w:szCs w:val="21"/>
                <w:color w:val="auto"/>
              </w:rPr>
            </w:pPr>
          </w:p>
        </w:tc>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30,147</w:t>
            </w:r>
          </w:p>
        </w:tc>
      </w:tr>
      <w:tr>
        <w:trPr>
          <w:trHeight w:val="20"/>
        </w:trPr>
        <w:tc>
          <w:tcPr>
            <w:tcW w:w="120" w:type="dxa"/>
            <w:vAlign w:val="bottom"/>
          </w:tcPr>
          <w:p>
            <w:pPr>
              <w:spacing w:after="0" w:line="20" w:lineRule="exact"/>
              <w:rPr>
                <w:sz w:val="1"/>
                <w:szCs w:val="1"/>
                <w:color w:val="auto"/>
              </w:rPr>
            </w:pPr>
          </w:p>
        </w:tc>
        <w:tc>
          <w:tcPr>
            <w:tcW w:w="76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30"/>
        </w:trPr>
        <w:tc>
          <w:tcPr>
            <w:tcW w:w="120" w:type="dxa"/>
            <w:vAlign w:val="bottom"/>
          </w:tcPr>
          <w:p>
            <w:pPr>
              <w:spacing w:after="0"/>
              <w:rPr>
                <w:sz w:val="19"/>
                <w:szCs w:val="19"/>
                <w:color w:val="auto"/>
              </w:rPr>
            </w:pPr>
          </w:p>
        </w:tc>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120" w:type="dxa"/>
            <w:vAlign w:val="bottom"/>
          </w:tcPr>
          <w:p>
            <w:pPr>
              <w:spacing w:after="0"/>
              <w:rPr>
                <w:sz w:val="20"/>
                <w:szCs w:val="20"/>
                <w:color w:val="auto"/>
              </w:rPr>
            </w:pPr>
          </w:p>
        </w:tc>
        <w:tc>
          <w:tcPr>
            <w:tcW w:w="768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0.23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36"/>
        </w:trPr>
        <w:tc>
          <w:tcPr>
            <w:tcW w:w="120" w:type="dxa"/>
            <w:vAlign w:val="bottom"/>
          </w:tcPr>
          <w:p>
            <w:pPr>
              <w:spacing w:after="0"/>
              <w:rPr>
                <w:sz w:val="20"/>
                <w:szCs w:val="20"/>
                <w:color w:val="auto"/>
              </w:rPr>
            </w:pPr>
          </w:p>
        </w:tc>
        <w:tc>
          <w:tcPr>
            <w:tcW w:w="7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30"/>
        </w:trPr>
        <w:tc>
          <w:tcPr>
            <w:tcW w:w="120" w:type="dxa"/>
            <w:vAlign w:val="bottom"/>
          </w:tcPr>
          <w:p>
            <w:pPr>
              <w:spacing w:after="0"/>
              <w:rPr>
                <w:sz w:val="19"/>
                <w:szCs w:val="19"/>
                <w:color w:val="auto"/>
              </w:rPr>
            </w:pPr>
          </w:p>
        </w:tc>
        <w:tc>
          <w:tcPr>
            <w:tcW w:w="768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3"/>
        </w:trPr>
        <w:tc>
          <w:tcPr>
            <w:tcW w:w="120" w:type="dxa"/>
            <w:vAlign w:val="bottom"/>
          </w:tcPr>
          <w:p>
            <w:pPr>
              <w:spacing w:after="0"/>
              <w:rPr>
                <w:sz w:val="21"/>
                <w:szCs w:val="21"/>
                <w:color w:val="auto"/>
              </w:rPr>
            </w:pPr>
          </w:p>
        </w:tc>
        <w:tc>
          <w:tcPr>
            <w:tcW w:w="7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81,428</w:t>
            </w:r>
          </w:p>
        </w:tc>
      </w:tr>
      <w:tr>
        <w:trPr>
          <w:trHeight w:val="230"/>
        </w:trPr>
        <w:tc>
          <w:tcPr>
            <w:tcW w:w="120" w:type="dxa"/>
            <w:vAlign w:val="bottom"/>
          </w:tcPr>
          <w:p>
            <w:pPr>
              <w:spacing w:after="0"/>
              <w:rPr>
                <w:sz w:val="19"/>
                <w:szCs w:val="19"/>
                <w:color w:val="auto"/>
              </w:rPr>
            </w:pPr>
          </w:p>
        </w:tc>
        <w:tc>
          <w:tcPr>
            <w:tcW w:w="768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92,136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94,904</w:t>
            </w:r>
          </w:p>
        </w:tc>
      </w:tr>
      <w:tr>
        <w:trPr>
          <w:trHeight w:val="216"/>
        </w:trPr>
        <w:tc>
          <w:tcPr>
            <w:tcW w:w="120" w:type="dxa"/>
            <w:vAlign w:val="bottom"/>
          </w:tcPr>
          <w:p>
            <w:pPr>
              <w:spacing w:after="0"/>
              <w:rPr>
                <w:sz w:val="18"/>
                <w:szCs w:val="18"/>
                <w:color w:val="auto"/>
              </w:rPr>
            </w:pPr>
          </w:p>
        </w:tc>
        <w:tc>
          <w:tcPr>
            <w:tcW w:w="76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768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3"/>
        </w:trPr>
        <w:tc>
          <w:tcPr>
            <w:tcW w:w="120" w:type="dxa"/>
            <w:vAlign w:val="bottom"/>
          </w:tcPr>
          <w:p>
            <w:pPr>
              <w:spacing w:after="0"/>
              <w:rPr>
                <w:sz w:val="21"/>
                <w:szCs w:val="21"/>
                <w:color w:val="auto"/>
              </w:rPr>
            </w:pPr>
          </w:p>
        </w:tc>
        <w:tc>
          <w:tcPr>
            <w:tcW w:w="7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30,147</w:t>
            </w:r>
          </w:p>
        </w:tc>
      </w:tr>
      <w:tr>
        <w:trPr>
          <w:trHeight w:val="230"/>
        </w:trPr>
        <w:tc>
          <w:tcPr>
            <w:tcW w:w="120" w:type="dxa"/>
            <w:vAlign w:val="bottom"/>
          </w:tcPr>
          <w:p>
            <w:pPr>
              <w:spacing w:after="0"/>
              <w:rPr>
                <w:sz w:val="19"/>
                <w:szCs w:val="19"/>
                <w:color w:val="auto"/>
              </w:rPr>
            </w:pPr>
          </w:p>
        </w:tc>
        <w:tc>
          <w:tcPr>
            <w:tcW w:w="7680" w:type="dxa"/>
            <w:vAlign w:val="bottom"/>
            <w:gridSpan w:val="2"/>
          </w:tcPr>
          <w:p>
            <w:pPr>
              <w:ind w:left="220"/>
              <w:spacing w:after="0"/>
              <w:rPr>
                <w:sz w:val="20"/>
                <w:szCs w:val="20"/>
                <w:color w:val="auto"/>
              </w:rPr>
            </w:pPr>
            <w:r>
              <w:rPr>
                <w:rFonts w:ascii="Arial" w:cs="Arial" w:eastAsia="Arial" w:hAnsi="Arial"/>
                <w:sz w:val="18"/>
                <w:szCs w:val="18"/>
                <w:color w:val="auto"/>
              </w:rPr>
              <w:t>Unrealized gain on hedge instruments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120" w:type="dxa"/>
            <w:vAlign w:val="bottom"/>
          </w:tcPr>
          <w:p>
            <w:pPr>
              <w:spacing w:after="0"/>
              <w:rPr>
                <w:sz w:val="19"/>
                <w:szCs w:val="19"/>
                <w:color w:val="auto"/>
              </w:rPr>
            </w:pPr>
          </w:p>
        </w:tc>
        <w:tc>
          <w:tcPr>
            <w:tcW w:w="7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Tax provision of unrealized gain on hedge instruments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6"/>
        </w:trPr>
        <w:tc>
          <w:tcPr>
            <w:tcW w:w="120" w:type="dxa"/>
            <w:vAlign w:val="bottom"/>
          </w:tcPr>
          <w:p>
            <w:pPr>
              <w:spacing w:after="0"/>
              <w:rPr>
                <w:sz w:val="20"/>
                <w:szCs w:val="20"/>
                <w:color w:val="auto"/>
              </w:rPr>
            </w:pPr>
          </w:p>
        </w:tc>
        <w:tc>
          <w:tcPr>
            <w:tcW w:w="768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18,458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30,335</w:t>
            </w:r>
          </w:p>
        </w:tc>
      </w:tr>
      <w:tr>
        <w:trPr>
          <w:trHeight w:val="20"/>
        </w:trPr>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9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1"/>
        </w:trPr>
        <w:tc>
          <w:tcPr>
            <w:tcW w:w="1280" w:type="dxa"/>
            <w:vAlign w:val="bottom"/>
            <w:tcBorders>
              <w:top w:val="single" w:sz="8" w:color="0000FF"/>
            </w:tcBorders>
          </w:tcPr>
          <w:p>
            <w:pPr>
              <w:spacing w:after="0"/>
              <w:rPr>
                <w:sz w:val="24"/>
                <w:szCs w:val="24"/>
                <w:color w:val="auto"/>
              </w:rPr>
            </w:pPr>
          </w:p>
        </w:tc>
        <w:tc>
          <w:tcPr>
            <w:tcW w:w="1680" w:type="dxa"/>
            <w:vAlign w:val="bottom"/>
          </w:tcPr>
          <w:p>
            <w:pPr>
              <w:spacing w:after="0"/>
              <w:rPr>
                <w:sz w:val="24"/>
                <w:szCs w:val="24"/>
                <w:color w:val="auto"/>
              </w:rPr>
            </w:pPr>
          </w:p>
        </w:tc>
        <w:tc>
          <w:tcPr>
            <w:tcW w:w="4660" w:type="dxa"/>
            <w:vAlign w:val="bottom"/>
            <w:gridSpan w:val="7"/>
          </w:tcPr>
          <w:p>
            <w:pPr>
              <w:jc w:val="right"/>
              <w:ind w:right="90"/>
              <w:spacing w:after="0"/>
              <w:rPr>
                <w:sz w:val="20"/>
                <w:szCs w:val="20"/>
                <w:color w:val="auto"/>
              </w:rPr>
            </w:pPr>
            <w:r>
              <w:rPr>
                <w:rFonts w:ascii="Arial" w:cs="Arial" w:eastAsia="Arial" w:hAnsi="Arial"/>
                <w:sz w:val="18"/>
                <w:szCs w:val="18"/>
                <w:b w:val="1"/>
                <w:bCs w:val="1"/>
                <w:color w:val="auto"/>
              </w:rPr>
              <w:t>National Vision Holdings, Inc. and Subsidiaries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660" w:type="dxa"/>
            <w:vAlign w:val="bottom"/>
            <w:gridSpan w:val="9"/>
          </w:tcPr>
          <w:p>
            <w:pPr>
              <w:jc w:val="right"/>
              <w:ind w:right="590"/>
              <w:spacing w:after="0"/>
              <w:rPr>
                <w:sz w:val="20"/>
                <w:szCs w:val="20"/>
                <w:color w:val="auto"/>
              </w:rPr>
            </w:pPr>
            <w:r>
              <w:rPr>
                <w:rFonts w:ascii="Arial" w:cs="Arial" w:eastAsia="Arial" w:hAnsi="Arial"/>
                <w:sz w:val="18"/>
                <w:szCs w:val="18"/>
                <w:b w:val="1"/>
                <w:bCs w:val="1"/>
                <w:color w:val="auto"/>
                <w:w w:val="94"/>
              </w:rPr>
              <w:t>Condensed Consolidated Statements of Stockholders’ Equity</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i w:val="1"/>
                <w:iCs w:val="1"/>
                <w:color w:val="auto"/>
              </w:rPr>
              <w:t>In Thousands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(Unaudited)</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color w:val="auto"/>
              </w:rPr>
              <w:t>Three Months Ended April 1, 2023</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00" w:type="dxa"/>
            <w:vAlign w:val="bottom"/>
            <w:gridSpan w:val="3"/>
          </w:tcPr>
          <w:p>
            <w:pPr>
              <w:jc w:val="right"/>
              <w:ind w:right="310"/>
              <w:spacing w:after="0" w:line="196" w:lineRule="exact"/>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restart"/>
          </w:tcPr>
          <w:p>
            <w:pPr>
              <w:jc w:val="center"/>
              <w:ind w:right="50"/>
              <w:spacing w:after="0" w:line="161" w:lineRule="exact"/>
              <w:rPr>
                <w:sz w:val="20"/>
                <w:szCs w:val="20"/>
                <w:color w:val="auto"/>
              </w:rPr>
            </w:pPr>
            <w:r>
              <w:rPr>
                <w:rFonts w:ascii="Arial" w:cs="Arial" w:eastAsia="Arial" w:hAnsi="Arial"/>
                <w:sz w:val="18"/>
                <w:szCs w:val="18"/>
                <w:color w:val="auto"/>
                <w:w w:val="98"/>
              </w:rPr>
              <w:t>Additional</w:t>
            </w:r>
          </w:p>
        </w:tc>
        <w:tc>
          <w:tcPr>
            <w:tcW w:w="180" w:type="dxa"/>
            <w:vAlign w:val="bottom"/>
          </w:tcPr>
          <w:p>
            <w:pPr>
              <w:spacing w:after="0"/>
              <w:rPr>
                <w:sz w:val="5"/>
                <w:szCs w:val="5"/>
                <w:color w:val="auto"/>
              </w:rPr>
            </w:pPr>
          </w:p>
        </w:tc>
        <w:tc>
          <w:tcPr>
            <w:tcW w:w="1440" w:type="dxa"/>
            <w:vAlign w:val="bottom"/>
            <w:vMerge w:val="restart"/>
          </w:tcPr>
          <w:p>
            <w:pPr>
              <w:jc w:val="center"/>
              <w:ind w:right="70"/>
              <w:spacing w:after="0" w:line="161" w:lineRule="exact"/>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vMerge w:val="restart"/>
          </w:tcPr>
          <w:p>
            <w:pPr>
              <w:jc w:val="center"/>
              <w:ind w:right="90"/>
              <w:spacing w:after="0" w:line="161"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74"/>
        </w:trPr>
        <w:tc>
          <w:tcPr>
            <w:tcW w:w="12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40" w:type="dxa"/>
            <w:vAlign w:val="bottom"/>
            <w:vMerge w:val="restart"/>
          </w:tcPr>
          <w:p>
            <w:pPr>
              <w:jc w:val="right"/>
              <w:ind w:right="15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5"/>
                <w:szCs w:val="15"/>
                <w:color w:val="auto"/>
              </w:rPr>
            </w:pPr>
          </w:p>
        </w:tc>
        <w:tc>
          <w:tcPr>
            <w:tcW w:w="820" w:type="dxa"/>
            <w:vAlign w:val="bottom"/>
            <w:vMerge w:val="restart"/>
          </w:tcPr>
          <w:p>
            <w:pPr>
              <w:jc w:val="right"/>
              <w:ind w:right="11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15"/>
                <w:szCs w:val="15"/>
                <w:color w:val="auto"/>
              </w:rPr>
            </w:pPr>
          </w:p>
        </w:tc>
        <w:tc>
          <w:tcPr>
            <w:tcW w:w="10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4"/>
              </w:rPr>
              <w:t>Paid-In</w:t>
            </w:r>
          </w:p>
        </w:tc>
        <w:tc>
          <w:tcPr>
            <w:tcW w:w="180" w:type="dxa"/>
            <w:vAlign w:val="bottom"/>
          </w:tcPr>
          <w:p>
            <w:pPr>
              <w:spacing w:after="0"/>
              <w:rPr>
                <w:sz w:val="15"/>
                <w:szCs w:val="15"/>
                <w:color w:val="auto"/>
              </w:rPr>
            </w:pPr>
          </w:p>
        </w:tc>
        <w:tc>
          <w:tcPr>
            <w:tcW w:w="14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8"/>
              </w:rPr>
              <w:t>Comprehensive</w:t>
            </w:r>
          </w:p>
        </w:tc>
        <w:tc>
          <w:tcPr>
            <w:tcW w:w="160" w:type="dxa"/>
            <w:vAlign w:val="bottom"/>
          </w:tcPr>
          <w:p>
            <w:pPr>
              <w:spacing w:after="0"/>
              <w:rPr>
                <w:sz w:val="15"/>
                <w:szCs w:val="15"/>
                <w:color w:val="auto"/>
              </w:rPr>
            </w:pPr>
          </w:p>
        </w:tc>
        <w:tc>
          <w:tcPr>
            <w:tcW w:w="840" w:type="dxa"/>
            <w:vAlign w:val="bottom"/>
          </w:tcPr>
          <w:p>
            <w:pPr>
              <w:jc w:val="right"/>
              <w:ind w:right="70"/>
              <w:spacing w:after="0" w:line="176" w:lineRule="exact"/>
              <w:rPr>
                <w:sz w:val="20"/>
                <w:szCs w:val="20"/>
                <w:color w:val="auto"/>
              </w:rPr>
            </w:pPr>
            <w:r>
              <w:rPr>
                <w:rFonts w:ascii="Arial" w:cs="Arial" w:eastAsia="Arial" w:hAnsi="Arial"/>
                <w:sz w:val="18"/>
                <w:szCs w:val="18"/>
                <w:color w:val="auto"/>
                <w:w w:val="91"/>
              </w:rPr>
              <w:t>Retained</w:t>
            </w:r>
          </w:p>
        </w:tc>
        <w:tc>
          <w:tcPr>
            <w:tcW w:w="200" w:type="dxa"/>
            <w:vAlign w:val="bottom"/>
          </w:tcPr>
          <w:p>
            <w:pPr>
              <w:spacing w:after="0"/>
              <w:rPr>
                <w:sz w:val="15"/>
                <w:szCs w:val="15"/>
                <w:color w:val="auto"/>
              </w:rPr>
            </w:pPr>
          </w:p>
        </w:tc>
        <w:tc>
          <w:tcPr>
            <w:tcW w:w="94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Treasury</w:t>
            </w:r>
          </w:p>
        </w:tc>
        <w:tc>
          <w:tcPr>
            <w:tcW w:w="180" w:type="dxa"/>
            <w:vAlign w:val="bottom"/>
          </w:tcPr>
          <w:p>
            <w:pPr>
              <w:spacing w:after="0"/>
              <w:rPr>
                <w:sz w:val="15"/>
                <w:szCs w:val="15"/>
                <w:color w:val="auto"/>
              </w:rPr>
            </w:pPr>
          </w:p>
        </w:tc>
        <w:tc>
          <w:tcPr>
            <w:tcW w:w="13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Capital</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Loss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Earnings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Stock</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37"/>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December 31, 2022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901,113</w:t>
            </w:r>
          </w:p>
        </w:tc>
        <w:tc>
          <w:tcPr>
            <w:tcW w:w="0" w:type="dxa"/>
            <w:vAlign w:val="bottom"/>
          </w:tcPr>
          <w:p>
            <w:pPr>
              <w:spacing w:after="0"/>
              <w:rPr>
                <w:sz w:val="1"/>
                <w:szCs w:val="1"/>
                <w:color w:val="auto"/>
              </w:rPr>
            </w:pPr>
          </w:p>
        </w:tc>
      </w:tr>
      <w:tr>
        <w:trPr>
          <w:trHeight w:val="229"/>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9"/>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(1,189)</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(27,609)</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(27,609)</w:t>
            </w:r>
          </w:p>
        </w:tc>
        <w:tc>
          <w:tcPr>
            <w:tcW w:w="0" w:type="dxa"/>
            <w:vAlign w:val="bottom"/>
          </w:tcPr>
          <w:p>
            <w:pPr>
              <w:spacing w:after="0"/>
              <w:rPr>
                <w:sz w:val="1"/>
                <w:szCs w:val="1"/>
                <w:color w:val="auto"/>
              </w:rPr>
            </w:pPr>
          </w:p>
        </w:tc>
      </w:tr>
      <w:tr>
        <w:trPr>
          <w:trHeight w:val="236"/>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Settlement of 2025 Notes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96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0"/>
              </w:rPr>
              <w:t>Unrealized gain on hedge instruments,</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net of tax</w:t>
            </w:r>
          </w:p>
        </w:tc>
        <w:tc>
          <w:tcPr>
            <w:tcW w:w="9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0" w:type="dxa"/>
            <w:vAlign w:val="bottom"/>
          </w:tcPr>
          <w:p>
            <w:pPr>
              <w:spacing w:after="0"/>
              <w:rPr>
                <w:sz w:val="1"/>
                <w:szCs w:val="1"/>
                <w:color w:val="auto"/>
              </w:rPr>
            </w:pPr>
          </w:p>
        </w:tc>
      </w:tr>
      <w:tr>
        <w:trPr>
          <w:trHeight w:val="224"/>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Balances at April 1, 2023</w:t>
            </w:r>
          </w:p>
        </w:tc>
        <w:tc>
          <w:tcPr>
            <w:tcW w:w="940" w:type="dxa"/>
            <w:vAlign w:val="bottom"/>
          </w:tcPr>
          <w:p>
            <w:pPr>
              <w:jc w:val="right"/>
              <w:spacing w:after="0"/>
              <w:rPr>
                <w:sz w:val="20"/>
                <w:szCs w:val="20"/>
                <w:color w:val="auto"/>
              </w:rPr>
            </w:pPr>
            <w:r>
              <w:rPr>
                <w:rFonts w:ascii="Arial" w:cs="Arial" w:eastAsia="Arial" w:hAnsi="Arial"/>
                <w:sz w:val="18"/>
                <w:szCs w:val="18"/>
                <w:color w:val="auto"/>
              </w:rPr>
              <w:t>78,085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771,873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(991)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338,787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(213,788)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896,726</w:t>
            </w:r>
          </w:p>
        </w:tc>
        <w:tc>
          <w:tcPr>
            <w:tcW w:w="0" w:type="dxa"/>
            <w:vAlign w:val="bottom"/>
          </w:tcPr>
          <w:p>
            <w:pPr>
              <w:spacing w:after="0"/>
              <w:rPr>
                <w:sz w:val="1"/>
                <w:szCs w:val="1"/>
                <w:color w:val="auto"/>
              </w:rPr>
            </w:pPr>
          </w:p>
        </w:tc>
      </w:tr>
      <w:tr>
        <w:trPr>
          <w:trHeight w:val="809"/>
        </w:trPr>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color w:val="auto"/>
              </w:rPr>
              <w:t>Three Months Ended April 2, 2022</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00" w:type="dxa"/>
            <w:vAlign w:val="bottom"/>
            <w:gridSpan w:val="3"/>
          </w:tcPr>
          <w:p>
            <w:pPr>
              <w:jc w:val="right"/>
              <w:ind w:right="31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restart"/>
          </w:tcPr>
          <w:p>
            <w:pPr>
              <w:jc w:val="center"/>
              <w:ind w:right="50"/>
              <w:spacing w:after="0" w:line="149" w:lineRule="exact"/>
              <w:rPr>
                <w:sz w:val="20"/>
                <w:szCs w:val="20"/>
                <w:color w:val="auto"/>
              </w:rPr>
            </w:pPr>
            <w:r>
              <w:rPr>
                <w:rFonts w:ascii="Arial" w:cs="Arial" w:eastAsia="Arial" w:hAnsi="Arial"/>
                <w:sz w:val="17"/>
                <w:szCs w:val="17"/>
                <w:color w:val="auto"/>
              </w:rPr>
              <w:t>Additional</w:t>
            </w:r>
          </w:p>
        </w:tc>
        <w:tc>
          <w:tcPr>
            <w:tcW w:w="180" w:type="dxa"/>
            <w:vAlign w:val="bottom"/>
          </w:tcPr>
          <w:p>
            <w:pPr>
              <w:spacing w:after="0"/>
              <w:rPr>
                <w:sz w:val="4"/>
                <w:szCs w:val="4"/>
                <w:color w:val="auto"/>
              </w:rPr>
            </w:pPr>
          </w:p>
        </w:tc>
        <w:tc>
          <w:tcPr>
            <w:tcW w:w="1440" w:type="dxa"/>
            <w:vAlign w:val="bottom"/>
            <w:vMerge w:val="restart"/>
          </w:tcPr>
          <w:p>
            <w:pPr>
              <w:jc w:val="center"/>
              <w:ind w:right="70"/>
              <w:spacing w:after="0" w:line="149" w:lineRule="exact"/>
              <w:rPr>
                <w:sz w:val="20"/>
                <w:szCs w:val="20"/>
                <w:color w:val="auto"/>
              </w:rPr>
            </w:pPr>
            <w:r>
              <w:rPr>
                <w:rFonts w:ascii="Arial" w:cs="Arial" w:eastAsia="Arial" w:hAnsi="Arial"/>
                <w:sz w:val="17"/>
                <w:szCs w:val="17"/>
                <w:color w:val="auto"/>
                <w:w w:val="93"/>
              </w:rPr>
              <w:t>Other</w:t>
            </w:r>
          </w:p>
        </w:tc>
        <w:tc>
          <w:tcPr>
            <w:tcW w:w="160" w:type="dxa"/>
            <w:vAlign w:val="bottom"/>
          </w:tcPr>
          <w:p>
            <w:pPr>
              <w:spacing w:after="0"/>
              <w:rPr>
                <w:sz w:val="4"/>
                <w:szCs w:val="4"/>
                <w:color w:val="auto"/>
              </w:rPr>
            </w:pP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w w:val="91"/>
              </w:rPr>
              <w:t>Retained</w:t>
            </w:r>
          </w:p>
        </w:tc>
        <w:tc>
          <w:tcPr>
            <w:tcW w:w="200" w:type="dxa"/>
            <w:vAlign w:val="bottom"/>
          </w:tcPr>
          <w:p>
            <w:pPr>
              <w:spacing w:after="0"/>
              <w:rPr>
                <w:sz w:val="4"/>
                <w:szCs w:val="4"/>
                <w:color w:val="auto"/>
              </w:rPr>
            </w:pPr>
          </w:p>
        </w:tc>
        <w:tc>
          <w:tcPr>
            <w:tcW w:w="940" w:type="dxa"/>
            <w:vAlign w:val="bottom"/>
            <w:vMerge w:val="restart"/>
          </w:tcPr>
          <w:p>
            <w:pPr>
              <w:jc w:val="center"/>
              <w:ind w:right="90"/>
              <w:spacing w:after="0"/>
              <w:rPr>
                <w:sz w:val="20"/>
                <w:szCs w:val="20"/>
                <w:color w:val="auto"/>
              </w:rPr>
            </w:pPr>
            <w:r>
              <w:rPr>
                <w:rFonts w:ascii="Arial" w:cs="Arial" w:eastAsia="Arial" w:hAnsi="Arial"/>
                <w:sz w:val="18"/>
                <w:szCs w:val="18"/>
                <w:color w:val="auto"/>
                <w:w w:val="90"/>
              </w:rPr>
              <w:t>Treasury</w:t>
            </w:r>
          </w:p>
        </w:tc>
        <w:tc>
          <w:tcPr>
            <w:tcW w:w="180" w:type="dxa"/>
            <w:vAlign w:val="bottom"/>
          </w:tcPr>
          <w:p>
            <w:pPr>
              <w:spacing w:after="0"/>
              <w:rPr>
                <w:sz w:val="4"/>
                <w:szCs w:val="4"/>
                <w:color w:val="auto"/>
              </w:rPr>
            </w:pPr>
          </w:p>
        </w:tc>
        <w:tc>
          <w:tcPr>
            <w:tcW w:w="1300" w:type="dxa"/>
            <w:vAlign w:val="bottom"/>
            <w:vMerge w:val="restart"/>
          </w:tcPr>
          <w:p>
            <w:pPr>
              <w:jc w:val="center"/>
              <w:ind w:right="90"/>
              <w:spacing w:after="0" w:line="149" w:lineRule="exact"/>
              <w:rPr>
                <w:sz w:val="20"/>
                <w:szCs w:val="20"/>
                <w:color w:val="auto"/>
              </w:rPr>
            </w:pPr>
            <w:r>
              <w:rPr>
                <w:rFonts w:ascii="Arial" w:cs="Arial" w:eastAsia="Arial" w:hAnsi="Arial"/>
                <w:sz w:val="17"/>
                <w:szCs w:val="17"/>
                <w:color w:val="auto"/>
                <w:w w:val="95"/>
              </w:rPr>
              <w:t>Total</w:t>
            </w:r>
          </w:p>
        </w:tc>
        <w:tc>
          <w:tcPr>
            <w:tcW w:w="0" w:type="dxa"/>
            <w:vAlign w:val="bottom"/>
          </w:tcPr>
          <w:p>
            <w:pPr>
              <w:spacing w:after="0"/>
              <w:rPr>
                <w:sz w:val="1"/>
                <w:szCs w:val="1"/>
                <w:color w:val="auto"/>
              </w:rPr>
            </w:pPr>
          </w:p>
        </w:tc>
      </w:tr>
      <w:tr>
        <w:trPr>
          <w:trHeight w:val="74"/>
        </w:trPr>
        <w:tc>
          <w:tcPr>
            <w:tcW w:w="12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40" w:type="dxa"/>
            <w:vAlign w:val="bottom"/>
            <w:vMerge w:val="restart"/>
          </w:tcPr>
          <w:p>
            <w:pPr>
              <w:jc w:val="right"/>
              <w:ind w:right="15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5"/>
                <w:szCs w:val="15"/>
                <w:color w:val="auto"/>
              </w:rPr>
            </w:pPr>
          </w:p>
        </w:tc>
        <w:tc>
          <w:tcPr>
            <w:tcW w:w="820" w:type="dxa"/>
            <w:vAlign w:val="bottom"/>
            <w:vMerge w:val="restart"/>
          </w:tcPr>
          <w:p>
            <w:pPr>
              <w:jc w:val="right"/>
              <w:ind w:right="11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15"/>
                <w:szCs w:val="15"/>
                <w:color w:val="auto"/>
              </w:rPr>
            </w:pPr>
          </w:p>
        </w:tc>
        <w:tc>
          <w:tcPr>
            <w:tcW w:w="10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4"/>
              </w:rPr>
              <w:t>Paid-In</w:t>
            </w:r>
          </w:p>
        </w:tc>
        <w:tc>
          <w:tcPr>
            <w:tcW w:w="180" w:type="dxa"/>
            <w:vAlign w:val="bottom"/>
          </w:tcPr>
          <w:p>
            <w:pPr>
              <w:spacing w:after="0"/>
              <w:rPr>
                <w:sz w:val="15"/>
                <w:szCs w:val="15"/>
                <w:color w:val="auto"/>
              </w:rPr>
            </w:pPr>
          </w:p>
        </w:tc>
        <w:tc>
          <w:tcPr>
            <w:tcW w:w="14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8"/>
              </w:rPr>
              <w:t>Comprehensive</w:t>
            </w: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7"/>
        </w:trPr>
        <w:tc>
          <w:tcPr>
            <w:tcW w:w="128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Capital</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Loss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Earnings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Stock</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9"/>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January 1, 2022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278,395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925,980</w:t>
            </w:r>
          </w:p>
        </w:tc>
        <w:tc>
          <w:tcPr>
            <w:tcW w:w="0" w:type="dxa"/>
            <w:vAlign w:val="bottom"/>
          </w:tcPr>
          <w:p>
            <w:pPr>
              <w:spacing w:after="0"/>
              <w:rPr>
                <w:sz w:val="1"/>
                <w:szCs w:val="1"/>
                <w:color w:val="auto"/>
              </w:rPr>
            </w:pPr>
          </w:p>
        </w:tc>
      </w:tr>
      <w:tr>
        <w:trPr>
          <w:trHeight w:val="229"/>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1,366</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43"/>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29"/>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(10,649)</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(10,649)</w:t>
            </w: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Settlement of 2025 Notes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8"/>
        </w:trPr>
        <w:tc>
          <w:tcPr>
            <w:tcW w:w="2960" w:type="dxa"/>
            <w:vAlign w:val="bottom"/>
            <w:gridSpan w:val="2"/>
          </w:tcPr>
          <w:p>
            <w:pPr>
              <w:ind w:left="140"/>
              <w:spacing w:after="0" w:line="189" w:lineRule="exact"/>
              <w:rPr>
                <w:sz w:val="20"/>
                <w:szCs w:val="20"/>
                <w:color w:val="auto"/>
              </w:rPr>
            </w:pPr>
            <w:r>
              <w:rPr>
                <w:rFonts w:ascii="Arial" w:cs="Arial" w:eastAsia="Arial" w:hAnsi="Arial"/>
                <w:sz w:val="18"/>
                <w:szCs w:val="18"/>
                <w:color w:val="auto"/>
                <w:w w:val="90"/>
              </w:rPr>
              <w:t>Unrealized gain on hedge instruments,</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net of tax</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30,147</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30,147</w:t>
            </w:r>
          </w:p>
        </w:tc>
        <w:tc>
          <w:tcPr>
            <w:tcW w:w="0" w:type="dxa"/>
            <w:vAlign w:val="bottom"/>
          </w:tcPr>
          <w:p>
            <w:pPr>
              <w:spacing w:after="0"/>
              <w:rPr>
                <w:sz w:val="1"/>
                <w:szCs w:val="1"/>
                <w:color w:val="auto"/>
              </w:rPr>
            </w:pPr>
          </w:p>
        </w:tc>
      </w:tr>
      <w:tr>
        <w:trPr>
          <w:trHeight w:val="224"/>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Balances at April 2, 2022</w:t>
            </w:r>
          </w:p>
        </w:tc>
        <w:tc>
          <w:tcPr>
            <w:tcW w:w="940" w:type="dxa"/>
            <w:vAlign w:val="bottom"/>
          </w:tcPr>
          <w:p>
            <w:pPr>
              <w:jc w:val="right"/>
              <w:spacing w:after="0"/>
              <w:rPr>
                <w:sz w:val="20"/>
                <w:szCs w:val="20"/>
                <w:color w:val="auto"/>
              </w:rPr>
            </w:pPr>
            <w:r>
              <w:rPr>
                <w:rFonts w:ascii="Arial" w:cs="Arial" w:eastAsia="Arial" w:hAnsi="Arial"/>
                <w:sz w:val="18"/>
                <w:szCs w:val="18"/>
                <w:color w:val="auto"/>
              </w:rPr>
              <w:t>81,422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755,535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(1,752)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308,542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(112,440)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950,726</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color w:val="auto"/>
              </w:rPr>
              <w:t>Three Months Ended</w:t>
            </w:r>
          </w:p>
        </w:tc>
      </w:tr>
      <w:tr>
        <w:trPr>
          <w:trHeight w:val="209"/>
        </w:trPr>
        <w:tc>
          <w:tcPr>
            <w:tcW w:w="77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April 1, 2023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April 2, 2022</w:t>
            </w:r>
          </w:p>
        </w:tc>
      </w:tr>
      <w:tr>
        <w:trPr>
          <w:trHeight w:val="19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18,270</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30,147</w:t>
            </w: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24,813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25,151</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expense (benefit)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8,410</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Stock based compensation expense</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3,734</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Losses (gains) on change in fair value of derivatives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(9,727)</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Inventory adjustments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838</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(6,620)</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(4,570)</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 and lease liabilities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1,875</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5,083</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Deferred and unearned revenue</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13,814</w:t>
            </w:r>
          </w:p>
        </w:tc>
      </w:tr>
      <w:tr>
        <w:trPr>
          <w:trHeight w:val="219"/>
        </w:trPr>
        <w:tc>
          <w:tcPr>
            <w:tcW w:w="7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(23,786)</w:t>
            </w:r>
          </w:p>
        </w:tc>
      </w:tr>
      <w:tr>
        <w:trPr>
          <w:trHeight w:val="209"/>
        </w:trPr>
        <w:tc>
          <w:tcPr>
            <w:tcW w:w="77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74,064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47,117</w:t>
            </w:r>
          </w:p>
        </w:tc>
      </w:tr>
      <w:tr>
        <w:trPr>
          <w:trHeight w:val="210"/>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Purchase of property and equipment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(27,721)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(28,097)</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for investing activities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(28,077)</w:t>
            </w:r>
          </w:p>
        </w:tc>
      </w:tr>
      <w:tr>
        <w:trPr>
          <w:trHeight w:val="19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Repayments on long-term debt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Purchase of treasury stock</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(27,609)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(10,649)</w:t>
            </w:r>
          </w:p>
        </w:tc>
      </w:tr>
      <w:tr>
        <w:trPr>
          <w:trHeight w:val="219"/>
        </w:trPr>
        <w:tc>
          <w:tcPr>
            <w:tcW w:w="7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Payments on finance lease obligations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w:t>
            </w:r>
          </w:p>
        </w:tc>
      </w:tr>
      <w:tr>
        <w:trPr>
          <w:trHeight w:val="209"/>
        </w:trPr>
        <w:tc>
          <w:tcPr>
            <w:tcW w:w="7740" w:type="dxa"/>
            <w:vAlign w:val="bottom"/>
          </w:tcPr>
          <w:p>
            <w:pPr>
              <w:ind w:left="20"/>
              <w:spacing w:after="0"/>
              <w:rPr>
                <w:sz w:val="20"/>
                <w:szCs w:val="20"/>
                <w:color w:val="auto"/>
              </w:rPr>
            </w:pPr>
            <w:r>
              <w:rPr>
                <w:rFonts w:ascii="Arial" w:cs="Arial" w:eastAsia="Arial" w:hAnsi="Arial"/>
                <w:sz w:val="16"/>
                <w:szCs w:val="16"/>
                <w:color w:val="auto"/>
              </w:rPr>
              <w:t>Net cash used for financing activities</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(9,941)</w:t>
            </w:r>
          </w:p>
        </w:tc>
      </w:tr>
      <w:tr>
        <w:trPr>
          <w:trHeight w:val="210"/>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9,099</w:t>
            </w: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230,624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306,876</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248,411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315,975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7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459</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2,322</w:t>
            </w: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(received) for taxes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10"/>
        </w:trPr>
        <w:tc>
          <w:tcPr>
            <w:tcW w:w="7740" w:type="dxa"/>
            <w:vAlign w:val="bottom"/>
          </w:tcPr>
          <w:p>
            <w:pPr>
              <w:ind w:left="20"/>
              <w:spacing w:after="0"/>
              <w:rPr>
                <w:sz w:val="20"/>
                <w:szCs w:val="20"/>
                <w:color w:val="auto"/>
              </w:rPr>
            </w:pPr>
            <w:r>
              <w:rPr>
                <w:rFonts w:ascii="Arial" w:cs="Arial" w:eastAsia="Arial" w:hAnsi="Arial"/>
                <w:sz w:val="16"/>
                <w:szCs w:val="16"/>
                <w:color w:val="auto"/>
              </w:rPr>
              <w:t>Capital expenditures accrued at the end of the period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7,634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10,129</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Notes to Condensed Consolidated Financial Statements</w:t>
      </w: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w w:val="76"/>
              </w:rPr>
              <w:t>Page</w:t>
            </w:r>
          </w:p>
        </w:tc>
      </w:tr>
      <w:tr>
        <w:trPr>
          <w:trHeight w:val="459"/>
        </w:trPr>
        <w:tc>
          <w:tcPr>
            <w:tcW w:w="160" w:type="dxa"/>
            <w:vAlign w:val="bottom"/>
          </w:tcPr>
          <w:p>
            <w:pPr>
              <w:jc w:val="right"/>
              <w:spacing w:after="0"/>
              <w:rPr>
                <w:sz w:val="20"/>
                <w:szCs w:val="20"/>
                <w:color w:val="auto"/>
              </w:rPr>
            </w:pPr>
            <w:r>
              <w:rPr>
                <w:rFonts w:ascii="Arial" w:cs="Arial" w:eastAsia="Arial" w:hAnsi="Arial"/>
                <w:sz w:val="18"/>
                <w:szCs w:val="18"/>
                <w:color w:val="0000FF"/>
                <w:w w:val="79"/>
              </w:rPr>
              <w:t>1.</w:t>
            </w:r>
          </w:p>
        </w:tc>
        <w:tc>
          <w:tcPr>
            <w:tcW w:w="3620" w:type="dxa"/>
            <w:vAlign w:val="bottom"/>
            <w:gridSpan w:val="8"/>
          </w:tcPr>
          <w:p>
            <w:pPr>
              <w:ind w:left="20"/>
              <w:spacing w:after="0"/>
              <w:rPr>
                <w:sz w:val="20"/>
                <w:szCs w:val="20"/>
                <w:color w:val="auto"/>
              </w:rPr>
            </w:pPr>
            <w:r>
              <w:rPr>
                <w:rFonts w:ascii="Arial" w:cs="Arial" w:eastAsia="Arial" w:hAnsi="Arial"/>
                <w:sz w:val="18"/>
                <w:szCs w:val="18"/>
                <w:color w:val="0000FF"/>
                <w:w w:val="89"/>
              </w:rPr>
              <w:t>Description of Business and Basis of Presentation</w:t>
            </w:r>
          </w:p>
        </w:tc>
        <w:tc>
          <w:tcPr>
            <w:tcW w:w="6180" w:type="dxa"/>
            <w:vAlign w:val="bottom"/>
            <w:gridSpan w:val="3"/>
          </w:tcPr>
          <w:p>
            <w:pPr>
              <w:ind w:left="5840"/>
              <w:spacing w:after="0"/>
              <w:rPr>
                <w:sz w:val="20"/>
                <w:szCs w:val="20"/>
                <w:color w:val="auto"/>
              </w:rPr>
            </w:pPr>
            <w:r>
              <w:rPr>
                <w:rFonts w:ascii="Arial" w:cs="Arial" w:eastAsia="Arial" w:hAnsi="Arial"/>
                <w:sz w:val="18"/>
                <w:szCs w:val="18"/>
                <w:color w:val="0000FF"/>
              </w:rPr>
              <w:t>10</w:t>
            </w:r>
          </w:p>
        </w:tc>
      </w:tr>
      <w:tr>
        <w:trPr>
          <w:trHeight w:val="20"/>
        </w:trPr>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0000FF"/>
                <w:w w:val="79"/>
              </w:rPr>
              <w:t>2.</w:t>
            </w:r>
          </w:p>
        </w:tc>
        <w:tc>
          <w:tcPr>
            <w:tcW w:w="3620" w:type="dxa"/>
            <w:vAlign w:val="bottom"/>
            <w:gridSpan w:val="8"/>
          </w:tcPr>
          <w:p>
            <w:pPr>
              <w:ind w:left="20"/>
              <w:spacing w:after="0"/>
              <w:rPr>
                <w:sz w:val="20"/>
                <w:szCs w:val="20"/>
                <w:color w:val="auto"/>
              </w:rPr>
            </w:pPr>
            <w:r>
              <w:rPr>
                <w:rFonts w:ascii="Arial" w:cs="Arial" w:eastAsia="Arial" w:hAnsi="Arial"/>
                <w:sz w:val="18"/>
                <w:szCs w:val="18"/>
                <w:color w:val="0000FF"/>
              </w:rPr>
              <w:t>Details of Certain Balance Sheet Accounts</w:t>
            </w:r>
          </w:p>
        </w:tc>
        <w:tc>
          <w:tcPr>
            <w:tcW w:w="6000" w:type="dxa"/>
            <w:vAlign w:val="bottom"/>
            <w:gridSpan w:val="2"/>
          </w:tcPr>
          <w:p>
            <w:pPr>
              <w:ind w:left="5840"/>
              <w:spacing w:after="0"/>
              <w:rPr>
                <w:sz w:val="20"/>
                <w:szCs w:val="20"/>
                <w:color w:val="auto"/>
              </w:rPr>
            </w:pPr>
            <w:r>
              <w:rPr>
                <w:rFonts w:ascii="Arial" w:cs="Arial" w:eastAsia="Arial" w:hAnsi="Arial"/>
                <w:sz w:val="15"/>
                <w:szCs w:val="15"/>
                <w:color w:val="0000FF"/>
                <w:w w:val="71"/>
              </w:rPr>
              <w:t>11</w:t>
            </w:r>
          </w:p>
        </w:tc>
        <w:tc>
          <w:tcPr>
            <w:tcW w:w="180" w:type="dxa"/>
            <w:vAlign w:val="bottom"/>
          </w:tcPr>
          <w:p>
            <w:pPr>
              <w:spacing w:after="0"/>
              <w:rPr>
                <w:sz w:val="19"/>
                <w:szCs w:val="19"/>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60" w:type="dxa"/>
            <w:vAlign w:val="bottom"/>
          </w:tcPr>
          <w:p>
            <w:pPr>
              <w:jc w:val="right"/>
              <w:spacing w:after="0"/>
              <w:rPr>
                <w:sz w:val="20"/>
                <w:szCs w:val="20"/>
                <w:color w:val="auto"/>
              </w:rPr>
            </w:pPr>
            <w:r>
              <w:rPr>
                <w:rFonts w:ascii="Arial" w:cs="Arial" w:eastAsia="Arial" w:hAnsi="Arial"/>
                <w:sz w:val="18"/>
                <w:szCs w:val="18"/>
                <w:color w:val="0000FF"/>
                <w:w w:val="79"/>
              </w:rPr>
              <w:t>3.</w:t>
            </w:r>
          </w:p>
        </w:tc>
        <w:tc>
          <w:tcPr>
            <w:tcW w:w="1800" w:type="dxa"/>
            <w:vAlign w:val="bottom"/>
            <w:gridSpan w:val="4"/>
          </w:tcPr>
          <w:p>
            <w:pPr>
              <w:ind w:left="20"/>
              <w:spacing w:after="0"/>
              <w:rPr>
                <w:sz w:val="20"/>
                <w:szCs w:val="20"/>
                <w:color w:val="auto"/>
              </w:rPr>
            </w:pPr>
            <w:r>
              <w:rPr>
                <w:rFonts w:ascii="Arial" w:cs="Arial" w:eastAsia="Arial" w:hAnsi="Arial"/>
                <w:sz w:val="18"/>
                <w:szCs w:val="18"/>
                <w:color w:val="0000FF"/>
                <w:w w:val="89"/>
              </w:rPr>
              <w:t>Fair Value Measurement</w:t>
            </w:r>
          </w:p>
        </w:tc>
        <w:tc>
          <w:tcPr>
            <w:tcW w:w="124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6180" w:type="dxa"/>
            <w:vAlign w:val="bottom"/>
            <w:gridSpan w:val="3"/>
          </w:tcPr>
          <w:p>
            <w:pPr>
              <w:ind w:left="5840"/>
              <w:spacing w:after="0"/>
              <w:rPr>
                <w:sz w:val="20"/>
                <w:szCs w:val="20"/>
                <w:color w:val="auto"/>
              </w:rPr>
            </w:pPr>
            <w:r>
              <w:rPr>
                <w:rFonts w:ascii="Arial" w:cs="Arial" w:eastAsia="Arial" w:hAnsi="Arial"/>
                <w:sz w:val="18"/>
                <w:szCs w:val="18"/>
                <w:color w:val="0000FF"/>
              </w:rPr>
              <w:t>12</w:t>
            </w:r>
          </w:p>
        </w:tc>
      </w:tr>
      <w:tr>
        <w:trPr>
          <w:trHeight w:val="20"/>
        </w:trPr>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jc w:val="right"/>
              <w:spacing w:after="0"/>
              <w:rPr>
                <w:sz w:val="20"/>
                <w:szCs w:val="20"/>
                <w:color w:val="auto"/>
              </w:rPr>
            </w:pPr>
            <w:r>
              <w:rPr>
                <w:rFonts w:ascii="Arial" w:cs="Arial" w:eastAsia="Arial" w:hAnsi="Arial"/>
                <w:sz w:val="18"/>
                <w:szCs w:val="18"/>
                <w:color w:val="0000FF"/>
                <w:w w:val="79"/>
              </w:rPr>
              <w:t>4.</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w w:val="92"/>
              </w:rPr>
              <w:t>Long-term Debt</w:t>
            </w:r>
          </w:p>
        </w:tc>
        <w:tc>
          <w:tcPr>
            <w:tcW w:w="600" w:type="dxa"/>
            <w:vAlign w:val="bottom"/>
            <w:gridSpan w:val="2"/>
          </w:tcPr>
          <w:p>
            <w:pPr>
              <w:spacing w:after="0"/>
              <w:rPr>
                <w:sz w:val="18"/>
                <w:szCs w:val="18"/>
                <w:color w:val="auto"/>
              </w:rPr>
            </w:pPr>
          </w:p>
        </w:tc>
        <w:tc>
          <w:tcPr>
            <w:tcW w:w="1820" w:type="dxa"/>
            <w:vAlign w:val="bottom"/>
            <w:gridSpan w:val="4"/>
          </w:tcPr>
          <w:p>
            <w:pPr>
              <w:spacing w:after="0"/>
              <w:rPr>
                <w:sz w:val="18"/>
                <w:szCs w:val="18"/>
                <w:color w:val="auto"/>
              </w:rPr>
            </w:pPr>
          </w:p>
        </w:tc>
        <w:tc>
          <w:tcPr>
            <w:tcW w:w="6180" w:type="dxa"/>
            <w:vAlign w:val="bottom"/>
            <w:gridSpan w:val="3"/>
          </w:tcPr>
          <w:p>
            <w:pPr>
              <w:ind w:left="5840"/>
              <w:spacing w:after="0"/>
              <w:rPr>
                <w:sz w:val="20"/>
                <w:szCs w:val="20"/>
                <w:color w:val="auto"/>
              </w:rPr>
            </w:pPr>
            <w:r>
              <w:rPr>
                <w:rFonts w:ascii="Arial" w:cs="Arial" w:eastAsia="Arial" w:hAnsi="Arial"/>
                <w:sz w:val="18"/>
                <w:szCs w:val="18"/>
                <w:color w:val="0000FF"/>
              </w:rPr>
              <w:t>13</w:t>
            </w:r>
          </w:p>
        </w:tc>
      </w:tr>
      <w:tr>
        <w:trPr>
          <w:trHeight w:val="20"/>
        </w:trPr>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0000FF"/>
                <w:w w:val="79"/>
              </w:rPr>
              <w:t>5.</w:t>
            </w:r>
          </w:p>
        </w:tc>
        <w:tc>
          <w:tcPr>
            <w:tcW w:w="1820" w:type="dxa"/>
            <w:vAlign w:val="bottom"/>
            <w:gridSpan w:val="5"/>
          </w:tcPr>
          <w:p>
            <w:pPr>
              <w:ind w:left="20"/>
              <w:spacing w:after="0"/>
              <w:rPr>
                <w:sz w:val="20"/>
                <w:szCs w:val="20"/>
                <w:color w:val="auto"/>
              </w:rPr>
            </w:pPr>
            <w:r>
              <w:rPr>
                <w:rFonts w:ascii="Arial" w:cs="Arial" w:eastAsia="Arial" w:hAnsi="Arial"/>
                <w:sz w:val="18"/>
                <w:szCs w:val="18"/>
                <w:color w:val="0000FF"/>
                <w:w w:val="90"/>
              </w:rPr>
              <w:t>Interest Rate Derivatives</w:t>
            </w:r>
          </w:p>
        </w:tc>
        <w:tc>
          <w:tcPr>
            <w:tcW w:w="1800" w:type="dxa"/>
            <w:vAlign w:val="bottom"/>
            <w:gridSpan w:val="3"/>
          </w:tcPr>
          <w:p>
            <w:pPr>
              <w:spacing w:after="0"/>
              <w:rPr>
                <w:sz w:val="19"/>
                <w:szCs w:val="19"/>
                <w:color w:val="auto"/>
              </w:rPr>
            </w:pPr>
          </w:p>
        </w:tc>
        <w:tc>
          <w:tcPr>
            <w:tcW w:w="6180" w:type="dxa"/>
            <w:vAlign w:val="bottom"/>
            <w:gridSpan w:val="3"/>
          </w:tcPr>
          <w:p>
            <w:pPr>
              <w:ind w:left="5840"/>
              <w:spacing w:after="0"/>
              <w:rPr>
                <w:sz w:val="20"/>
                <w:szCs w:val="20"/>
                <w:color w:val="auto"/>
              </w:rPr>
            </w:pPr>
            <w:r>
              <w:rPr>
                <w:rFonts w:ascii="Arial" w:cs="Arial" w:eastAsia="Arial" w:hAnsi="Arial"/>
                <w:sz w:val="18"/>
                <w:szCs w:val="18"/>
                <w:color w:val="0000FF"/>
              </w:rPr>
              <w:t>14</w:t>
            </w:r>
          </w:p>
        </w:tc>
      </w:tr>
      <w:tr>
        <w:trPr>
          <w:trHeight w:val="20"/>
        </w:trPr>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jc w:val="right"/>
              <w:spacing w:after="0"/>
              <w:rPr>
                <w:sz w:val="20"/>
                <w:szCs w:val="20"/>
                <w:color w:val="auto"/>
              </w:rPr>
            </w:pPr>
            <w:r>
              <w:rPr>
                <w:rFonts w:ascii="Arial" w:cs="Arial" w:eastAsia="Arial" w:hAnsi="Arial"/>
                <w:sz w:val="18"/>
                <w:szCs w:val="18"/>
                <w:color w:val="0000FF"/>
                <w:w w:val="79"/>
              </w:rPr>
              <w:t>6.</w:t>
            </w:r>
          </w:p>
        </w:tc>
        <w:tc>
          <w:tcPr>
            <w:tcW w:w="1820" w:type="dxa"/>
            <w:vAlign w:val="bottom"/>
            <w:gridSpan w:val="5"/>
          </w:tcPr>
          <w:p>
            <w:pPr>
              <w:ind w:left="20"/>
              <w:spacing w:after="0"/>
              <w:rPr>
                <w:sz w:val="20"/>
                <w:szCs w:val="20"/>
                <w:color w:val="auto"/>
              </w:rPr>
            </w:pPr>
            <w:r>
              <w:rPr>
                <w:rFonts w:ascii="Arial" w:cs="Arial" w:eastAsia="Arial" w:hAnsi="Arial"/>
                <w:sz w:val="18"/>
                <w:szCs w:val="18"/>
                <w:color w:val="0000FF"/>
              </w:rPr>
              <w:t>Stock Incentive Plans</w:t>
            </w:r>
          </w:p>
        </w:tc>
        <w:tc>
          <w:tcPr>
            <w:tcW w:w="1800" w:type="dxa"/>
            <w:vAlign w:val="bottom"/>
            <w:gridSpan w:val="3"/>
          </w:tcPr>
          <w:p>
            <w:pPr>
              <w:spacing w:after="0"/>
              <w:rPr>
                <w:sz w:val="18"/>
                <w:szCs w:val="18"/>
                <w:color w:val="auto"/>
              </w:rPr>
            </w:pPr>
          </w:p>
        </w:tc>
        <w:tc>
          <w:tcPr>
            <w:tcW w:w="6180" w:type="dxa"/>
            <w:vAlign w:val="bottom"/>
            <w:gridSpan w:val="3"/>
          </w:tcPr>
          <w:p>
            <w:pPr>
              <w:ind w:left="5840"/>
              <w:spacing w:after="0"/>
              <w:rPr>
                <w:sz w:val="20"/>
                <w:szCs w:val="20"/>
                <w:color w:val="auto"/>
              </w:rPr>
            </w:pPr>
            <w:r>
              <w:rPr>
                <w:rFonts w:ascii="Arial" w:cs="Arial" w:eastAsia="Arial" w:hAnsi="Arial"/>
                <w:sz w:val="18"/>
                <w:szCs w:val="18"/>
                <w:color w:val="0000FF"/>
              </w:rPr>
              <w:t>14</w:t>
            </w:r>
          </w:p>
        </w:tc>
      </w:tr>
      <w:tr>
        <w:trPr>
          <w:trHeight w:val="20"/>
        </w:trPr>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jc w:val="right"/>
              <w:spacing w:after="0"/>
              <w:rPr>
                <w:sz w:val="20"/>
                <w:szCs w:val="20"/>
                <w:color w:val="auto"/>
              </w:rPr>
            </w:pPr>
            <w:r>
              <w:rPr>
                <w:rFonts w:ascii="Arial" w:cs="Arial" w:eastAsia="Arial" w:hAnsi="Arial"/>
                <w:sz w:val="18"/>
                <w:szCs w:val="18"/>
                <w:color w:val="0000FF"/>
                <w:w w:val="79"/>
              </w:rPr>
              <w:t>7.</w:t>
            </w:r>
          </w:p>
        </w:tc>
        <w:tc>
          <w:tcPr>
            <w:tcW w:w="3040" w:type="dxa"/>
            <w:vAlign w:val="bottom"/>
            <w:gridSpan w:val="7"/>
          </w:tcPr>
          <w:p>
            <w:pPr>
              <w:ind w:left="20"/>
              <w:spacing w:after="0"/>
              <w:rPr>
                <w:sz w:val="20"/>
                <w:szCs w:val="20"/>
                <w:color w:val="auto"/>
              </w:rPr>
            </w:pPr>
            <w:r>
              <w:rPr>
                <w:rFonts w:ascii="Arial" w:cs="Arial" w:eastAsia="Arial" w:hAnsi="Arial"/>
                <w:sz w:val="18"/>
                <w:szCs w:val="18"/>
                <w:color w:val="0000FF"/>
                <w:w w:val="89"/>
              </w:rPr>
              <w:t>Revenue From Contracts With Customers</w:t>
            </w:r>
          </w:p>
        </w:tc>
        <w:tc>
          <w:tcPr>
            <w:tcW w:w="580" w:type="dxa"/>
            <w:vAlign w:val="bottom"/>
          </w:tcPr>
          <w:p>
            <w:pPr>
              <w:spacing w:after="0"/>
              <w:rPr>
                <w:sz w:val="18"/>
                <w:szCs w:val="18"/>
                <w:color w:val="auto"/>
              </w:rPr>
            </w:pPr>
          </w:p>
        </w:tc>
        <w:tc>
          <w:tcPr>
            <w:tcW w:w="6180" w:type="dxa"/>
            <w:vAlign w:val="bottom"/>
            <w:gridSpan w:val="3"/>
          </w:tcPr>
          <w:p>
            <w:pPr>
              <w:ind w:left="5840"/>
              <w:spacing w:after="0"/>
              <w:rPr>
                <w:sz w:val="20"/>
                <w:szCs w:val="20"/>
                <w:color w:val="auto"/>
              </w:rPr>
            </w:pPr>
            <w:r>
              <w:rPr>
                <w:rFonts w:ascii="Arial" w:cs="Arial" w:eastAsia="Arial" w:hAnsi="Arial"/>
                <w:sz w:val="18"/>
                <w:szCs w:val="18"/>
                <w:color w:val="0000FF"/>
              </w:rPr>
              <w:t>14</w:t>
            </w:r>
          </w:p>
        </w:tc>
      </w:tr>
      <w:tr>
        <w:trPr>
          <w:trHeight w:val="20"/>
        </w:trPr>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0000FF"/>
                <w:w w:val="79"/>
              </w:rPr>
              <w:t>8.</w:t>
            </w:r>
          </w:p>
        </w:tc>
        <w:tc>
          <w:tcPr>
            <w:tcW w:w="520" w:type="dxa"/>
            <w:vAlign w:val="bottom"/>
          </w:tcPr>
          <w:p>
            <w:pPr>
              <w:ind w:left="20"/>
              <w:spacing w:after="0"/>
              <w:rPr>
                <w:sz w:val="20"/>
                <w:szCs w:val="20"/>
                <w:color w:val="auto"/>
              </w:rPr>
            </w:pPr>
            <w:r>
              <w:rPr>
                <w:rFonts w:ascii="Arial" w:cs="Arial" w:eastAsia="Arial" w:hAnsi="Arial"/>
                <w:sz w:val="18"/>
                <w:szCs w:val="18"/>
                <w:color w:val="0000FF"/>
                <w:w w:val="82"/>
              </w:rPr>
              <w:t>Leases</w:t>
            </w:r>
          </w:p>
        </w:tc>
        <w:tc>
          <w:tcPr>
            <w:tcW w:w="2520" w:type="dxa"/>
            <w:vAlign w:val="bottom"/>
            <w:gridSpan w:val="6"/>
          </w:tcPr>
          <w:p>
            <w:pPr>
              <w:spacing w:after="0"/>
              <w:rPr>
                <w:sz w:val="19"/>
                <w:szCs w:val="19"/>
                <w:color w:val="auto"/>
              </w:rPr>
            </w:pPr>
          </w:p>
        </w:tc>
        <w:tc>
          <w:tcPr>
            <w:tcW w:w="580" w:type="dxa"/>
            <w:vAlign w:val="bottom"/>
          </w:tcPr>
          <w:p>
            <w:pPr>
              <w:spacing w:after="0"/>
              <w:rPr>
                <w:sz w:val="19"/>
                <w:szCs w:val="19"/>
                <w:color w:val="auto"/>
              </w:rPr>
            </w:pPr>
          </w:p>
        </w:tc>
        <w:tc>
          <w:tcPr>
            <w:tcW w:w="6180" w:type="dxa"/>
            <w:vAlign w:val="bottom"/>
            <w:gridSpan w:val="3"/>
          </w:tcPr>
          <w:p>
            <w:pPr>
              <w:ind w:left="5840"/>
              <w:spacing w:after="0"/>
              <w:rPr>
                <w:sz w:val="20"/>
                <w:szCs w:val="20"/>
                <w:color w:val="auto"/>
              </w:rPr>
            </w:pPr>
            <w:r>
              <w:rPr>
                <w:rFonts w:ascii="Arial" w:cs="Arial" w:eastAsia="Arial" w:hAnsi="Arial"/>
                <w:sz w:val="18"/>
                <w:szCs w:val="18"/>
                <w:color w:val="0000FF"/>
              </w:rPr>
              <w:t>15</w:t>
            </w:r>
          </w:p>
        </w:tc>
      </w:tr>
      <w:tr>
        <w:trPr>
          <w:trHeight w:val="20"/>
        </w:trPr>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jc w:val="right"/>
              <w:spacing w:after="0"/>
              <w:rPr>
                <w:sz w:val="20"/>
                <w:szCs w:val="20"/>
                <w:color w:val="auto"/>
              </w:rPr>
            </w:pPr>
            <w:r>
              <w:rPr>
                <w:rFonts w:ascii="Arial" w:cs="Arial" w:eastAsia="Arial" w:hAnsi="Arial"/>
                <w:sz w:val="18"/>
                <w:szCs w:val="18"/>
                <w:color w:val="0000FF"/>
                <w:w w:val="79"/>
              </w:rPr>
              <w:t>9.</w:t>
            </w:r>
          </w:p>
        </w:tc>
        <w:tc>
          <w:tcPr>
            <w:tcW w:w="3620" w:type="dxa"/>
            <w:vAlign w:val="bottom"/>
            <w:gridSpan w:val="8"/>
          </w:tcPr>
          <w:p>
            <w:pPr>
              <w:ind w:left="20"/>
              <w:spacing w:after="0"/>
              <w:rPr>
                <w:sz w:val="20"/>
                <w:szCs w:val="20"/>
                <w:color w:val="auto"/>
              </w:rPr>
            </w:pPr>
            <w:r>
              <w:rPr>
                <w:rFonts w:ascii="Arial" w:cs="Arial" w:eastAsia="Arial" w:hAnsi="Arial"/>
                <w:sz w:val="18"/>
                <w:szCs w:val="18"/>
                <w:color w:val="0000FF"/>
              </w:rPr>
              <w:t>Commitments and Contingencies</w:t>
            </w:r>
          </w:p>
        </w:tc>
        <w:tc>
          <w:tcPr>
            <w:tcW w:w="6180" w:type="dxa"/>
            <w:vAlign w:val="bottom"/>
            <w:gridSpan w:val="3"/>
          </w:tcPr>
          <w:p>
            <w:pPr>
              <w:ind w:left="5840"/>
              <w:spacing w:after="0"/>
              <w:rPr>
                <w:sz w:val="20"/>
                <w:szCs w:val="20"/>
                <w:color w:val="auto"/>
              </w:rPr>
            </w:pPr>
            <w:r>
              <w:rPr>
                <w:rFonts w:ascii="Arial" w:cs="Arial" w:eastAsia="Arial" w:hAnsi="Arial"/>
                <w:sz w:val="18"/>
                <w:szCs w:val="18"/>
                <w:color w:val="0000FF"/>
              </w:rPr>
              <w:t>15</w:t>
            </w:r>
          </w:p>
        </w:tc>
      </w:tr>
      <w:tr>
        <w:trPr>
          <w:trHeight w:val="20"/>
        </w:trPr>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8"/>
                <w:szCs w:val="18"/>
                <w:color w:val="0000FF"/>
                <w:w w:val="88"/>
              </w:rPr>
              <w:t>10. Segment Reporting</w:t>
            </w:r>
          </w:p>
        </w:tc>
        <w:tc>
          <w:tcPr>
            <w:tcW w:w="9540" w:type="dxa"/>
            <w:vAlign w:val="bottom"/>
            <w:gridSpan w:val="3"/>
          </w:tcPr>
          <w:p>
            <w:pPr>
              <w:jc w:val="right"/>
              <w:ind w:right="1420"/>
              <w:spacing w:after="0"/>
              <w:rPr>
                <w:sz w:val="20"/>
                <w:szCs w:val="20"/>
                <w:color w:val="auto"/>
              </w:rPr>
            </w:pPr>
            <w:r>
              <w:rPr>
                <w:rFonts w:ascii="Arial" w:cs="Arial" w:eastAsia="Arial" w:hAnsi="Arial"/>
                <w:sz w:val="18"/>
                <w:szCs w:val="18"/>
                <w:color w:val="0000FF"/>
              </w:rPr>
              <w:t>16</w:t>
            </w:r>
          </w:p>
        </w:tc>
      </w:tr>
      <w:tr>
        <w:trPr>
          <w:trHeight w:val="20"/>
        </w:trPr>
        <w:tc>
          <w:tcPr>
            <w:tcW w:w="20" w:type="dxa"/>
            <w:vAlign w:val="bottom"/>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0000FF"/>
                <w:w w:val="87"/>
              </w:rPr>
              <w:t>11. Earnings Per Share</w:t>
            </w:r>
          </w:p>
        </w:tc>
        <w:tc>
          <w:tcPr>
            <w:tcW w:w="9540" w:type="dxa"/>
            <w:vAlign w:val="bottom"/>
            <w:gridSpan w:val="3"/>
          </w:tcPr>
          <w:p>
            <w:pPr>
              <w:jc w:val="right"/>
              <w:ind w:right="1420"/>
              <w:spacing w:after="0"/>
              <w:rPr>
                <w:sz w:val="20"/>
                <w:szCs w:val="20"/>
                <w:color w:val="auto"/>
              </w:rPr>
            </w:pPr>
            <w:r>
              <w:rPr>
                <w:rFonts w:ascii="Arial" w:cs="Arial" w:eastAsia="Arial" w:hAnsi="Arial"/>
                <w:sz w:val="18"/>
                <w:szCs w:val="18"/>
                <w:color w:val="0000FF"/>
              </w:rPr>
              <w:t>18</w:t>
            </w:r>
          </w:p>
        </w:tc>
      </w:tr>
      <w:tr>
        <w:trPr>
          <w:trHeight w:val="763"/>
        </w:trPr>
        <w:tc>
          <w:tcPr>
            <w:tcW w:w="20" w:type="dxa"/>
            <w:vAlign w:val="bottom"/>
          </w:tcPr>
          <w:p>
            <w:pPr>
              <w:spacing w:after="0"/>
              <w:rPr>
                <w:sz w:val="24"/>
                <w:szCs w:val="24"/>
                <w:color w:val="auto"/>
              </w:rPr>
            </w:pPr>
          </w:p>
        </w:tc>
        <w:tc>
          <w:tcPr>
            <w:tcW w:w="1680" w:type="dxa"/>
            <w:vAlign w:val="bottom"/>
            <w:tcBorders>
              <w:top w:val="single" w:sz="8" w:color="0000FF"/>
            </w:tcBorders>
          </w:tcPr>
          <w:p>
            <w:pPr>
              <w:spacing w:after="0"/>
              <w:rPr>
                <w:sz w:val="24"/>
                <w:szCs w:val="24"/>
                <w:color w:val="auto"/>
              </w:rPr>
            </w:pPr>
          </w:p>
        </w:tc>
        <w:tc>
          <w:tcPr>
            <w:tcW w:w="7940" w:type="dxa"/>
            <w:vAlign w:val="bottom"/>
          </w:tcPr>
          <w:p>
            <w:pPr>
              <w:jc w:val="right"/>
              <w:ind w:right="3890"/>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7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National Vision Holdings, Inc. (“NVHI,” the “Company,” “we,” “our,” or “us”) is a holding company whose operating subsidiaries include its indirect wholly-owned subsidiary, National Vision, Inc. (“NVI”) and NVI’s wholly-owned subsidiaries. We are a leading value retailer of eyeglasses and contact lenses in the United States. We operated 1,357 and 1,354 retail optical locations in the United States and its territories as of April 1, 2023 and December 31, 2022, respectively, through our five store brands, including America’s Best Contacts and Eyeglasses (“America’s Best”), Eyeglass World, Vista Optical locations on select U.S. Army/Air Force military bases (“Military”) and within select Fred Meyer stores, and our management &amp; services arrangement with Walmart (“Legacy”).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prepare our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31, 2022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results of the interim period.</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December 31, 2022 included in the 2022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three months ended April 1, 2023.</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financial statements include our accounts and those of our wholly-owned subsidiaries. All intercompany balances and transactions have been eliminated in consolidation. Certain amounts within the footnotes to the financial statements for fiscal year 2022 have been reclassified to conform to the fiscal year 2023 presentation.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consolidated certain entities meeting the definition of a variable interest entity (“VIE”) as the Company concluded that it is the primary beneficiary of the entities under the provisions of Accounting Standards Codification 810, Consolidation. At April 1, 2023, the variable interest entities include 32 professional corporations. The total assets of the consolidated VIEs included in the accompanying Condensed Consolidated Balance Sheets as of April 1, 2023 and December 31, 2022, were $4.0 million and $7.9 million, respectively, and the total liabilities of the consolidated VIEs were $4.6 million and $8.3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fiscal year consists of 52 or 53 weeks ending on the Saturday closest to December 31. Fiscal year 2023 contains 52 weeks and will end on December 30, 2023. All three month periods presented herein contain 13 weeks. All references to years and quarters relate to fiscal periods rather than calendar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consolidated results of operations for the three months ended April 1, 2023 and April 2, 2022,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Seasonality related to fourth quarter holiday spending by retail customers generally does not impact our business. Our quarterly consolidated results generally may also be affected by the timing of new store openings, store closings, and certain holidays.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for the three months ended April 1, 2023 was 35.8%, reflecting our statutory federal and state rate of 25.4%, tax impacts of consolidated VIEs, reduced deductibility of meals and entertainment expenses and effects of other permanent items.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for the three months ended April 2, 2022 was 27.3%, reflecting our statutory federal and state rate of 25.5% and effects of other permanent items.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April 1, 2023 and April 2, 2022, the Company repurchased 1.1 million shares of its common stock for $25.0 million, and 0.2 million shares of its common stock for $7.1 million, respectively, under the share repurchase program. As of April 1, 2023, $25.0 million remains available under the share repurchase authorization.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2022, the U.S. government enacted the Inflation Reduction Act (“IRA”) which, among other things, provides for a 15% corporate alternative minimum tax based on a prescribed measure of income as well as a 1% excise tax on stock repurchases.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Reference Rate Reform. </w:t>
      </w:r>
      <w:r>
        <w:rPr>
          <w:rFonts w:ascii="Arial" w:cs="Arial" w:eastAsia="Arial" w:hAnsi="Arial"/>
          <w:sz w:val="17"/>
          <w:szCs w:val="17"/>
          <w:color w:val="auto"/>
        </w:rPr>
        <w:t>The Financial Accounting Standards Board (“FASB”) has issued guidance at various points over the last several years that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optional expedients and exceptions for applying U.S. GAAP to contracts, hedging relationships, and other transactions that may be affected by the cessation of the London Inter-bank Offered Rate (“LIBOR.”) We are currently able to apply this new guidance for contract modifications as of any date from the beginning of an interim period that includes or is subsequent to March 12, 2020 through December 31, 2024. A portion of our debt is subject to interest payments that are indexed to LIBOR; additionally, we are party to an interest rate derivative based on LIBOR. We are currently evaluating the effect of this guidance and have not applied the provisions of this guidance during the current fiscal year. Our credit agreement contains methodologies for replacing LIBOR with an alternative reference rate; our interest rate derivative does not contain replacement provisions, but we expect an orderly transition of our derivative’s reference rate. We currently do not anticipate material effects on our operating results, financial position or cash flows as a result of adopting the new guidance. Nevertheless, it is possible that the adoption of this guidance will have a material adverse effect on any or all of our operating results, financial position or cash flows.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FASB issued other accounting guidance during the period that is not currently applicable or expected to have a material impact on the Company’s condensed consolidated financial statements, and therefore, is not described above.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Details of Certain Balance Sheet Accounts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in the Condensed Consolidated Statement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Three Months Ended</w:t>
            </w:r>
          </w:p>
        </w:tc>
        <w:tc>
          <w:tcPr>
            <w:tcW w:w="16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8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April 1, 2023</w:t>
            </w: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2"/>
              </w:rPr>
              <w:t>April 2, 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246,906</w:t>
            </w:r>
          </w:p>
        </w:tc>
        <w:tc>
          <w:tcPr>
            <w:tcW w:w="8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314,642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Restricted cash included in other assets</w:t>
            </w:r>
          </w:p>
        </w:tc>
        <w:tc>
          <w:tcPr>
            <w:tcW w:w="18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248,411</w:t>
            </w:r>
          </w:p>
        </w:tc>
        <w:tc>
          <w:tcPr>
            <w:tcW w:w="8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315,975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80" w:type="dxa"/>
            <w:vAlign w:val="bottom"/>
            <w:vMerge w:val="restart"/>
          </w:tcPr>
          <w:p>
            <w:pPr>
              <w:jc w:val="right"/>
              <w:ind w:right="490"/>
              <w:spacing w:after="0"/>
              <w:rPr>
                <w:sz w:val="20"/>
                <w:szCs w:val="20"/>
                <w:color w:val="auto"/>
              </w:rPr>
            </w:pPr>
            <w:r>
              <w:rPr>
                <w:rFonts w:ascii="Arial" w:cs="Arial" w:eastAsia="Arial" w:hAnsi="Arial"/>
                <w:sz w:val="18"/>
                <w:szCs w:val="18"/>
                <w:color w:val="auto"/>
              </w:rPr>
              <w:t>11</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9"/>
        </w:trPr>
        <w:tc>
          <w:tcPr>
            <w:tcW w:w="44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additional details of certain balance sheet accounts as of the dates shown below: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As of</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jc w:val="right"/>
              <w:ind w:right="910"/>
              <w:spacing w:after="0"/>
              <w:rPr>
                <w:sz w:val="20"/>
                <w:szCs w:val="20"/>
                <w:color w:val="auto"/>
              </w:rPr>
            </w:pPr>
            <w:r>
              <w:rPr>
                <w:rFonts w:ascii="Arial" w:cs="Arial" w:eastAsia="Arial" w:hAnsi="Arial"/>
                <w:sz w:val="18"/>
                <w:szCs w:val="18"/>
                <w:color w:val="auto"/>
              </w:rPr>
              <w:t>As of</w:t>
            </w:r>
          </w:p>
        </w:tc>
      </w:tr>
      <w:tr>
        <w:trPr>
          <w:trHeight w:val="24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April 1, 2023</w:t>
            </w: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December 31, 2022</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Accounts receivable, net:</w:t>
            </w:r>
          </w:p>
        </w:tc>
        <w:tc>
          <w:tcPr>
            <w:tcW w:w="1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37"/>
        </w:trPr>
        <w:tc>
          <w:tcPr>
            <w:tcW w:w="6320" w:type="dxa"/>
            <w:vAlign w:val="bottom"/>
          </w:tcPr>
          <w:p>
            <w:pPr>
              <w:ind w:left="140"/>
              <w:spacing w:after="0"/>
              <w:rPr>
                <w:sz w:val="20"/>
                <w:szCs w:val="20"/>
                <w:color w:val="auto"/>
              </w:rPr>
            </w:pPr>
            <w:r>
              <w:rPr>
                <w:rFonts w:ascii="Arial" w:cs="Arial" w:eastAsia="Arial" w:hAnsi="Arial"/>
                <w:sz w:val="18"/>
                <w:szCs w:val="18"/>
                <w:color w:val="auto"/>
              </w:rPr>
              <w:t>Trade receivables</w:t>
            </w:r>
          </w:p>
        </w:tc>
        <w:tc>
          <w:tcPr>
            <w:tcW w:w="1760" w:type="dxa"/>
            <w:vAlign w:val="bottom"/>
          </w:tcPr>
          <w:p>
            <w:pPr>
              <w:jc w:val="right"/>
              <w:ind w:right="15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44,017</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41,622</w:t>
            </w:r>
          </w:p>
        </w:tc>
      </w:tr>
      <w:tr>
        <w:trPr>
          <w:trHeight w:val="236"/>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card receivables</w:t>
            </w:r>
          </w:p>
        </w:tc>
        <w:tc>
          <w:tcPr>
            <w:tcW w:w="17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23,311</w:t>
            </w:r>
          </w:p>
        </w:tc>
      </w:tr>
      <w:tr>
        <w:trPr>
          <w:trHeight w:val="229"/>
        </w:trPr>
        <w:tc>
          <w:tcPr>
            <w:tcW w:w="63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23"/>
                <w:szCs w:val="23"/>
                <w:color w:val="auto"/>
                <w:vertAlign w:val="superscript"/>
              </w:rPr>
              <w:t>(1)</w:t>
            </w:r>
          </w:p>
        </w:tc>
        <w:tc>
          <w:tcPr>
            <w:tcW w:w="1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15,478</w:t>
            </w:r>
          </w:p>
        </w:tc>
      </w:tr>
      <w:tr>
        <w:trPr>
          <w:trHeight w:val="243"/>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credit losses</w:t>
            </w:r>
          </w:p>
        </w:tc>
        <w:tc>
          <w:tcPr>
            <w:tcW w:w="17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23"/>
        </w:trPr>
        <w:tc>
          <w:tcPr>
            <w:tcW w:w="6320" w:type="dxa"/>
            <w:vAlign w:val="bottom"/>
          </w:tcPr>
          <w:p>
            <w:pPr>
              <w:spacing w:after="0"/>
              <w:rPr>
                <w:sz w:val="19"/>
                <w:szCs w:val="19"/>
                <w:color w:val="auto"/>
              </w:rPr>
            </w:pPr>
          </w:p>
        </w:tc>
        <w:tc>
          <w:tcPr>
            <w:tcW w:w="1760" w:type="dxa"/>
            <w:vAlign w:val="bottom"/>
            <w:tcBorders>
              <w:bottom w:val="single" w:sz="8" w:color="auto"/>
            </w:tcBorders>
          </w:tcPr>
          <w:p>
            <w:pPr>
              <w:jc w:val="right"/>
              <w:ind w:right="15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80,045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79,892</w:t>
            </w:r>
          </w:p>
        </w:tc>
      </w:tr>
      <w:tr>
        <w:trPr>
          <w:trHeight w:val="21"/>
        </w:trPr>
        <w:tc>
          <w:tcPr>
            <w:tcW w:w="6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ind w:left="260"/>
        <w:spacing w:after="0"/>
        <w:rPr>
          <w:sz w:val="20"/>
          <w:szCs w:val="20"/>
          <w:color w:val="auto"/>
        </w:rPr>
      </w:pPr>
      <w:r>
        <w:rPr>
          <w:rFonts w:ascii="Arial" w:cs="Arial" w:eastAsia="Arial" w:hAnsi="Arial"/>
          <w:sz w:val="14"/>
          <w:szCs w:val="14"/>
          <w:color w:val="auto"/>
        </w:rPr>
        <w:t>(1) Includes Coronavirus Aid, Relief, and Economic Security (“CARES”) Act receivable in the amount of $9.0 million as of April 1, 2023 and December 31, 2022.</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1720" w:type="dxa"/>
            <w:vAlign w:val="bottom"/>
          </w:tcPr>
          <w:p>
            <w:pPr>
              <w:jc w:val="right"/>
              <w:ind w:right="230"/>
              <w:spacing w:after="0"/>
              <w:rPr>
                <w:sz w:val="20"/>
                <w:szCs w:val="20"/>
                <w:color w:val="auto"/>
              </w:rPr>
            </w:pPr>
            <w:r>
              <w:rPr>
                <w:rFonts w:ascii="Arial" w:cs="Arial" w:eastAsia="Arial" w:hAnsi="Arial"/>
                <w:sz w:val="18"/>
                <w:szCs w:val="18"/>
                <w:color w:val="auto"/>
              </w:rPr>
              <w:t>As of</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Pr>
          <w:p>
            <w:pPr>
              <w:jc w:val="right"/>
              <w:ind w:right="910"/>
              <w:spacing w:after="0"/>
              <w:rPr>
                <w:sz w:val="20"/>
                <w:szCs w:val="20"/>
                <w:color w:val="auto"/>
              </w:rPr>
            </w:pPr>
            <w:r>
              <w:rPr>
                <w:rFonts w:ascii="Arial" w:cs="Arial" w:eastAsia="Arial" w:hAnsi="Arial"/>
                <w:sz w:val="18"/>
                <w:szCs w:val="18"/>
                <w:color w:val="auto"/>
              </w:rPr>
              <w:t>As of</w:t>
            </w:r>
          </w:p>
        </w:tc>
      </w:tr>
      <w:tr>
        <w:trPr>
          <w:trHeight w:val="24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April 1, 2023</w:t>
            </w:r>
          </w:p>
        </w:tc>
        <w:tc>
          <w:tcPr>
            <w:tcW w:w="68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December 31, 2022</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17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29"/>
        </w:trPr>
        <w:tc>
          <w:tcPr>
            <w:tcW w:w="63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3"/>
                <w:szCs w:val="23"/>
                <w:color w:val="auto"/>
                <w:vertAlign w:val="superscript"/>
              </w:rPr>
              <w:t>(1)</w:t>
            </w:r>
          </w:p>
        </w:tc>
        <w:tc>
          <w:tcPr>
            <w:tcW w:w="1720" w:type="dxa"/>
            <w:vAlign w:val="bottom"/>
          </w:tcPr>
          <w:p>
            <w:pPr>
              <w:jc w:val="right"/>
              <w:ind w:right="15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61,973</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64,786</w:t>
            </w:r>
          </w:p>
        </w:tc>
      </w:tr>
      <w:tr>
        <w:trPr>
          <w:trHeight w:val="229"/>
        </w:trPr>
        <w:tc>
          <w:tcPr>
            <w:tcW w:w="6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17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61,551</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58,372</w:t>
            </w:r>
          </w:p>
        </w:tc>
      </w:tr>
      <w:tr>
        <w:trPr>
          <w:trHeight w:val="224"/>
        </w:trPr>
        <w:tc>
          <w:tcPr>
            <w:tcW w:w="6320" w:type="dxa"/>
            <w:vAlign w:val="bottom"/>
          </w:tcPr>
          <w:p>
            <w:pPr>
              <w:spacing w:after="0"/>
              <w:rPr>
                <w:sz w:val="19"/>
                <w:szCs w:val="19"/>
                <w:color w:val="auto"/>
              </w:rPr>
            </w:pPr>
          </w:p>
        </w:tc>
        <w:tc>
          <w:tcPr>
            <w:tcW w:w="1720" w:type="dxa"/>
            <w:vAlign w:val="bottom"/>
          </w:tcPr>
          <w:p>
            <w:pPr>
              <w:jc w:val="right"/>
              <w:ind w:right="15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123,524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123,158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8255</wp:posOffset>
            </wp:positionV>
            <wp:extent cx="312039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20390" cy="34290"/>
                    </a:xfrm>
                    <a:prstGeom prst="rect">
                      <a:avLst/>
                    </a:prstGeom>
                    <a:noFill/>
                  </pic:spPr>
                </pic:pic>
              </a:graphicData>
            </a:graphic>
          </wp:anchor>
        </w:drawing>
      </w:r>
    </w:p>
    <w:p>
      <w:pPr>
        <w:spacing w:after="0" w:line="41" w:lineRule="exact"/>
        <w:rPr>
          <w:sz w:val="20"/>
          <w:szCs w:val="20"/>
          <w:color w:val="auto"/>
        </w:rPr>
      </w:pPr>
    </w:p>
    <w:p>
      <w:pPr>
        <w:ind w:left="260" w:right="20" w:hanging="234"/>
        <w:spacing w:after="0" w:line="236"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1720" w:type="dxa"/>
            <w:vAlign w:val="bottom"/>
          </w:tcPr>
          <w:p>
            <w:pPr>
              <w:jc w:val="right"/>
              <w:ind w:right="230"/>
              <w:spacing w:after="0"/>
              <w:rPr>
                <w:sz w:val="20"/>
                <w:szCs w:val="20"/>
                <w:color w:val="auto"/>
              </w:rPr>
            </w:pPr>
            <w:r>
              <w:rPr>
                <w:rFonts w:ascii="Arial" w:cs="Arial" w:eastAsia="Arial" w:hAnsi="Arial"/>
                <w:sz w:val="18"/>
                <w:szCs w:val="18"/>
                <w:color w:val="auto"/>
              </w:rPr>
              <w:t>As of</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Pr>
          <w:p>
            <w:pPr>
              <w:jc w:val="right"/>
              <w:ind w:right="910"/>
              <w:spacing w:after="0"/>
              <w:rPr>
                <w:sz w:val="20"/>
                <w:szCs w:val="20"/>
                <w:color w:val="auto"/>
              </w:rPr>
            </w:pPr>
            <w:r>
              <w:rPr>
                <w:rFonts w:ascii="Arial" w:cs="Arial" w:eastAsia="Arial" w:hAnsi="Arial"/>
                <w:sz w:val="18"/>
                <w:szCs w:val="18"/>
                <w:color w:val="auto"/>
              </w:rPr>
              <w:t>As of</w:t>
            </w:r>
          </w:p>
        </w:tc>
      </w:tr>
      <w:tr>
        <w:trPr>
          <w:trHeight w:val="24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April 1, 2023</w:t>
            </w:r>
          </w:p>
        </w:tc>
        <w:tc>
          <w:tcPr>
            <w:tcW w:w="68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December 31, 2022</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payables and accrued expenses:</w:t>
            </w:r>
          </w:p>
        </w:tc>
        <w:tc>
          <w:tcPr>
            <w:tcW w:w="1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37"/>
        </w:trPr>
        <w:tc>
          <w:tcPr>
            <w:tcW w:w="6320" w:type="dxa"/>
            <w:vAlign w:val="bottom"/>
          </w:tcPr>
          <w:p>
            <w:pPr>
              <w:ind w:left="140"/>
              <w:spacing w:after="0"/>
              <w:rPr>
                <w:sz w:val="20"/>
                <w:szCs w:val="20"/>
                <w:color w:val="auto"/>
              </w:rPr>
            </w:pPr>
            <w:r>
              <w:rPr>
                <w:rFonts w:ascii="Arial" w:cs="Arial" w:eastAsia="Arial" w:hAnsi="Arial"/>
                <w:sz w:val="18"/>
                <w:szCs w:val="18"/>
                <w:color w:val="auto"/>
              </w:rPr>
              <w:t>Associate compensation and benefits</w:t>
            </w:r>
          </w:p>
        </w:tc>
        <w:tc>
          <w:tcPr>
            <w:tcW w:w="1720" w:type="dxa"/>
            <w:vAlign w:val="bottom"/>
          </w:tcPr>
          <w:p>
            <w:pPr>
              <w:jc w:val="right"/>
              <w:ind w:right="15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35,145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37,451</w:t>
            </w:r>
          </w:p>
        </w:tc>
      </w:tr>
      <w:tr>
        <w:trPr>
          <w:trHeight w:val="236"/>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Self-insurance liabilities</w:t>
            </w:r>
          </w:p>
        </w:tc>
        <w:tc>
          <w:tcPr>
            <w:tcW w:w="17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w:t>
            </w: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7,634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9,594</w:t>
            </w:r>
          </w:p>
        </w:tc>
      </w:tr>
      <w:tr>
        <w:trPr>
          <w:trHeight w:val="243"/>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w:t>
            </w:r>
          </w:p>
        </w:tc>
        <w:tc>
          <w:tcPr>
            <w:tcW w:w="17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Reserves for customer returns and remakes</w:t>
            </w:r>
          </w:p>
        </w:tc>
        <w:tc>
          <w:tcPr>
            <w:tcW w:w="1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8,715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7,676</w:t>
            </w: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Legacy management &amp; services agreement</w:t>
            </w:r>
          </w:p>
        </w:tc>
        <w:tc>
          <w:tcPr>
            <w:tcW w:w="17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w:t>
            </w:r>
          </w:p>
        </w:tc>
      </w:tr>
      <w:tr>
        <w:trPr>
          <w:trHeight w:val="243"/>
        </w:trPr>
        <w:tc>
          <w:tcPr>
            <w:tcW w:w="6320" w:type="dxa"/>
            <w:vAlign w:val="bottom"/>
          </w:tcPr>
          <w:p>
            <w:pPr>
              <w:ind w:left="140"/>
              <w:spacing w:after="0" w:line="243" w:lineRule="exact"/>
              <w:rPr>
                <w:sz w:val="20"/>
                <w:szCs w:val="20"/>
                <w:color w:val="auto"/>
              </w:rPr>
            </w:pPr>
            <w:r>
              <w:rPr>
                <w:rFonts w:ascii="Arial" w:cs="Arial" w:eastAsia="Arial" w:hAnsi="Arial"/>
                <w:sz w:val="18"/>
                <w:szCs w:val="18"/>
                <w:color w:val="auto"/>
              </w:rPr>
              <w:t xml:space="preserve">Income taxes payable </w:t>
            </w:r>
            <w:r>
              <w:rPr>
                <w:rFonts w:ascii="Arial" w:cs="Arial" w:eastAsia="Arial" w:hAnsi="Arial"/>
                <w:sz w:val="23"/>
                <w:szCs w:val="23"/>
                <w:color w:val="auto"/>
                <w:vertAlign w:val="superscript"/>
              </w:rPr>
              <w:t>(1)</w:t>
            </w:r>
          </w:p>
        </w:tc>
        <w:tc>
          <w:tcPr>
            <w:tcW w:w="17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12,615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Supplies and other store support expenses</w:t>
            </w:r>
          </w:p>
        </w:tc>
        <w:tc>
          <w:tcPr>
            <w:tcW w:w="17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20,584</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16,143</w:t>
            </w:r>
          </w:p>
        </w:tc>
      </w:tr>
      <w:tr>
        <w:trPr>
          <w:trHeight w:val="250"/>
        </w:trPr>
        <w:tc>
          <w:tcPr>
            <w:tcW w:w="6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103,188</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Income tax receivables of $4.6 million were included in Prepaid expenses and other current assets as of December 31,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As of</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jc w:val="right"/>
              <w:ind w:right="910"/>
              <w:spacing w:after="0"/>
              <w:rPr>
                <w:sz w:val="20"/>
                <w:szCs w:val="20"/>
                <w:color w:val="auto"/>
              </w:rPr>
            </w:pPr>
            <w:r>
              <w:rPr>
                <w:rFonts w:ascii="Arial" w:cs="Arial" w:eastAsia="Arial" w:hAnsi="Arial"/>
                <w:sz w:val="18"/>
                <w:szCs w:val="18"/>
                <w:color w:val="auto"/>
              </w:rPr>
              <w:t>As of</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April 1, 2023</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December 31, 2022</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Self-insurance liabilities</w:t>
            </w:r>
          </w:p>
        </w:tc>
        <w:tc>
          <w:tcPr>
            <w:tcW w:w="1800" w:type="dxa"/>
            <w:vAlign w:val="bottom"/>
          </w:tcPr>
          <w:p>
            <w:pPr>
              <w:jc w:val="right"/>
              <w:ind w:right="159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6,579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6,292</w:t>
            </w:r>
          </w:p>
        </w:tc>
      </w:tr>
      <w:tr>
        <w:trPr>
          <w:trHeight w:val="243"/>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23"/>
        </w:trPr>
        <w:tc>
          <w:tcPr>
            <w:tcW w:w="6320" w:type="dxa"/>
            <w:vAlign w:val="bottom"/>
          </w:tcPr>
          <w:p>
            <w:pPr>
              <w:spacing w:after="0"/>
              <w:rPr>
                <w:sz w:val="19"/>
                <w:szCs w:val="19"/>
                <w:color w:val="auto"/>
              </w:rPr>
            </w:pPr>
          </w:p>
        </w:tc>
        <w:tc>
          <w:tcPr>
            <w:tcW w:w="180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8,900</w:t>
            </w:r>
          </w:p>
        </w:tc>
      </w:tr>
      <w:tr>
        <w:trPr>
          <w:trHeight w:val="20"/>
        </w:trPr>
        <w:tc>
          <w:tcPr>
            <w:tcW w:w="6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Derivatives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as assets or liabilities at fair value the estimated amounts we would receive or pay upon a termination of interest rate derivatives prior to their scheduled expiration dates. The fair value is based on information that is model-driven and whose inputs were observable (Level 2 inputs) such as LIBOR forward rates. See Note 5. “Interest Rate Derivatives” for further details.</w:t>
      </w: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Tangible Long-lived and Right of Use (“ROU”) Store Assets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impairments of $0.4 million during the three months ended April 1, 2023, and $0.4 million during the three months ended April 2, 2022, related to our long-lived tangible store assets and ROU assets. The impairments were primarily driven by lower than projected customer sales volume in certain stores. The cash flows used in estimating fair value were discounted using a market rate of 10.8%. A decrease in the estimated cash flows would lead to a lower fair value measurement, as would an increase in the discount rate. These non-recurring fair value measurements are classified as Level 3 measurements in the fair value hierarchy. The estimated remaining fair value of the assets impaired during the three months ended April 1, 2023 and April 2, 2022 was $0.3 million and $2.0 million, respectively. Substantially all of the remaining fair value of the impaired store assets represents the fair value of ROU assets.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fair value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 - 2025 Notes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$402.5 million in aggregate principal amount of 2.50% convertible senior notes due on May 15, 2025 (the “2025 Notes”) issued and outstanding as of April 1, 2023. Refer to Note 4. “Long-term Debt” for more information on the 2025 Notes. The estimated fair value of the 2025 Notes was approximately $386.2 million and $553.9 million as of April 1, 2023 and December 31, 2022, respectively. The estimated fair value of the 2025 Notes is based on the prices the 2025 Notes have traded in the market, as well as overall market conditions on the date of valuation, stated coupon rates, the number of coupon payments each year and the maturity dates, and represents a Level 2 measurement in the fair value hierarchy. Refer to Note 4. “Long-term Debt” for more information on the 2025 Notes.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Arial" w:cs="Arial" w:eastAsia="Arial" w:hAnsi="Arial"/>
                <w:sz w:val="18"/>
                <w:szCs w:val="18"/>
                <w:b w:val="1"/>
                <w:bCs w:val="1"/>
                <w:color w:val="auto"/>
              </w:rPr>
              <w:t>4. Long-term Debt</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80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4"/>
                <w:szCs w:val="24"/>
                <w:color w:val="auto"/>
              </w:rPr>
            </w:pPr>
          </w:p>
        </w:tc>
        <w:tc>
          <w:tcPr>
            <w:tcW w:w="1820" w:type="dxa"/>
            <w:vAlign w:val="bottom"/>
            <w:gridSpan w:val="2"/>
          </w:tcPr>
          <w:p>
            <w:pPr>
              <w:jc w:val="right"/>
              <w:ind w:right="790"/>
              <w:spacing w:after="0"/>
              <w:rPr>
                <w:sz w:val="20"/>
                <w:szCs w:val="20"/>
                <w:color w:val="auto"/>
              </w:rPr>
            </w:pPr>
            <w:r>
              <w:rPr>
                <w:rFonts w:ascii="Arial" w:cs="Arial" w:eastAsia="Arial" w:hAnsi="Arial"/>
                <w:sz w:val="18"/>
                <w:szCs w:val="18"/>
                <w:color w:val="auto"/>
              </w:rPr>
              <w:t>As of</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79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30"/>
        </w:trPr>
        <w:tc>
          <w:tcPr>
            <w:tcW w:w="680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April 1, 2023</w:t>
            </w:r>
          </w:p>
        </w:tc>
        <w:tc>
          <w:tcPr>
            <w:tcW w:w="12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rPr>
              <w:t>December 31, 2022</w:t>
            </w:r>
          </w:p>
        </w:tc>
        <w:tc>
          <w:tcPr>
            <w:tcW w:w="0" w:type="dxa"/>
            <w:vAlign w:val="bottom"/>
          </w:tcPr>
          <w:p>
            <w:pPr>
              <w:spacing w:after="0"/>
              <w:rPr>
                <w:sz w:val="1"/>
                <w:szCs w:val="1"/>
                <w:color w:val="auto"/>
              </w:rPr>
            </w:pPr>
          </w:p>
        </w:tc>
      </w:tr>
      <w:tr>
        <w:trPr>
          <w:trHeight w:val="237"/>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Notes, due May 15, 2025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402,497</w:t>
            </w:r>
          </w:p>
        </w:tc>
        <w:tc>
          <w:tcPr>
            <w:tcW w:w="7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402,497</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Term loan, due July 18, 2024</w:t>
            </w:r>
          </w:p>
        </w:tc>
        <w:tc>
          <w:tcPr>
            <w:tcW w:w="34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 due July 18, 2024</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Long-term debt before debt discount</w:t>
            </w:r>
          </w:p>
        </w:tc>
        <w:tc>
          <w:tcPr>
            <w:tcW w:w="34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552,497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552,497</w:t>
            </w:r>
          </w:p>
        </w:tc>
        <w:tc>
          <w:tcPr>
            <w:tcW w:w="0" w:type="dxa"/>
            <w:vAlign w:val="bottom"/>
          </w:tcPr>
          <w:p>
            <w:pPr>
              <w:spacing w:after="0"/>
              <w:rPr>
                <w:sz w:val="1"/>
                <w:szCs w:val="1"/>
                <w:color w:val="auto"/>
              </w:rPr>
            </w:pPr>
          </w:p>
        </w:tc>
      </w:tr>
      <w:tr>
        <w:trPr>
          <w:trHeight w:val="23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issuance costs - 2025 Notes</w:t>
            </w:r>
          </w:p>
        </w:tc>
        <w:tc>
          <w:tcPr>
            <w:tcW w:w="3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Unamortized discount and issuance costs - term loan</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debt discount</w:t>
            </w:r>
          </w:p>
        </w:tc>
        <w:tc>
          <w:tcPr>
            <w:tcW w:w="3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546,862</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546,231</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 noncurrent portion</w:t>
            </w:r>
          </w:p>
        </w:tc>
        <w:tc>
          <w:tcPr>
            <w:tcW w:w="3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546,862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546,231</w:t>
            </w:r>
          </w:p>
        </w:tc>
        <w:tc>
          <w:tcPr>
            <w:tcW w:w="0" w:type="dxa"/>
            <w:vAlign w:val="bottom"/>
          </w:tcPr>
          <w:p>
            <w:pPr>
              <w:spacing w:after="0"/>
              <w:rPr>
                <w:sz w:val="1"/>
                <w:szCs w:val="1"/>
                <w:color w:val="auto"/>
              </w:rPr>
            </w:pP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34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20,080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21,294</w:t>
            </w:r>
          </w:p>
        </w:tc>
        <w:tc>
          <w:tcPr>
            <w:tcW w:w="0" w:type="dxa"/>
            <w:vAlign w:val="bottom"/>
          </w:tcPr>
          <w:p>
            <w:pPr>
              <w:spacing w:after="0"/>
              <w:rPr>
                <w:sz w:val="1"/>
                <w:szCs w:val="1"/>
                <w:color w:val="auto"/>
              </w:rPr>
            </w:pPr>
          </w:p>
        </w:tc>
      </w:tr>
      <w:tr>
        <w:trPr>
          <w:trHeight w:val="23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563,702</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563,388</w:t>
            </w:r>
          </w:p>
        </w:tc>
        <w:tc>
          <w:tcPr>
            <w:tcW w:w="0" w:type="dxa"/>
            <w:vAlign w:val="bottom"/>
          </w:tcPr>
          <w:p>
            <w:pPr>
              <w:spacing w:after="0"/>
              <w:rPr>
                <w:sz w:val="1"/>
                <w:szCs w:val="1"/>
                <w:color w:val="auto"/>
              </w:rPr>
            </w:pPr>
          </w:p>
        </w:tc>
      </w:tr>
      <w:tr>
        <w:trPr>
          <w:trHeight w:val="21"/>
        </w:trPr>
        <w:tc>
          <w:tcPr>
            <w:tcW w:w="6800" w:type="dxa"/>
            <w:vAlign w:val="bottom"/>
            <w:vMerge w:val="restart"/>
          </w:tcPr>
          <w:p>
            <w:pPr>
              <w:spacing w:after="0"/>
              <w:rPr>
                <w:sz w:val="20"/>
                <w:szCs w:val="20"/>
                <w:color w:val="auto"/>
              </w:rPr>
            </w:pPr>
            <w:r>
              <w:rPr>
                <w:rFonts w:ascii="Arial" w:cs="Arial" w:eastAsia="Arial" w:hAnsi="Arial"/>
                <w:sz w:val="18"/>
                <w:szCs w:val="18"/>
                <w:i w:val="1"/>
                <w:iCs w:val="1"/>
                <w:color w:val="auto"/>
              </w:rPr>
              <w:t>Credit Agreement</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0" w:type="dxa"/>
            <w:vAlign w:val="bottom"/>
          </w:tcPr>
          <w:p>
            <w:pPr>
              <w:spacing w:after="0"/>
              <w:rPr>
                <w:sz w:val="20"/>
                <w:szCs w:val="20"/>
                <w:color w:val="auto"/>
              </w:rPr>
            </w:pPr>
            <w:r>
              <w:rPr>
                <w:rFonts w:ascii="Arial" w:cs="Arial" w:eastAsia="Arial" w:hAnsi="Arial"/>
                <w:sz w:val="18"/>
                <w:szCs w:val="18"/>
                <w:color w:val="auto"/>
                <w:w w:val="94"/>
              </w:rPr>
              <w:t>We were in compliance with all covenants related to our long-term debt as of April 1, 2023.</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0" w:type="dxa"/>
            <w:vAlign w:val="bottom"/>
          </w:tcPr>
          <w:p>
            <w:pPr>
              <w:spacing w:after="0"/>
              <w:rPr>
                <w:sz w:val="20"/>
                <w:szCs w:val="20"/>
                <w:color w:val="auto"/>
              </w:rPr>
            </w:pPr>
            <w:r>
              <w:rPr>
                <w:rFonts w:ascii="Arial" w:cs="Arial" w:eastAsia="Arial" w:hAnsi="Arial"/>
                <w:sz w:val="18"/>
                <w:szCs w:val="18"/>
                <w:i w:val="1"/>
                <w:iCs w:val="1"/>
                <w:color w:val="auto"/>
              </w:rPr>
              <w:t>2025 Notes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0" w:type="dxa"/>
            <w:vAlign w:val="bottom"/>
          </w:tcPr>
          <w:p>
            <w:pPr>
              <w:spacing w:after="0"/>
              <w:rPr>
                <w:sz w:val="20"/>
                <w:szCs w:val="20"/>
                <w:color w:val="auto"/>
              </w:rPr>
            </w:pPr>
            <w:r>
              <w:rPr>
                <w:rFonts w:ascii="Arial" w:cs="Arial" w:eastAsia="Arial" w:hAnsi="Arial"/>
                <w:sz w:val="18"/>
                <w:szCs w:val="18"/>
                <w:color w:val="auto"/>
                <w:w w:val="96"/>
              </w:rPr>
              <w:t>We recognized the following in interest expense (income), net related to the 2025 Notes: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6"/>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April 1, 2023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April 2, 2022</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Amortization of issuance costs</w:t>
            </w:r>
          </w:p>
        </w:tc>
        <w:tc>
          <w:tcPr>
            <w:tcW w:w="340" w:type="dxa"/>
            <w:vAlign w:val="bottom"/>
          </w:tcPr>
          <w:p>
            <w:pPr>
              <w:spacing w:after="0"/>
              <w:rPr>
                <w:sz w:val="20"/>
                <w:szCs w:val="20"/>
                <w:color w:val="auto"/>
              </w:rPr>
            </w:pPr>
          </w:p>
        </w:tc>
        <w:tc>
          <w:tcPr>
            <w:tcW w:w="182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850"/>
        </w:trPr>
        <w:tc>
          <w:tcPr>
            <w:tcW w:w="6800" w:type="dxa"/>
            <w:vAlign w:val="bottom"/>
          </w:tcPr>
          <w:p>
            <w:pPr>
              <w:ind w:left="55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1, 2023, the remaining period for the unamortized debt issuance costs balance was approximately two years. An immaterial amount of the principal balance of the 2025 Notes was converted during the three months ended April 2,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April 1, 2023, the stock price conditions under which the 2025 Notes can be converted at the holders’ option were not met.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Interest Rate Derivatives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party to an interest rate collar to offset the variability of cash flows in LIBOR-indexed debt interest payments. To manage credit risk associated with our interest rate hedging program, we select as counterparties major financial institutions with investment grade credit ratings. The aggregate notional amount of the interest rate collar, which is not designated as a cash flow hedge, was $325.0 million as of April 1, 2023. The fair value of our interest rate collar instrument was an asset of $11.2 million ($9.3 million in Prepaid expenses and other current assets and $1.9 million in Other assets) as of April 1, 2023, and an asset of $14.1 million ($10.0 million in Prepaid expenses and other current assets and $4.1 million in Other assets) as of December 31, 2022. See Note 3. “Fair Value Measurement” for further details.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(gains) losses on the change in fair value of the interest rate collar of $0.5 million and $(9.0) million during the three months ended April 1, 2023 and April 2, 2022, respectively, in interest expense (income), net.</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flows related to derivatives qualifying as hedges are included in the same section of the Condensed Consolidated Statements of Cash Flows as the underlying assets and liabilities being hedged. Cash flows during the three months ended April 1, 2023 and April 2, 2022 related to derivatives not qualifying as hedges were included in the operating section of the Condensed Consolidated Statements of Cash Flows and were immaterial.</w:t>
      </w:r>
    </w:p>
    <w:p>
      <w:pPr>
        <w:spacing w:after="0" w:line="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Changes in the fair value of the Company’s cash flow hedge derivative instruments from their inception are recorded in Accumulated other comprehensive loss (“AOCL”) if the instruments are deemed to be highly effective as cash flow hedges. As of April 1, 2023, we expect to reclassify approximately $0.8 million of unrealized losses on derivative instruments, net of tax, from AOCL into earnings in the next 12 months as the derivative instruments mature.</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Incentive Plans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April 1, 2023, the Company granted 440,990 performance-based restricted stock units (“PSUs”) and 618,745 time-based restricted stock units (“RSUs”) to eligible employees under the National Vision Holdings, Inc. 2017 Omnibus Incentive Plan (the “2017 Omnibus Incentive Plan”). The PSUs granted in fiscal 2023 are settled after the end of the performance period (i.e., cliff vesting), which begins on the first day of our 2023 fiscal year and ends on the last day of our 2025 fiscal year, and are based on the Company’s achievement of certain performance targets. The RSUs granted in fiscal 2023 vest in three equal installments.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From Contracts With Customers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majority of our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(i.e. warranties), eye care club memberships and management fees earned from our Legacy partner.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disaggregation of revenues depicts our revenue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April 1, 2023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April 2, 2022</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recognized at a point in time</w:t>
            </w:r>
          </w:p>
        </w:tc>
        <w:tc>
          <w:tcPr>
            <w:tcW w:w="38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485,085</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Revenues recognized over time</w:t>
            </w:r>
          </w:p>
        </w:tc>
        <w:tc>
          <w:tcPr>
            <w:tcW w:w="3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42,626</w:t>
            </w: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4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562,369</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527,711</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1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Note 10. “Segment Reporting” for the Company’s disaggregation of net revenue by reportable segment.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 of $4.2 million and $2.7 million during the three months ended April 1, 2023 and April 2, 2022,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Credit loss expense recognized on our receivables, which is presented in SG&amp;A expenses in the Company’s condensed consolidated statements of operations, was $0.2 million for the three months ended April 1, 2023 as compared to $0.1 million for the three months ended April 2, 2022.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Unsatisfied Performance Obligations (Contract Liabilities)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April 1, 2023 and April 2, 2022, we recognized $22.6 million and $24.6 million, respectively, of deferred revenues outstanding at the beginning of each respective period.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deferred revenue balance as of April 1, 2023 was $86.2 million. We expect future revenue recognition of this balance of $55.3 million, $22.5 million, $7.9 million and $0.5 million in fiscal years 2023, 2024, 2025 and thereafter, respectively.</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Arial" w:cs="Arial" w:eastAsia="Arial" w:hAnsi="Arial"/>
                <w:sz w:val="18"/>
                <w:szCs w:val="18"/>
                <w:b w:val="1"/>
                <w:bCs w:val="1"/>
                <w:color w:val="auto"/>
              </w:rPr>
              <w:t>8. Leases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8100" w:type="dxa"/>
            <w:vAlign w:val="bottom"/>
          </w:tcPr>
          <w:p>
            <w:pPr>
              <w:spacing w:after="0"/>
              <w:rPr>
                <w:sz w:val="20"/>
                <w:szCs w:val="20"/>
                <w:color w:val="auto"/>
              </w:rPr>
            </w:pPr>
            <w:r>
              <w:rPr>
                <w:rFonts w:ascii="Arial" w:cs="Arial" w:eastAsia="Arial" w:hAnsi="Arial"/>
                <w:sz w:val="18"/>
                <w:szCs w:val="18"/>
                <w:color w:val="auto"/>
              </w:rPr>
              <w:t>Our lease costs for the three months ended April 1, 2023 and April 2, 2022 were as follows: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7"/>
        </w:trPr>
        <w:tc>
          <w:tcPr>
            <w:tcW w:w="8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Three Months Ended</w:t>
            </w:r>
          </w:p>
        </w:tc>
      </w:tr>
      <w:tr>
        <w:trPr>
          <w:trHeight w:val="23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April 1, 2023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April 2, 2022</w:t>
            </w: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lease cost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43"/>
        </w:trPr>
        <w:tc>
          <w:tcPr>
            <w:tcW w:w="810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Fixed lease cost </w:t>
            </w:r>
            <w:r>
              <w:rPr>
                <w:rFonts w:ascii="Arial" w:cs="Arial" w:eastAsia="Arial" w:hAnsi="Arial"/>
                <w:sz w:val="23"/>
                <w:szCs w:val="23"/>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23,908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21,949</w:t>
            </w:r>
          </w:p>
        </w:tc>
      </w:tr>
      <w:tr>
        <w:trPr>
          <w:trHeight w:val="230"/>
        </w:trPr>
        <w:tc>
          <w:tcPr>
            <w:tcW w:w="8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(b)</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w:t>
            </w:r>
          </w:p>
        </w:tc>
      </w:tr>
      <w:tr>
        <w:trPr>
          <w:trHeight w:val="230"/>
        </w:trPr>
        <w:tc>
          <w:tcPr>
            <w:tcW w:w="8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Sublease income </w:t>
            </w:r>
            <w:r>
              <w:rPr>
                <w:rFonts w:ascii="Arial" w:cs="Arial" w:eastAsia="Arial" w:hAnsi="Arial"/>
                <w:sz w:val="23"/>
                <w:szCs w:val="23"/>
                <w:color w:val="auto"/>
                <w:vertAlign w:val="superscript"/>
              </w:rPr>
              <w:t>(c)</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Finance lease cost</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Amortization of finance lease assets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1,081</w:t>
            </w:r>
          </w:p>
        </w:tc>
      </w:tr>
      <w:tr>
        <w:trPr>
          <w:trHeight w:val="23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finance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36"/>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Net lease cost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33,244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30,900</w:t>
            </w:r>
          </w:p>
        </w:tc>
      </w:tr>
      <w:tr>
        <w:trPr>
          <w:trHeight w:val="20"/>
        </w:trPr>
        <w:tc>
          <w:tcPr>
            <w:tcW w:w="8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20" w:hanging="194"/>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28" w:lineRule="exact"/>
        <w:rPr>
          <w:rFonts w:ascii="Arial" w:cs="Arial" w:eastAsia="Arial" w:hAnsi="Arial"/>
          <w:sz w:val="14"/>
          <w:szCs w:val="14"/>
          <w:color w:val="auto"/>
        </w:rPr>
      </w:pPr>
    </w:p>
    <w:p>
      <w:pPr>
        <w:ind w:left="20" w:right="20" w:firstLine="6"/>
        <w:spacing w:after="0" w:line="253" w:lineRule="auto"/>
        <w:tabs>
          <w:tab w:leader="none" w:pos="23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costs for insurance, real estate taxes and common area maintenance expenses, which are variable as well as lease costs above minimum thresholds for Fred Meyer stores and lease costs for Military stores.</w:t>
      </w:r>
    </w:p>
    <w:p>
      <w:pPr>
        <w:spacing w:after="0" w:line="11" w:lineRule="exact"/>
        <w:rPr>
          <w:rFonts w:ascii="Arial" w:cs="Arial" w:eastAsia="Arial" w:hAnsi="Arial"/>
          <w:sz w:val="14"/>
          <w:szCs w:val="14"/>
          <w:color w:val="auto"/>
        </w:rPr>
      </w:pPr>
    </w:p>
    <w:p>
      <w:pPr>
        <w:ind w:left="220" w:hanging="194"/>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Income from sub-leasing of stores includes rental income from leasing space to independent optometrists.</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77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color w:val="auto"/>
              </w:rPr>
              <w:t>Three Months Ended</w:t>
            </w:r>
          </w:p>
        </w:tc>
      </w:tr>
      <w:tr>
        <w:trPr>
          <w:trHeight w:val="250"/>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Information</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April 1, 2023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April 2, 2022</w:t>
            </w: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outflows - operating leases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23,409</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Right of use assets acquired under operating leases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28,643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27,461</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actions and, should the outcome of these actions be unfavorable, the Company’s business, financial position, results of operations or cash flows could be materially and adversely affected.</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ordinary course of our business.</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23, 2022, we were served with notice of a lawsuit filed by a former employee in California state court alleging, on behalf of a proposed class of employees, several violations of California wage and hour laws. On December 9, 2022, the case was removed to the federal District Court for the Northern District of California. On January 18, 2023, we were served with a related representative action filed in California state court pursuant to California’s Private Attorneys General Act. We filed an answer to this action on February 17, 2023. We believe that the claims in these lawsuits are without merit and intend to oppose the certification of a class and to defend the litigation vigorously.</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27, 2023, a purported class action complaint was filed in federal court in the Northern District of Georgia against the Company and two of the Company’s officers. The complaint alleges violations of Sections 10(b) and 20(a) of the Exchange Act and Rule 10b-5 for materially false and misleading statements made between May 2021 and May 2022. The complaint seeks unspecified damages as well as equitable relief. On March 28, 2023, the original plaintiff, City of Southfield General Employees Retirement System, and a new plaintiff, International Union of Operating Engineers, Local No. 793, Members Pension Benefit Trust of Ontario, filed a lead plaintiff motion, seeking to be appointed co-lead plaintiffs. On April 3, 2023, the Company along with its named officers filed a motion to dismiss the complaint. We believe that the claims alleged are without merit and intend to defend the litigation vigorously.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Reporting</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its principal products and services through two reportable segments: Owned &amp; Host and Legacy. The “Corporate/Other” category includes the results of operations of our other operating segments, AC Lens and FirstSight, as well as corporate overhead support. The “Reconciliations” category represents other adjustments to reportable segment results necessary for the presentation of consolidated financial results in accordance with U.S. GAAP for the two reportable segments.</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reportable segment profit measure is earnings before interest, tax, depreciation and amortization (“EBITDA”) or net revenue, less costs applicable to revenue, less SG&amp;A expenses. Depreciation and amortization, asset impairment, and other corporate costs that are not allocated to the reportable segments, including interest expense (income) are excluded from segment EBITDA. There are no revenue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summary of certain financial data for each of our segments. 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Chief Operating Decision Maker (“CODM”) regularly reviews.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Asset information is not included in the following summary since the CODM does not regularly review such information for the reportable segments.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9"/>
          </w:tcPr>
          <w:p>
            <w:pPr>
              <w:jc w:val="right"/>
              <w:ind w:right="990"/>
              <w:spacing w:after="0"/>
              <w:rPr>
                <w:sz w:val="20"/>
                <w:szCs w:val="20"/>
                <w:color w:val="auto"/>
              </w:rPr>
            </w:pPr>
            <w:r>
              <w:rPr>
                <w:rFonts w:ascii="Arial" w:cs="Arial" w:eastAsia="Arial" w:hAnsi="Arial"/>
                <w:sz w:val="18"/>
                <w:szCs w:val="18"/>
                <w:color w:val="auto"/>
              </w:rPr>
              <w:t>Three Months Ended April 1, 2023</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Owned &amp; Host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Legacy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Corporate/Other</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Reconciliations</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374,836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28,351</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464,761</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sales of services and plans</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87,070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97,608</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562,369</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Costs of products</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105,356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12,688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55,728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173,102</w:t>
            </w:r>
          </w:p>
        </w:tc>
        <w:tc>
          <w:tcPr>
            <w:tcW w:w="0" w:type="dxa"/>
            <w:vAlign w:val="bottom"/>
          </w:tcPr>
          <w:p>
            <w:pPr>
              <w:spacing w:after="0"/>
              <w:rPr>
                <w:sz w:val="1"/>
                <w:szCs w:val="1"/>
                <w:color w:val="auto"/>
              </w:rPr>
            </w:pPr>
          </w:p>
        </w:tc>
      </w:tr>
      <w:tr>
        <w:trPr>
          <w:trHeight w:val="23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 and plans</w:t>
            </w: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75,053</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80,950</w:t>
            </w:r>
          </w:p>
        </w:tc>
        <w:tc>
          <w:tcPr>
            <w:tcW w:w="0" w:type="dxa"/>
            <w:vAlign w:val="bottom"/>
          </w:tcPr>
          <w:p>
            <w:pPr>
              <w:spacing w:after="0"/>
              <w:rPr>
                <w:sz w:val="1"/>
                <w:szCs w:val="1"/>
                <w:color w:val="auto"/>
              </w:rPr>
            </w:pPr>
          </w:p>
        </w:tc>
      </w:tr>
      <w:tr>
        <w:trPr>
          <w:trHeight w:val="223"/>
        </w:trPr>
        <w:tc>
          <w:tcPr>
            <w:tcW w:w="3620" w:type="dxa"/>
            <w:vAlign w:val="bottom"/>
          </w:tcPr>
          <w:p>
            <w:pPr>
              <w:ind w:left="140"/>
              <w:spacing w:after="0"/>
              <w:rPr>
                <w:sz w:val="20"/>
                <w:szCs w:val="20"/>
                <w:color w:val="auto"/>
              </w:rPr>
            </w:pPr>
            <w:r>
              <w:rPr>
                <w:rFonts w:ascii="Arial" w:cs="Arial" w:eastAsia="Arial" w:hAnsi="Arial"/>
                <w:sz w:val="18"/>
                <w:szCs w:val="18"/>
                <w:color w:val="auto"/>
              </w:rPr>
              <w:t>Total costs applicable to revenue</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180,409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254,052</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167,845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249,922</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EBITDA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113,652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7,941</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(58,460)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(5,008)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24,813</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bottom w:val="single" w:sz="8" w:color="CCEEFF"/>
            </w:tcBorders>
            <w:gridSpan w:val="9"/>
            <w:vMerge w:val="restart"/>
          </w:tcPr>
          <w:p>
            <w:pPr>
              <w:jc w:val="right"/>
              <w:ind w:right="990"/>
              <w:spacing w:after="0"/>
              <w:rPr>
                <w:sz w:val="20"/>
                <w:szCs w:val="20"/>
                <w:color w:val="auto"/>
              </w:rPr>
            </w:pPr>
            <w:r>
              <w:rPr>
                <w:rFonts w:ascii="Arial" w:cs="Arial" w:eastAsia="Arial" w:hAnsi="Arial"/>
                <w:sz w:val="18"/>
                <w:szCs w:val="18"/>
                <w:color w:val="auto"/>
              </w:rPr>
              <w:t>Three Months Ended April 2, 2022</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9"/>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Owned &amp; Host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Legacy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Corporate/Other</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Reconciliations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27,630</w:t>
            </w: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433,253</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sales of services and plans</w:t>
            </w: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80,015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14,528</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94,458</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527,711</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Costs of products</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101,040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53,465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164,219</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 and plans</w:t>
            </w: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65,601</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71,818</w:t>
            </w:r>
          </w:p>
        </w:tc>
        <w:tc>
          <w:tcPr>
            <w:tcW w:w="0" w:type="dxa"/>
            <w:vAlign w:val="bottom"/>
          </w:tcPr>
          <w:p>
            <w:pPr>
              <w:spacing w:after="0"/>
              <w:rPr>
                <w:sz w:val="1"/>
                <w:szCs w:val="1"/>
                <w:color w:val="auto"/>
              </w:rPr>
            </w:pPr>
          </w:p>
        </w:tc>
      </w:tr>
      <w:tr>
        <w:trPr>
          <w:trHeight w:val="223"/>
        </w:trPr>
        <w:tc>
          <w:tcPr>
            <w:tcW w:w="3620" w:type="dxa"/>
            <w:vAlign w:val="bottom"/>
          </w:tcPr>
          <w:p>
            <w:pPr>
              <w:ind w:left="140"/>
              <w:spacing w:after="0"/>
              <w:rPr>
                <w:sz w:val="20"/>
                <w:szCs w:val="20"/>
                <w:color w:val="auto"/>
              </w:rPr>
            </w:pPr>
            <w:r>
              <w:rPr>
                <w:rFonts w:ascii="Arial" w:cs="Arial" w:eastAsia="Arial" w:hAnsi="Arial"/>
                <w:sz w:val="18"/>
                <w:szCs w:val="18"/>
                <w:color w:val="auto"/>
              </w:rPr>
              <w:t>Total costs applicable to revenue</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166,641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53,465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236,037</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228,554</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113,817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7,928</w:t>
            </w:r>
          </w:p>
        </w:tc>
        <w:tc>
          <w:tcPr>
            <w:tcW w:w="2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(48,392)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25,151</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(income), net</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EPS related to the 2025 Notes is calculated using the if-converted method; the number of dilutive shares is based on the initial conversion rate associated with the 2025 Notes. The 2025 Notes were dilutive for the three months ended April 1, 2023. A reconciliation of the numerators and denominators of the basic and diluted EPS calculations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color w:val="auto"/>
              </w:rPr>
              <w:t>Three Months Ended</w:t>
            </w:r>
          </w:p>
        </w:tc>
      </w:tr>
      <w:tr>
        <w:trPr>
          <w:trHeight w:val="237"/>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EPS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April 1, 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April 2, 2022</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30,147</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After-tax interest expense for 2025 Notes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w:t>
            </w:r>
          </w:p>
        </w:tc>
      </w:tr>
      <w:tr>
        <w:trPr>
          <w:trHeight w:val="237"/>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for diluted EPS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32,492</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basic EPS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78,721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81,428</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dilutive securities: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36"/>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units</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30"/>
        </w:trPr>
        <w:tc>
          <w:tcPr>
            <w:tcW w:w="7760" w:type="dxa"/>
            <w:vAlign w:val="bottom"/>
          </w:tcPr>
          <w:p>
            <w:pPr>
              <w:ind w:left="220"/>
              <w:spacing w:after="0"/>
              <w:rPr>
                <w:sz w:val="20"/>
                <w:szCs w:val="20"/>
                <w:color w:val="auto"/>
              </w:rPr>
            </w:pPr>
            <w:r>
              <w:rPr>
                <w:rFonts w:ascii="Arial" w:cs="Arial" w:eastAsia="Arial" w:hAnsi="Arial"/>
                <w:sz w:val="18"/>
                <w:szCs w:val="18"/>
                <w:color w:val="auto"/>
              </w:rPr>
              <w:t>2025 Notes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12,911</w:t>
            </w:r>
          </w:p>
        </w:tc>
      </w:tr>
      <w:tr>
        <w:trPr>
          <w:trHeight w:val="237"/>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for diluted EPS</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92,136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94,904</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Basic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0.23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Anti-dilutive securities excluded from diluted weighted average common shares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March 1, 2023 (the “2022 Annual Report on Form 10-K.”) This discussion contains forward-looking statements that reflect our plans, estimates and beliefs as of the date hereof and we undertake no obligation to publicly update or revise any forward-looking statement as a result of new information, future events or otherwise, except as required by law. These forward-looking statements involve numerous risks and uncertainties, including, but not limited to, those described in the “Risk Factors” section of the 2022 Annual Report on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one of the largest optical retailers in the United States and a leader in the attractive value segment of the U.S. optical retail industry. We believe that vision is central to quality of life and that people deserve to see their best to live their best, regardless of their budget. We achieve this by providing eye exams, eyeglasses and contact lenses to value seeking and lower income consumers with an opening price point that strives to be among the lowest in the industry, enabled by our low-cost operating platform. We reach our customers through a diverse portfolio of 1,357 retail stores across five brands and 16 consumer websites as of April 1, 2023.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Owned &amp; Host - As of April 1, 2023, our owned brands consisted of 905 America’s Best Contacts and Eyeglasses retail stores and 140 Eyeglass World retail stores. Our Host brands consisted of 54 Vista Optical locations on select military bases and 29 Vista Optical locations within select Fred Meyer stores as of April 1, 2023. All brands utilize our centralized laboratories. This segment also includes sales from our America’s Best, Eyeglass World, and Military omni-channel websites.</w:t>
      </w:r>
    </w:p>
    <w:p>
      <w:pPr>
        <w:spacing w:after="0" w:line="78"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Legacy - We manage the operations of, and supply inventory and laboratory processing services to, 229 Vision Centers in Walmart retail locations as of April 1, 2023. This strategic relationship with Walmart is in its </w:t>
      </w:r>
      <w:r>
        <w:rPr>
          <w:rFonts w:ascii="Arial" w:cs="Arial" w:eastAsia="Arial" w:hAnsi="Arial"/>
          <w:sz w:val="17"/>
          <w:szCs w:val="17"/>
          <w:color w:val="242424"/>
        </w:rPr>
        <w:t>33</w:t>
      </w:r>
      <w:r>
        <w:rPr>
          <w:rFonts w:ascii="Arial" w:cs="Arial" w:eastAsia="Arial" w:hAnsi="Arial"/>
          <w:sz w:val="22"/>
          <w:szCs w:val="22"/>
          <w:color w:val="242424"/>
          <w:vertAlign w:val="superscript"/>
        </w:rPr>
        <w:t>rd</w:t>
      </w:r>
      <w:r>
        <w:rPr>
          <w:rFonts w:ascii="Arial" w:cs="Arial" w:eastAsia="Arial" w:hAnsi="Arial"/>
          <w:sz w:val="17"/>
          <w:szCs w:val="17"/>
          <w:color w:val="auto"/>
        </w:rPr>
        <w:t xml:space="preserve"> </w:t>
      </w:r>
      <w:r>
        <w:rPr>
          <w:rFonts w:ascii="Arial" w:cs="Arial" w:eastAsia="Arial" w:hAnsi="Arial"/>
          <w:sz w:val="17"/>
          <w:szCs w:val="17"/>
          <w:color w:val="242424"/>
        </w:rPr>
        <w:t>year</w:t>
      </w:r>
      <w:r>
        <w:rPr>
          <w:rFonts w:ascii="Arial" w:cs="Arial" w:eastAsia="Arial" w:hAnsi="Arial"/>
          <w:sz w:val="17"/>
          <w:szCs w:val="17"/>
          <w:color w:val="auto"/>
        </w:rPr>
        <w:t>. Pursuant to a January 2020 amendment to our management &amp; services agreement with Walmart, we added five additional Vision Centers in Walmart stores in fiscal year 2020. Our current management &amp; services agreement with Walmart expires on February 23, 2024, and will automatically renew for a three-year period unless, no later than July 2023, either party gives written notice of non-renewal. During the three months ended April 1, 2023, sales associated with this arrangement represented 7.3% of consolidated net revenue. This exposes us to concentration of customer risk.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the following activity recorded in our Corporate/Other category:</w:t>
      </w:r>
    </w:p>
    <w:p>
      <w:pPr>
        <w:spacing w:after="0" w:line="117" w:lineRule="exact"/>
        <w:rPr>
          <w:sz w:val="20"/>
          <w:szCs w:val="20"/>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e-commerce platform of 12 dedicated websites managed by AC Lens. Our e-commerce business consists of five proprietary branded websites, including aclens.com, discountglasses.com and discountcontactlenses.com, and seven third-party websites with established retailers, such as Walmart, Sam’s Club and Giant Eagle as well as mid-sized vision insurance providers.</w:t>
      </w:r>
    </w:p>
    <w:p>
      <w:pPr>
        <w:spacing w:after="0" w:line="7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Wholesale contact lenses distribution to Walmart and Sam’s Club by AC Lens, which represented 6.6% of consolidated net revenue for the three months ended April 1, 2023.</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Managed care business conducted by FirstSight, our wholly-owned subsidiary that is licensed as a single-service health plan under California law.</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Unallocated corporate overhead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Reportable segment information is presented on the same basis as our condensed consolidated financial statements, except reportable segment sales which are presented on a cash basis, including point of sales for managed care payors and excluding the effects of unearned and deferred revenue, consistent with what our CODM regularly reviews. Reconciliations of segment results to consolidated results include financial information necessary to adjust reportable segment revenues to a consolidated basis in accordance with U.S. GAAP, specifically the change in unearned and deferred revenues during the period. There are no revenue transactions between reportable segments,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there are no other items in the reconciliations other than the effects of unearned and deferred revenue. See Note 10. “Segment Reporting” in our condensed consolidated financial statements included in Part I. Item 1. of this Form 10-Q.</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of when we collect cash from the customer and delivery/customer acceptance, and includes sales of prescription eyewear during approximately the last seven to 10 days of the reporting period.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remained focused on our long-term growth initiatives despite the ongoing macroeconomic uncertainty. Our core growth initiatives include, but are not limited to, continuing with the expansion of our remote medicine capabilities; maintaining and improving our optometric retention levels; increasing our marketing efficiency and omnichannel capabilities; increasing our participation in vision insurance programs; the further digitization of our stores and corporate office; continuing to position ourselves to capture whitespace opportunity for our stores; and incorporating our corporate sustainability strategy into our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are focused on the following key drivers, challenges and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Rising inflation can result in increased costs and greater profitability pressure for us. We anticipate that pressures from increases to our raw materials prices could have an impact on our costs applicable to revenue in fiscal year 2023. Wage investments as a result of inflation and an increasingly competitive recruiting market for vision care professionals due to the pandemic and related effects have had, and may continue to have, an impact on our profitability. Targeted wage investments, including increases in compensation for optometrists and associates, as well as flexibility initiatives, impacted costs applicable to revenue and selling, general and administrative expenses in the first quarter of fiscal year 2023 and we anticipate that wage pressures in certain markets will continue in 2023. Wage investment pressure and increases in raw materials prices in fiscal year 2023 may not be able to be fully offset by leverage from revenue growth, productivity efficiency and, as appropriate, various pricing actions.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 care professional recruitment, coverage, and expanded offerings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ability to continue to attract and retain qualified vision care professionals may affect exam capacity. Our operations, like those of many of our competitors, depend on our ability to offer both eyewear and eye exams. We believe the impacts of the COVID-19 pandemic on vision care professional availability, including a competitive recruiting market and preferences for adjusted work schedules, and the demand for optometrists exceeding supply in certain areas during the first quarter of fiscal year 2023 have caused constraints in exam capacity which are continuing. Due to these factors the costs to employ or retain optometrists have increased and may increase further, potentially materially. We are continuing to strategically invest in recruitment and retention initiatives, including flexible adjusted work schedules, along with continuing our implementation of remote medicine technologies, which has expanded our offerings while also increasing costs. We anticipate continuing our investment in our remote medicine capabilities primarily in America’s Best stores in the near term, including enhancements in the efficiency of our remote medicine platform, which could lead to increased costs as we train our personnel to efficiently use these new technologies.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store sales growth</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comparable store sales growth in the first quarter of fiscal year 2023 was aided by our participation in managed care programs. Such participation continues to represent an increasingly significant portion of our overall revenues as the challenging economic environment continues to impact our core non-managed care customer base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results and seasonality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Historically, our business has realized a higher portion of net revenue, income from operations, and cash flows from operations in the first half of the fiscal year, and a lower portion of net revenue, income from operations, and cash flows from operations in the fourth fiscal quarter. The seasonally larger first half of the fiscal year is attributable primarily to the timing of our customers’ income tax refunds and annual health insurance program start/reset periods. Because our target market consists of value seeking and lower income consumers, a delay in the issuance of tax refunds or changes in the amount of tax refunds can have a negative impact on our financial results. Consumers could also alter how they utilize tax refund proceeds. If average tax refunds are lower in fiscal year 2023 compared to fiscal year 2022 our revenue may be adversely affected.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strategy</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committed to providing our products to our customers at low prices. We generally employ a simple low price/high value strategy that consistently delivers savings to our customers without the need for extensive promotions. Inflationary pressures, including wage investments, consumer confidence and preferences and increased raw material costs could impact our profitability and lead us to attempt to offset such increases through various pricing actions.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SG&amp;A generally fluctuates consistently with revenue due to the variable store, field office and corporate support costs; however, some fixed costs slightly improve as a percentage of net revenue as our net revenues grow over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number of new stores per year and the timing of store openings has, and will continue to have, an impact on our results. We expect to open 65 to 70 stores in the current year. We will continue to monitor and determine our plans for future new store openings based on health, safety and economic conditions.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Operating Income, Adjusted Operating Margin, Adjusted EBITDA, Adjusted EBITDA Margin and Adjusted Diluted EPS (collectively, the “Company Non-GAAP Measures”)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both in dollars and as a percentage of our net revenue.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color w:val="auto"/>
              </w:rPr>
              <w:t>Three Months Ended</w:t>
            </w:r>
          </w:p>
        </w:tc>
      </w:tr>
      <w:tr>
        <w:trPr>
          <w:trHeight w:val="23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earnings per share, percentage and store data</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April 1, 2023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April 2, 2022</w:t>
            </w:r>
          </w:p>
        </w:tc>
      </w:tr>
      <w:tr>
        <w:trPr>
          <w:trHeight w:val="21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7"/>
        </w:trPr>
        <w:tc>
          <w:tcPr>
            <w:tcW w:w="780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464,761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433,253</w:t>
            </w:r>
          </w:p>
        </w:tc>
      </w:tr>
      <w:tr>
        <w:trPr>
          <w:trHeight w:val="236"/>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97,608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94,458</w:t>
            </w:r>
          </w:p>
        </w:tc>
      </w:tr>
      <w:tr>
        <w:trPr>
          <w:trHeight w:val="223"/>
        </w:trPr>
        <w:tc>
          <w:tcPr>
            <w:tcW w:w="7800" w:type="dxa"/>
            <w:vAlign w:val="bottom"/>
          </w:tcPr>
          <w:p>
            <w:pPr>
              <w:ind w:left="360"/>
              <w:spacing w:after="0"/>
              <w:rPr>
                <w:sz w:val="20"/>
                <w:szCs w:val="20"/>
                <w:color w:val="auto"/>
              </w:rPr>
            </w:pPr>
            <w:r>
              <w:rPr>
                <w:rFonts w:ascii="Arial" w:cs="Arial" w:eastAsia="Arial" w:hAnsi="Arial"/>
                <w:sz w:val="18"/>
                <w:szCs w:val="18"/>
                <w:color w:val="auto"/>
              </w:rPr>
              <w:t>Total net revenue</w:t>
            </w: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562,369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527,711</w:t>
            </w: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Products</w:t>
            </w: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173,102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164,219</w:t>
            </w:r>
          </w:p>
        </w:tc>
      </w:tr>
      <w:tr>
        <w:trPr>
          <w:trHeight w:val="230"/>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80,950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71,818</w:t>
            </w: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Total costs applicable to revenue</w:t>
            </w:r>
          </w:p>
        </w:tc>
        <w:tc>
          <w:tcPr>
            <w:tcW w:w="2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254,052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236,037</w:t>
            </w: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249,922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228,554</w:t>
            </w:r>
          </w:p>
        </w:tc>
      </w:tr>
      <w:tr>
        <w:trPr>
          <w:trHeight w:val="243"/>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25,151</w:t>
            </w: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406</w:t>
            </w:r>
          </w:p>
        </w:tc>
      </w:tr>
      <w:tr>
        <w:trPr>
          <w:trHeight w:val="230"/>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r>
      <w:tr>
        <w:trPr>
          <w:trHeight w:val="237"/>
        </w:trPr>
        <w:tc>
          <w:tcPr>
            <w:tcW w:w="7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275,005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254,342</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37,332</w:t>
            </w:r>
          </w:p>
        </w:tc>
      </w:tr>
      <w:tr>
        <w:trPr>
          <w:trHeight w:val="230"/>
        </w:trPr>
        <w:tc>
          <w:tcPr>
            <w:tcW w:w="7800" w:type="dxa"/>
            <w:vAlign w:val="bottom"/>
          </w:tcPr>
          <w:p>
            <w:pPr>
              <w:ind w:left="220"/>
              <w:spacing w:after="0"/>
              <w:rPr>
                <w:sz w:val="20"/>
                <w:szCs w:val="20"/>
                <w:color w:val="auto"/>
              </w:rPr>
            </w:pPr>
            <w:r>
              <w:rPr>
                <w:rFonts w:ascii="Arial" w:cs="Arial" w:eastAsia="Arial" w:hAnsi="Arial"/>
                <w:sz w:val="18"/>
                <w:szCs w:val="18"/>
                <w:color w:val="auto"/>
              </w:rPr>
              <w:t>Interest expense (income), net</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4,867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(4,144)</w:t>
            </w: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28,445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41,476</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10,175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11,329</w:t>
            </w: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18,270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30,147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operating data:</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Number of stores open at end of period</w:t>
            </w: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1,292</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 opened during the period</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39,873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45,304</w:t>
            </w: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Adjusted Diluted EPS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0.33</w:t>
            </w: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62,814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68,583</w:t>
            </w:r>
          </w:p>
        </w:tc>
      </w:tr>
      <w:tr>
        <w:trPr>
          <w:trHeight w:val="270"/>
        </w:trPr>
        <w:tc>
          <w:tcPr>
            <w:tcW w:w="7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revenue: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Total costs applicable to revenue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44.7 %</w:t>
            </w: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43.3 %</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48.9 %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48.2 %</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13.0 %</w:t>
            </w:r>
          </w:p>
        </w:tc>
      </w:tr>
      <w:tr>
        <w:trPr>
          <w:trHeight w:val="742"/>
        </w:trPr>
        <w:tc>
          <w:tcPr>
            <w:tcW w:w="7800" w:type="dxa"/>
            <w:vAlign w:val="bottom"/>
          </w:tcPr>
          <w:p>
            <w:pPr>
              <w:ind w:left="554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7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ind w:right="4860"/>
        <w:spacing w:after="0" w:line="378" w:lineRule="auto"/>
        <w:rPr>
          <w:sz w:val="20"/>
          <w:szCs w:val="20"/>
          <w:color w:val="auto"/>
        </w:rPr>
      </w:pPr>
      <w:r>
        <w:rPr>
          <w:rFonts w:ascii="Arial" w:cs="Arial" w:eastAsia="Arial" w:hAnsi="Arial"/>
          <w:sz w:val="18"/>
          <w:szCs w:val="18"/>
          <w:b w:val="1"/>
          <w:bCs w:val="1"/>
          <w:color w:val="auto"/>
        </w:rPr>
        <w:t xml:space="preserve">Three Months Ended April 1, 2023 compared to Three Months Ended April 2, 2022 </w:t>
      </w:r>
      <w:r>
        <w:rPr>
          <w:rFonts w:ascii="Arial" w:cs="Arial" w:eastAsia="Arial" w:hAnsi="Arial"/>
          <w:sz w:val="18"/>
          <w:szCs w:val="18"/>
          <w:i w:val="1"/>
          <w:iCs w:val="1"/>
          <w:color w:val="auto"/>
        </w:rPr>
        <w:t>Net revenue</w:t>
      </w:r>
    </w:p>
    <w:p>
      <w:pPr>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three months ended April 1, 2023 compared to the three months ended April 2, 2022.</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4"/>
                <w:szCs w:val="14"/>
                <w:b w:val="1"/>
                <w:bCs w:val="1"/>
                <w:color w:val="auto"/>
                <w:w w:val="97"/>
              </w:rPr>
              <w:t>Comparable store sales growth</w:t>
            </w:r>
            <w:r>
              <w:rPr>
                <w:rFonts w:ascii="Arial" w:cs="Arial" w:eastAsia="Arial" w:hAnsi="Arial"/>
                <w:sz w:val="18"/>
                <w:szCs w:val="18"/>
                <w:b w:val="1"/>
                <w:bCs w:val="1"/>
                <w:color w:val="auto"/>
                <w:w w:val="97"/>
                <w:vertAlign w:val="superscript"/>
              </w:rPr>
              <w:t>(1)</w:t>
            </w:r>
          </w:p>
        </w:tc>
        <w:tc>
          <w:tcPr>
            <w:tcW w:w="100" w:type="dxa"/>
            <w:vAlign w:val="bottom"/>
          </w:tcPr>
          <w:p>
            <w:pPr>
              <w:spacing w:after="0"/>
              <w:rPr>
                <w:sz w:val="17"/>
                <w:szCs w:val="17"/>
                <w:color w:val="auto"/>
              </w:rPr>
            </w:pPr>
          </w:p>
        </w:tc>
        <w:tc>
          <w:tcPr>
            <w:tcW w:w="20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w w:val="99"/>
              </w:rPr>
              <w:t>Stores open at end of period</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1004"/>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18"/>
                <w:szCs w:val="18"/>
                <w:b w:val="1"/>
                <w:bCs w:val="1"/>
                <w:color w:val="auto"/>
                <w:vertAlign w:val="superscript"/>
              </w:rPr>
              <w:t>(2)</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2"/>
            <w:vMerge w:val="restart"/>
          </w:tcPr>
          <w:p>
            <w:pPr>
              <w:jc w:val="right"/>
              <w:ind w:right="28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2"/>
            <w:vMerge w:val="restart"/>
          </w:tcPr>
          <w:p>
            <w:pPr>
              <w:jc w:val="right"/>
              <w:ind w:right="28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2460" w:type="dxa"/>
            <w:vAlign w:val="bottom"/>
            <w:gridSpan w:val="2"/>
          </w:tcPr>
          <w:p>
            <w:pPr>
              <w:ind w:left="20"/>
              <w:spacing w:after="0" w:line="149" w:lineRule="exact"/>
              <w:rPr>
                <w:sz w:val="20"/>
                <w:szCs w:val="20"/>
                <w:color w:val="auto"/>
              </w:rPr>
            </w:pPr>
            <w:r>
              <w:rPr>
                <w:rFonts w:ascii="Arial" w:cs="Arial" w:eastAsia="Arial" w:hAnsi="Arial"/>
                <w:sz w:val="14"/>
                <w:szCs w:val="14"/>
                <w:i w:val="1"/>
                <w:iCs w:val="1"/>
                <w:color w:val="auto"/>
              </w:rPr>
              <w:t>In thousands, except percentage and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980" w:type="dxa"/>
            <w:vAlign w:val="bottom"/>
            <w:vMerge w:val="restart"/>
          </w:tcPr>
          <w:p>
            <w:pPr>
              <w:jc w:val="right"/>
              <w:ind w:right="5"/>
              <w:spacing w:after="0"/>
              <w:rPr>
                <w:sz w:val="20"/>
                <w:szCs w:val="20"/>
                <w:color w:val="auto"/>
              </w:rPr>
            </w:pPr>
            <w:r>
              <w:rPr>
                <w:rFonts w:ascii="Arial" w:cs="Arial" w:eastAsia="Arial" w:hAnsi="Arial"/>
                <w:sz w:val="14"/>
                <w:szCs w:val="14"/>
                <w:b w:val="1"/>
                <w:bCs w:val="1"/>
                <w:color w:val="auto"/>
              </w:rPr>
              <w:t>April 1, 2023</w:t>
            </w:r>
          </w:p>
        </w:tc>
        <w:tc>
          <w:tcPr>
            <w:tcW w:w="100" w:type="dxa"/>
            <w:vAlign w:val="bottom"/>
          </w:tcPr>
          <w:p>
            <w:pPr>
              <w:spacing w:after="0"/>
              <w:rPr>
                <w:sz w:val="12"/>
                <w:szCs w:val="12"/>
                <w:color w:val="auto"/>
              </w:rPr>
            </w:pPr>
          </w:p>
        </w:tc>
        <w:tc>
          <w:tcPr>
            <w:tcW w:w="960" w:type="dxa"/>
            <w:vAlign w:val="bottom"/>
            <w:vMerge w:val="restart"/>
          </w:tcPr>
          <w:p>
            <w:pPr>
              <w:jc w:val="right"/>
              <w:ind w:right="5"/>
              <w:spacing w:after="0"/>
              <w:rPr>
                <w:sz w:val="20"/>
                <w:szCs w:val="20"/>
                <w:color w:val="auto"/>
              </w:rPr>
            </w:pPr>
            <w:r>
              <w:rPr>
                <w:rFonts w:ascii="Arial" w:cs="Arial" w:eastAsia="Arial" w:hAnsi="Arial"/>
                <w:sz w:val="14"/>
                <w:szCs w:val="14"/>
                <w:b w:val="1"/>
                <w:bCs w:val="1"/>
                <w:color w:val="auto"/>
              </w:rPr>
              <w:t>April 2, 2022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store data</w:t>
            </w:r>
          </w:p>
        </w:tc>
        <w:tc>
          <w:tcPr>
            <w:tcW w:w="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April 1, 2023</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April 2, 2022</w:t>
            </w:r>
          </w:p>
        </w:tc>
        <w:tc>
          <w:tcPr>
            <w:tcW w:w="10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1, 2023</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2, 2022</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Owned &amp; Host segment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60" w:type="dxa"/>
            <w:vAlign w:val="bottom"/>
            <w:gridSpan w:val="2"/>
          </w:tcPr>
          <w:p>
            <w:pPr>
              <w:ind w:left="20"/>
              <w:spacing w:after="0"/>
              <w:rPr>
                <w:sz w:val="20"/>
                <w:szCs w:val="20"/>
                <w:color w:val="auto"/>
              </w:rPr>
            </w:pPr>
            <w:r>
              <w:rPr>
                <w:rFonts w:ascii="Arial" w:cs="Arial" w:eastAsia="Arial" w:hAnsi="Arial"/>
                <w:sz w:val="15"/>
                <w:szCs w:val="15"/>
                <w:color w:val="auto"/>
              </w:rPr>
              <w:t>America’s Best</w:t>
            </w:r>
          </w:p>
        </w:tc>
        <w:tc>
          <w:tcPr>
            <w:tcW w:w="1140" w:type="dxa"/>
            <w:vAlign w:val="bottom"/>
          </w:tcPr>
          <w:p>
            <w:pPr>
              <w:jc w:val="right"/>
              <w:spacing w:after="0"/>
              <w:rPr>
                <w:sz w:val="20"/>
                <w:szCs w:val="20"/>
                <w:color w:val="auto"/>
              </w:rPr>
            </w:pPr>
            <w:r>
              <w:rPr>
                <w:rFonts w:ascii="Arial" w:cs="Arial" w:eastAsia="Arial" w:hAnsi="Arial"/>
                <w:sz w:val="15"/>
                <w:szCs w:val="15"/>
                <w:color w:val="auto"/>
              </w:rPr>
              <w:t>1.7 %</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(7.3)%</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905</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852</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391,798</w:t>
            </w:r>
          </w:p>
        </w:tc>
        <w:tc>
          <w:tcPr>
            <w:tcW w:w="580" w:type="dxa"/>
            <w:vAlign w:val="bottom"/>
          </w:tcPr>
          <w:p>
            <w:pPr>
              <w:jc w:val="right"/>
              <w:spacing w:after="0"/>
              <w:rPr>
                <w:sz w:val="20"/>
                <w:szCs w:val="20"/>
                <w:color w:val="auto"/>
              </w:rPr>
            </w:pPr>
            <w:r>
              <w:rPr>
                <w:rFonts w:ascii="Arial" w:cs="Arial" w:eastAsia="Arial" w:hAnsi="Arial"/>
                <w:sz w:val="15"/>
                <w:szCs w:val="15"/>
                <w:color w:val="auto"/>
              </w:rPr>
              <w:t>69.7 %</w:t>
            </w: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370,038</w:t>
            </w:r>
          </w:p>
        </w:tc>
        <w:tc>
          <w:tcPr>
            <w:tcW w:w="580" w:type="dxa"/>
            <w:vAlign w:val="bottom"/>
          </w:tcPr>
          <w:p>
            <w:pPr>
              <w:jc w:val="right"/>
              <w:spacing w:after="0"/>
              <w:rPr>
                <w:sz w:val="20"/>
                <w:szCs w:val="20"/>
                <w:color w:val="auto"/>
              </w:rPr>
            </w:pPr>
            <w:r>
              <w:rPr>
                <w:rFonts w:ascii="Arial" w:cs="Arial" w:eastAsia="Arial" w:hAnsi="Arial"/>
                <w:sz w:val="15"/>
                <w:szCs w:val="15"/>
                <w:color w:val="auto"/>
              </w:rPr>
              <w:t>70.1 %</w:t>
            </w:r>
          </w:p>
        </w:tc>
        <w:tc>
          <w:tcPr>
            <w:tcW w:w="0" w:type="dxa"/>
            <w:vAlign w:val="bottom"/>
          </w:tcPr>
          <w:p>
            <w:pPr>
              <w:spacing w:after="0"/>
              <w:rPr>
                <w:sz w:val="1"/>
                <w:szCs w:val="1"/>
                <w:color w:val="auto"/>
              </w:rPr>
            </w:pPr>
          </w:p>
        </w:tc>
      </w:tr>
      <w:tr>
        <w:trPr>
          <w:trHeight w:val="207"/>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Eyeglass World</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rPr>
              <w:t>61,116</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rPr>
              <w:t>58,774</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11.1 %</w:t>
            </w:r>
          </w:p>
        </w:tc>
        <w:tc>
          <w:tcPr>
            <w:tcW w:w="0" w:type="dxa"/>
            <w:vAlign w:val="bottom"/>
          </w:tcPr>
          <w:p>
            <w:pPr>
              <w:spacing w:after="0"/>
              <w:rPr>
                <w:sz w:val="1"/>
                <w:szCs w:val="1"/>
                <w:color w:val="auto"/>
              </w:rPr>
            </w:pPr>
          </w:p>
        </w:tc>
      </w:tr>
      <w:tr>
        <w:trPr>
          <w:trHeight w:val="194"/>
        </w:trPr>
        <w:tc>
          <w:tcPr>
            <w:tcW w:w="2460" w:type="dxa"/>
            <w:vAlign w:val="bottom"/>
            <w:gridSpan w:val="2"/>
          </w:tcPr>
          <w:p>
            <w:pPr>
              <w:ind w:left="20"/>
              <w:spacing w:after="0"/>
              <w:rPr>
                <w:sz w:val="20"/>
                <w:szCs w:val="20"/>
                <w:color w:val="auto"/>
              </w:rPr>
            </w:pPr>
            <w:r>
              <w:rPr>
                <w:rFonts w:ascii="Arial" w:cs="Arial" w:eastAsia="Arial" w:hAnsi="Arial"/>
                <w:sz w:val="15"/>
                <w:szCs w:val="15"/>
                <w:color w:val="auto"/>
              </w:rPr>
              <w:t>Military</w:t>
            </w:r>
          </w:p>
        </w:tc>
        <w:tc>
          <w:tcPr>
            <w:tcW w:w="1140" w:type="dxa"/>
            <w:vAlign w:val="bottom"/>
          </w:tcPr>
          <w:p>
            <w:pPr>
              <w:jc w:val="right"/>
              <w:spacing w:after="0"/>
              <w:rPr>
                <w:sz w:val="20"/>
                <w:szCs w:val="20"/>
                <w:color w:val="auto"/>
              </w:rPr>
            </w:pPr>
            <w:r>
              <w:rPr>
                <w:rFonts w:ascii="Arial" w:cs="Arial" w:eastAsia="Arial" w:hAnsi="Arial"/>
                <w:sz w:val="15"/>
                <w:szCs w:val="15"/>
                <w:color w:val="auto"/>
              </w:rPr>
              <w:t>3.2 %</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(4.1)%</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54</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6,171</w:t>
            </w:r>
          </w:p>
        </w:tc>
        <w:tc>
          <w:tcPr>
            <w:tcW w:w="580" w:type="dxa"/>
            <w:vAlign w:val="bottom"/>
          </w:tcPr>
          <w:p>
            <w:pPr>
              <w:jc w:val="right"/>
              <w:spacing w:after="0"/>
              <w:rPr>
                <w:sz w:val="20"/>
                <w:szCs w:val="20"/>
                <w:color w:val="auto"/>
              </w:rPr>
            </w:pPr>
            <w:r>
              <w:rPr>
                <w:rFonts w:ascii="Arial" w:cs="Arial" w:eastAsia="Arial" w:hAnsi="Arial"/>
                <w:sz w:val="15"/>
                <w:szCs w:val="15"/>
                <w:color w:val="auto"/>
              </w:rPr>
              <w:t>1.1 %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5,985</w:t>
            </w:r>
          </w:p>
        </w:tc>
        <w:tc>
          <w:tcPr>
            <w:tcW w:w="580" w:type="dxa"/>
            <w:vAlign w:val="bottom"/>
          </w:tcPr>
          <w:p>
            <w:pPr>
              <w:jc w:val="right"/>
              <w:spacing w:after="0"/>
              <w:rPr>
                <w:sz w:val="20"/>
                <w:szCs w:val="20"/>
                <w:color w:val="auto"/>
              </w:rPr>
            </w:pPr>
            <w:r>
              <w:rPr>
                <w:rFonts w:ascii="Arial" w:cs="Arial" w:eastAsia="Arial" w:hAnsi="Arial"/>
                <w:sz w:val="15"/>
                <w:szCs w:val="15"/>
                <w:color w:val="auto"/>
              </w:rPr>
              <w:t>1.1 %</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Fred Meyer</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1.4 %</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5"/>
                <w:szCs w:val="15"/>
                <w:color w:val="auto"/>
              </w:rPr>
              <w:t>2,821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0.5 %</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5"/>
                <w:szCs w:val="15"/>
                <w:color w:val="auto"/>
              </w:rPr>
              <w:t>3,122</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0.7 %</w:t>
            </w:r>
          </w:p>
        </w:tc>
        <w:tc>
          <w:tcPr>
            <w:tcW w:w="0" w:type="dxa"/>
            <w:vAlign w:val="bottom"/>
          </w:tcPr>
          <w:p>
            <w:pPr>
              <w:spacing w:after="0"/>
              <w:rPr>
                <w:sz w:val="1"/>
                <w:szCs w:val="1"/>
                <w:color w:val="auto"/>
              </w:rPr>
            </w:pPr>
          </w:p>
        </w:tc>
      </w:tr>
      <w:tr>
        <w:trPr>
          <w:trHeight w:val="192"/>
        </w:trPr>
        <w:tc>
          <w:tcPr>
            <w:tcW w:w="2460" w:type="dxa"/>
            <w:vAlign w:val="bottom"/>
            <w:gridSpan w:val="2"/>
          </w:tcPr>
          <w:p>
            <w:pPr>
              <w:ind w:left="20"/>
              <w:spacing w:after="0"/>
              <w:rPr>
                <w:sz w:val="20"/>
                <w:szCs w:val="20"/>
                <w:color w:val="auto"/>
              </w:rPr>
            </w:pPr>
            <w:r>
              <w:rPr>
                <w:rFonts w:ascii="Arial" w:cs="Arial" w:eastAsia="Arial" w:hAnsi="Arial"/>
                <w:sz w:val="15"/>
                <w:szCs w:val="15"/>
                <w:color w:val="auto"/>
              </w:rPr>
              <w:t>Owned &amp; Host segment total</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1,128</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1,062</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461,906</w:t>
            </w:r>
          </w:p>
        </w:tc>
        <w:tc>
          <w:tcPr>
            <w:tcW w:w="580" w:type="dxa"/>
            <w:vAlign w:val="bottom"/>
          </w:tcPr>
          <w:p>
            <w:pPr>
              <w:jc w:val="right"/>
              <w:spacing w:after="0"/>
              <w:rPr>
                <w:sz w:val="20"/>
                <w:szCs w:val="20"/>
                <w:color w:val="auto"/>
              </w:rPr>
            </w:pPr>
            <w:r>
              <w:rPr>
                <w:rFonts w:ascii="Arial" w:cs="Arial" w:eastAsia="Arial" w:hAnsi="Arial"/>
                <w:sz w:val="15"/>
                <w:szCs w:val="15"/>
                <w:color w:val="auto"/>
              </w:rPr>
              <w:t>82.1 %</w:t>
            </w: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437,919</w:t>
            </w:r>
          </w:p>
        </w:tc>
        <w:tc>
          <w:tcPr>
            <w:tcW w:w="580" w:type="dxa"/>
            <w:vAlign w:val="bottom"/>
          </w:tcPr>
          <w:p>
            <w:pPr>
              <w:jc w:val="right"/>
              <w:spacing w:after="0"/>
              <w:rPr>
                <w:sz w:val="20"/>
                <w:szCs w:val="20"/>
                <w:color w:val="auto"/>
              </w:rPr>
            </w:pPr>
            <w:r>
              <w:rPr>
                <w:rFonts w:ascii="Arial" w:cs="Arial" w:eastAsia="Arial" w:hAnsi="Arial"/>
                <w:sz w:val="15"/>
                <w:szCs w:val="15"/>
                <w:color w:val="auto"/>
              </w:rPr>
              <w:t>83.0 %</w:t>
            </w:r>
          </w:p>
        </w:tc>
        <w:tc>
          <w:tcPr>
            <w:tcW w:w="0" w:type="dxa"/>
            <w:vAlign w:val="bottom"/>
          </w:tcPr>
          <w:p>
            <w:pPr>
              <w:spacing w:after="0"/>
              <w:rPr>
                <w:sz w:val="1"/>
                <w:szCs w:val="1"/>
                <w:color w:val="auto"/>
              </w:rPr>
            </w:pPr>
          </w:p>
        </w:tc>
      </w:tr>
      <w:tr>
        <w:trPr>
          <w:trHeight w:val="22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Legacy segment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rPr>
              <w:t>41,276</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rPr>
              <w:t>42,158</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00"/>
        </w:trPr>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Corporate/Other</w:t>
            </w:r>
          </w:p>
        </w:tc>
        <w:tc>
          <w:tcPr>
            <w:tcW w:w="11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4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64,865</w:t>
            </w:r>
          </w:p>
        </w:tc>
        <w:tc>
          <w:tcPr>
            <w:tcW w:w="580" w:type="dxa"/>
            <w:vAlign w:val="bottom"/>
          </w:tcPr>
          <w:p>
            <w:pPr>
              <w:jc w:val="right"/>
              <w:spacing w:after="0"/>
              <w:rPr>
                <w:sz w:val="20"/>
                <w:szCs w:val="20"/>
                <w:color w:val="auto"/>
              </w:rPr>
            </w:pPr>
            <w:r>
              <w:rPr>
                <w:rFonts w:ascii="Arial" w:cs="Arial" w:eastAsia="Arial" w:hAnsi="Arial"/>
                <w:sz w:val="15"/>
                <w:szCs w:val="15"/>
                <w:color w:val="auto"/>
              </w:rPr>
              <w:t>11.6 %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61,697</w:t>
            </w:r>
          </w:p>
        </w:tc>
        <w:tc>
          <w:tcPr>
            <w:tcW w:w="580" w:type="dxa"/>
            <w:vAlign w:val="bottom"/>
          </w:tcPr>
          <w:p>
            <w:pPr>
              <w:jc w:val="right"/>
              <w:spacing w:after="0"/>
              <w:rPr>
                <w:sz w:val="20"/>
                <w:szCs w:val="20"/>
                <w:color w:val="auto"/>
              </w:rPr>
            </w:pPr>
            <w:r>
              <w:rPr>
                <w:rFonts w:ascii="Arial" w:cs="Arial" w:eastAsia="Arial" w:hAnsi="Arial"/>
                <w:sz w:val="15"/>
                <w:szCs w:val="15"/>
                <w:color w:val="auto"/>
              </w:rPr>
              <w:t>11.7 %</w:t>
            </w:r>
          </w:p>
        </w:tc>
        <w:tc>
          <w:tcPr>
            <w:tcW w:w="0" w:type="dxa"/>
            <w:vAlign w:val="bottom"/>
          </w:tcPr>
          <w:p>
            <w:pPr>
              <w:spacing w:after="0"/>
              <w:rPr>
                <w:sz w:val="1"/>
                <w:szCs w:val="1"/>
                <w:color w:val="auto"/>
              </w:rPr>
            </w:pPr>
          </w:p>
        </w:tc>
      </w:tr>
      <w:tr>
        <w:trPr>
          <w:trHeight w:val="203"/>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Reconciliations</w:t>
            </w:r>
          </w:p>
        </w:tc>
        <w:tc>
          <w:tcPr>
            <w:tcW w:w="114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rPr>
              <w:t>(5,678)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rPr>
              <w:t>(14,063)</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12"/>
        </w:trPr>
        <w:tc>
          <w:tcPr>
            <w:tcW w:w="246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140" w:type="dxa"/>
            <w:vAlign w:val="bottom"/>
          </w:tcPr>
          <w:p>
            <w:pPr>
              <w:jc w:val="right"/>
              <w:spacing w:after="0"/>
              <w:rPr>
                <w:sz w:val="20"/>
                <w:szCs w:val="20"/>
                <w:color w:val="auto"/>
              </w:rPr>
            </w:pPr>
            <w:r>
              <w:rPr>
                <w:rFonts w:ascii="Arial" w:cs="Arial" w:eastAsia="Arial" w:hAnsi="Arial"/>
                <w:sz w:val="15"/>
                <w:szCs w:val="15"/>
                <w:color w:val="auto"/>
              </w:rPr>
              <w:t>3.0 %</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(4.9)%</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1,357</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1,292</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562,369</w:t>
            </w:r>
          </w:p>
        </w:tc>
        <w:tc>
          <w:tcPr>
            <w:tcW w:w="580" w:type="dxa"/>
            <w:vAlign w:val="bottom"/>
          </w:tcPr>
          <w:p>
            <w:pPr>
              <w:jc w:val="right"/>
              <w:spacing w:after="0"/>
              <w:rPr>
                <w:sz w:val="20"/>
                <w:szCs w:val="20"/>
                <w:color w:val="auto"/>
              </w:rPr>
            </w:pPr>
            <w:r>
              <w:rPr>
                <w:rFonts w:ascii="Arial" w:cs="Arial" w:eastAsia="Arial" w:hAnsi="Arial"/>
                <w:sz w:val="15"/>
                <w:szCs w:val="15"/>
                <w:color w:val="auto"/>
                <w:w w:val="98"/>
              </w:rPr>
              <w:t>100.0 %</w:t>
            </w: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404"/>
              <w:spacing w:after="0"/>
              <w:rPr>
                <w:sz w:val="20"/>
                <w:szCs w:val="20"/>
                <w:color w:val="auto"/>
              </w:rPr>
            </w:pPr>
            <w:r>
              <w:rPr>
                <w:rFonts w:ascii="Arial" w:cs="Arial" w:eastAsia="Arial" w:hAnsi="Arial"/>
                <w:sz w:val="15"/>
                <w:szCs w:val="15"/>
                <w:color w:val="auto"/>
              </w:rPr>
              <w:t>527,711</w:t>
            </w:r>
          </w:p>
        </w:tc>
        <w:tc>
          <w:tcPr>
            <w:tcW w:w="580" w:type="dxa"/>
            <w:vAlign w:val="bottom"/>
          </w:tcPr>
          <w:p>
            <w:pPr>
              <w:jc w:val="right"/>
              <w:spacing w:after="0"/>
              <w:rPr>
                <w:sz w:val="20"/>
                <w:szCs w:val="20"/>
                <w:color w:val="auto"/>
              </w:rPr>
            </w:pPr>
            <w:r>
              <w:rPr>
                <w:rFonts w:ascii="Arial" w:cs="Arial" w:eastAsia="Arial" w:hAnsi="Arial"/>
                <w:sz w:val="15"/>
                <w:szCs w:val="15"/>
                <w:color w:val="auto"/>
                <w:w w:val="98"/>
              </w:rPr>
              <w:t>100.0 %</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460" w:type="dxa"/>
            <w:vAlign w:val="bottom"/>
            <w:gridSpan w:val="2"/>
            <w:shd w:val="clear" w:color="auto" w:fill="CCEEFF"/>
          </w:tcPr>
          <w:p>
            <w:pPr>
              <w:ind w:left="20"/>
              <w:spacing w:after="0" w:line="116" w:lineRule="exact"/>
              <w:rPr>
                <w:sz w:val="20"/>
                <w:szCs w:val="20"/>
                <w:color w:val="auto"/>
              </w:rPr>
            </w:pPr>
            <w:r>
              <w:rPr>
                <w:rFonts w:ascii="Arial" w:cs="Arial" w:eastAsia="Arial" w:hAnsi="Arial"/>
                <w:sz w:val="13"/>
                <w:szCs w:val="13"/>
                <w:color w:val="auto"/>
              </w:rPr>
              <w:t>Adjusted Comparable Store Sales</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0.8 %</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46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Growth</w:t>
            </w:r>
            <w:r>
              <w:rPr>
                <w:rFonts w:ascii="Arial" w:cs="Arial" w:eastAsia="Arial" w:hAnsi="Arial"/>
                <w:sz w:val="19"/>
                <w:szCs w:val="19"/>
                <w:color w:val="auto"/>
                <w:vertAlign w:val="superscript"/>
              </w:rPr>
              <w:t>(3)</w:t>
            </w:r>
          </w:p>
        </w:tc>
        <w:tc>
          <w:tcPr>
            <w:tcW w:w="1140" w:type="dxa"/>
            <w:vAlign w:val="bottom"/>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640" w:hanging="328"/>
        <w:spacing w:after="0" w:line="279"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4" w:lineRule="exact"/>
        <w:rPr>
          <w:rFonts w:ascii="Arial" w:cs="Arial" w:eastAsia="Arial" w:hAnsi="Arial"/>
          <w:sz w:val="14"/>
          <w:szCs w:val="14"/>
          <w:color w:val="auto"/>
        </w:rPr>
      </w:pPr>
    </w:p>
    <w:p>
      <w:pPr>
        <w:jc w:val="both"/>
        <w:ind w:left="660" w:right="640" w:hanging="328"/>
        <w:spacing w:after="0" w:line="261"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2.0% and a decrease of 1.8% from total comparable store sales growth based on consolidated net revenue for the three months ended April 1, 2023 and April 2, 2022, respectively, and (ii) Adjusted Comparable Store Sales Growth includes retail sales to the Legacy partner’s customers (rather than the revenues recognized consistent with the management &amp; services agreement with the Legacy partner), resulting in a decrease of 0.2% and a decrease of 0.1% from total comparable store sales growth based on consolidated net revenue for the three months ended April 1, 2023 and April 2, 2022, respectively.</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net revenue of $562.4 million for the three months ended April 1, 2023 increased $34.7 million, or 6.6%, from $527.7 million for the three months ended April 2, 2022. The increase was driven by approximately 55% growth from new store sales, 25% by recognition of unearned and deferred revenue, 10% by Adjusted Comparable Store Sales Growth, and 10% by our AC Lens business.</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three months ended April 1, 2023, we opened four new America’s Best stores and four Eyeglass World stores, and closed four America’s Best stores and one Legacy store as a result of our Legacy partner’s decision to cease its overall operations at the location. Overall, store count grew 5.0% from April 2, 2022 to April 1, 2023 (53 and 13 net new America’s Best and Eyeglass World stores were added, respectively).</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Comparable store sales growth and Adjusted Comparable Store Sales Growth for the three months ended April 1, 2023 were 3.0% and 0.8%, respectively, primarily due to higher average ticket and an increase in customer transactions.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product sales comprised 82.6% and 82.1% of total net revenue for the three months ended April 1, 2023 and April 2, 2022, respectively. Net product sales increased $31.5 million, or 7.3%, in the three months ended April 1, 2023 compared to the three months ended April 2, 2022, primarily due to a $25.1 million, or 8.5%, increase in eyeglass sales and a $4.2 million, or 4.3%, increase in contact lens sales and a $2.0 million, or 5.8%, increase in wholesale fulfillment.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of services and plans for the three months ended April 1, 2023 increased $3.2 million, or 3.3%, compared to the three months ended April 2, 2022, driven primarily by higher exam revenues of $6.3 million, or 12.2% increase, which was partially offset by a $1.6 million, or 16.4%, decrease in management fees from our Legacy partner.</w:t>
      </w:r>
    </w:p>
    <w:p>
      <w:pPr>
        <w:spacing w:after="0" w:line="7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increased $24.0 million, or 5.5%, driven primarily by new store openings and comparable store sales</w:t>
      </w:r>
      <w:r>
        <w:rPr>
          <w:rFonts w:ascii="Arial" w:cs="Arial" w:eastAsia="Arial" w:hAnsi="Arial"/>
          <w:sz w:val="18"/>
          <w:szCs w:val="18"/>
          <w:i w:val="1"/>
          <w:iCs w:val="1"/>
          <w:color w:val="auto"/>
        </w:rPr>
        <w:t xml:space="preserve"> </w:t>
      </w:r>
      <w:r>
        <w:rPr>
          <w:rFonts w:ascii="Arial" w:cs="Arial" w:eastAsia="Arial" w:hAnsi="Arial"/>
          <w:sz w:val="18"/>
          <w:szCs w:val="18"/>
          <w:color w:val="auto"/>
        </w:rPr>
        <w:t>growth.</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decreased $0.9 million, or 2.1%, driven by negative comparable store sales growth.</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Corporate/Other segment net revenue. </w:t>
      </w:r>
      <w:r>
        <w:rPr>
          <w:rFonts w:ascii="Arial" w:cs="Arial" w:eastAsia="Arial" w:hAnsi="Arial"/>
          <w:sz w:val="17"/>
          <w:szCs w:val="17"/>
          <w:color w:val="auto"/>
        </w:rPr>
        <w:t>Net revenue increased $3.2 million, or 5.1%, driven primarily by increases in wholesale fulfillment.</w:t>
      </w:r>
    </w:p>
    <w:p>
      <w:pPr>
        <w:spacing w:after="0" w:line="129"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i w:val="1"/>
          <w:iCs w:val="1"/>
          <w:color w:val="auto"/>
        </w:rPr>
        <w:t xml:space="preserve">Net revenue reconciliations. </w:t>
      </w:r>
      <w:r>
        <w:rPr>
          <w:rFonts w:ascii="Arial" w:cs="Arial" w:eastAsia="Arial" w:hAnsi="Arial"/>
          <w:sz w:val="17"/>
          <w:szCs w:val="17"/>
          <w:color w:val="auto"/>
        </w:rPr>
        <w:t>The impact of reconciliations positively impacted net revenue by $8.4 million in the three months ended April 1, 2023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months ended April 2, 2022. Net revenue was positively impacted by $10.7 million due to the timing of unearned revenue. Net revenue was negatively impacted by $2.3 million due to higher sales of club memberships and product protection plans in the three months ended April 1, 2023, thus causing recognition of previous deferrals to be lower than cash collected for sales in fiscal year 2023.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Costs applicable to revenue of $254.1 million for the three months ended April 1, 2023 increased $18.0 million, or 7.6%, from $236.0 million for the three months ended April 2, 2022. As a percentage of net revenue, costs applicable to revenue increased from 44.7% for the three months ended April 2, 2022 to 45.2% for the three months ended April 1, 2023. This increase as a percentage of net revenue was primarily driven by higher growth in optometrist-related costs of 90 basis points, partially offset by higher eyeglass margin of 20 basis points and increased eyeglass mix of 20 basis points.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of products as a percentage of net product sales decreased from 37.9% for the three months ended April 2, 2022 to 37.2% for the three months ended April 1, 2023, primarily driven by higher eyeglass margin and increased eyeglass mix.</w:t>
      </w:r>
    </w:p>
    <w:p>
      <w:pPr>
        <w:spacing w:after="0" w:line="62"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Owned &amp; Host segment costs of products. </w:t>
      </w:r>
      <w:r>
        <w:rPr>
          <w:rFonts w:ascii="Arial" w:cs="Arial" w:eastAsia="Arial" w:hAnsi="Arial"/>
          <w:sz w:val="17"/>
          <w:szCs w:val="17"/>
          <w:color w:val="auto"/>
        </w:rPr>
        <w:t>Costs of products as a percentage of net product sales decreased from 28.2%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April 2, 2022 to 28.1% for the three months ended April 1, 2023 driven by higher eyeglass margin and increased eyeglass mix.</w:t>
      </w:r>
    </w:p>
    <w:p>
      <w:pPr>
        <w:spacing w:after="0" w:line="38"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Legacy segment costs of products. </w:t>
      </w:r>
      <w:r>
        <w:rPr>
          <w:rFonts w:ascii="Arial" w:cs="Arial" w:eastAsia="Arial" w:hAnsi="Arial"/>
          <w:sz w:val="18"/>
          <w:szCs w:val="18"/>
          <w:color w:val="auto"/>
        </w:rPr>
        <w:t>Costs of products as a percentage of net product sales decreased from 46.7% for the three months ended April 2,</w:t>
      </w:r>
      <w:r>
        <w:rPr>
          <w:rFonts w:ascii="Arial" w:cs="Arial" w:eastAsia="Arial" w:hAnsi="Arial"/>
          <w:sz w:val="18"/>
          <w:szCs w:val="18"/>
          <w:i w:val="1"/>
          <w:iCs w:val="1"/>
          <w:color w:val="auto"/>
        </w:rPr>
        <w:t xml:space="preserve"> </w:t>
      </w:r>
      <w:r>
        <w:rPr>
          <w:rFonts w:ascii="Arial" w:cs="Arial" w:eastAsia="Arial" w:hAnsi="Arial"/>
          <w:sz w:val="18"/>
          <w:szCs w:val="18"/>
          <w:color w:val="auto"/>
        </w:rPr>
        <w:t>2022 to 44.8% for the three months ended April 1, 2023. The decrease was primarily driven by a higher mix of managed care customer transactions versus non-managed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spacing w:after="0" w:line="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Costs of services and plans as a percentage of net sales of services and plans increased from 76.0% for the three months ended April 2, 2022 to 82.9% for the three months ended April 1, 2023. The increase was primarily driven by higher growth in optometrist-related costs.</w:t>
      </w:r>
    </w:p>
    <w:p>
      <w:pPr>
        <w:spacing w:after="0" w:line="6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 increased from 82.0%</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April 2, 2022 to 86.2% for the three months ended April 1, 2023. The increase was primarily driven by higher growth in optometrist-related costs.</w:t>
      </w:r>
    </w:p>
    <w:p>
      <w:pPr>
        <w:spacing w:after="0" w:line="7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Legacy segment costs of services and plans. </w:t>
      </w:r>
      <w:r>
        <w:rPr>
          <w:rFonts w:ascii="Arial" w:cs="Arial" w:eastAsia="Arial" w:hAnsi="Arial"/>
          <w:sz w:val="18"/>
          <w:szCs w:val="18"/>
          <w:color w:val="auto"/>
        </w:rPr>
        <w:t>Costs of services and plans as a percentage of net sales of services and plans increased from 42.8%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April 2, 2022 to 45.5% for the three months ended April 1, 2023. The increase was primarily driven by higher growth in optometrist-related costs.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of $249.9 million for the three months ended April 1, 2023 increased $21.4 million, or 9.3%, from the three months ended April 2, 2022. As a percentage of net revenue, SG&amp;A increased from 43.3% for the three months ended April 2, 2022 to 44.4% for the three months ended April 1, 2023. The increase in SG&amp;A as a percentage of net revenue was primarily driven by higher performance-based incentive compensation of 120 basis points and higher payroll of 60 basis points, partially offset by advertising leverage of 40 basis points.</w:t>
      </w:r>
    </w:p>
    <w:p>
      <w:pPr>
        <w:spacing w:after="0" w:line="32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increased from 36.0% for the three months ended April 2, 2022 to 36.3%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April 1, 2023, driven primarily by higher payroll and occupancy expense.</w:t>
      </w:r>
    </w:p>
    <w:p>
      <w:pPr>
        <w:spacing w:after="0" w:line="6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was 35.8% for the three months ended April 2, 2022 as compared to 35.8%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April 1,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of $24.8 million for the three months ended April 1, 2023 decreased $0.3 million, or 1.3%, from $25.2 million for the three months ended April 2, 2022 primarily driven by lower capitalization of information technology investments as property and equipment, partially offset by investments in remote medicine technology and new store openings.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recognized $0.4 million for impairment of tangible long-lived assets and ROU assets associated with our retail stores during the three months ended April 1, 2023 compared to $0.4 million recognized during the three months ended April 2, 2022. The store asset impairment charge is primarily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(income), net was $4.9 million for the three months ended April 1, 2023, compared to $(4.1) million for the three months ended April 2, 2022. The change was primarily a result of gains on our interest derivative in the first quarter of 2022 that did not reoccur in the first quarter of 2023.</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Our effective tax rates for the three months ended April 1, 2023 and April 2, 2022 were 35.8% and 27.3%, respectively, reflecting our statutory federal and state rates of 25.4% and 25.5%, respectively, reduced deductibility of meals and entertainment expenses and effects of other permanent items.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 Adjusted Operating Margin, EBITDA, Adjusted EBITDA, Adjusted EBITDA Margin and Adjusted Diluted EPS.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define Adjusted Operating Income as net income, plus interest expense (income), net and income tax provision (benefit), further adjusted to exclude stock based compensation expense, loss on extinguishment of debt, asset impairment, litigation settlement, secondary offering expenses, management realignment expenses, long-term incentive plan expenses, amortization of acquisition intangibles and certain other expenses. We define Adjusted Operating Margin as Adjusted Operating Income as a percentage of net revenue. We define EBITDA as net income, plus interest expense (income), net, income tax provision (benefit) and depreciation and amortization. We define Adjusted EBITDA as net income, plus interest expense (income), net, income tax provision (benefit) and depreciation and amortization, further adjusted to exclude stock based compensation expense, loss on extinguishment of debt, asset impairment, litigation settlement, secondary offering expenses, management realignment expenses, long-term incentive plan expenses, and certain other expenses. We define Adjusted EBITDA Margin as Adjusted EBITDA as a percentage of net revenue. We define Adjusted Diluted EPS as diluted earnings per share, adjusted for the per share impact of stock based compensation expense,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2025 Notes when not required under U.S. GAAP to be added back for diluted earnings per share,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losses (gains) on change in fair value of derivatives, certain other expenses, and tax expense (benefit) from stock-based compensation, less the tax effect of these adjustments.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and the Company Non-GAAP Measures can vary substantially in size from one period to the next, and certain types of expenses are non-recurring in nature and consequently may not have been incurred in any of the periods presented below.</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 We continue to evaluate our use of the Company Non-GAAP Measures in the context of the development of our business, and may introduce or discontinue certain measures in the future as we deem appropriate.</w:t>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the interest expense (income), net, or the cash requirements necessary to service interest or principal payments, on our debt;</w:t>
      </w: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period to period changes in taxes, income tax provision or the cash necessary to pay income taxes;</w:t>
      </w: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EBITDA and the Company Non-GAAP Measures should not be considered as measures of discretionary cash available to invest in business growth or to reduce indebtedness.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reconciles our Adjusted Operating Income, Adjusted Operating Margin, EBITDA, Adjusted EBITDA, Adjusted EBITDA Margin to net income; and Adjusted Diluted EPS to diluted EPS for the periods presented: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Three Months Ended</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color w:val="auto"/>
              </w:rPr>
              <w:t>April 1, 2023</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color w:val="auto"/>
              </w:rPr>
              <w:t>April 2, 2022</w:t>
            </w:r>
          </w:p>
        </w:tc>
        <w:tc>
          <w:tcPr>
            <w:tcW w:w="0" w:type="dxa"/>
            <w:vAlign w:val="bottom"/>
          </w:tcPr>
          <w:p>
            <w:pPr>
              <w:spacing w:after="0"/>
              <w:rPr>
                <w:sz w:val="1"/>
                <w:szCs w:val="1"/>
                <w:color w:val="auto"/>
              </w:rPr>
            </w:pPr>
          </w:p>
        </w:tc>
      </w:tr>
      <w:tr>
        <w:trPr>
          <w:trHeight w:val="223"/>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30,147</w:t>
            </w:r>
          </w:p>
        </w:tc>
        <w:tc>
          <w:tcPr>
            <w:tcW w:w="2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Interest expense (income), net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4,867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(4,144)</w:t>
            </w:r>
          </w:p>
        </w:tc>
        <w:tc>
          <w:tcPr>
            <w:tcW w:w="2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11,329</w:t>
            </w:r>
          </w:p>
        </w:tc>
        <w:tc>
          <w:tcPr>
            <w:tcW w:w="2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7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Stock based compensation expense </w:t>
            </w:r>
            <w:r>
              <w:rPr>
                <w:rFonts w:ascii="Arial" w:cs="Arial" w:eastAsia="Arial" w:hAnsi="Arial"/>
                <w:sz w:val="23"/>
                <w:szCs w:val="23"/>
                <w:color w:val="auto"/>
                <w:vertAlign w:val="superscript"/>
              </w:rPr>
              <w:t>(a)</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3,734</w:t>
            </w:r>
          </w:p>
        </w:tc>
        <w:tc>
          <w:tcPr>
            <w:tcW w:w="2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9"/>
        </w:trPr>
        <w:tc>
          <w:tcPr>
            <w:tcW w:w="7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724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(c)</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1,872</w:t>
            </w:r>
          </w:p>
        </w:tc>
        <w:tc>
          <w:tcPr>
            <w:tcW w:w="26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9"/>
        </w:trPr>
        <w:tc>
          <w:tcPr>
            <w:tcW w:w="7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(f)</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2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Adjusted Operating Income / Adjusted Operating Margin</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45,304</w:t>
            </w:r>
          </w:p>
        </w:tc>
        <w:tc>
          <w:tcPr>
            <w:tcW w:w="2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ind w:left="60"/>
              <w:spacing w:after="0"/>
              <w:rPr>
                <w:sz w:val="20"/>
                <w:szCs w:val="20"/>
                <w:color w:val="auto"/>
              </w:rPr>
            </w:pPr>
            <w:r>
              <w:rPr>
                <w:rFonts w:ascii="Arial" w:cs="Arial" w:eastAsia="Arial" w:hAnsi="Arial"/>
                <w:sz w:val="14"/>
                <w:szCs w:val="14"/>
                <w:i w:val="1"/>
                <w:iCs w:val="1"/>
                <w:color w:val="auto"/>
              </w:rPr>
              <w:t>Note: Percentages reflect line item as a percentage of net revenue, adjusted for rounding.</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72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240" w:type="dxa"/>
            <w:vAlign w:val="bottom"/>
            <w:gridSpan w:val="2"/>
          </w:tcPr>
          <w:p>
            <w:pPr>
              <w:ind w:left="60"/>
              <w:spacing w:after="0"/>
              <w:rPr>
                <w:sz w:val="20"/>
                <w:szCs w:val="20"/>
                <w:color w:val="auto"/>
              </w:rPr>
            </w:pPr>
            <w:r>
              <w:rPr>
                <w:rFonts w:ascii="Arial" w:cs="Arial" w:eastAsia="Arial" w:hAnsi="Arial"/>
                <w:sz w:val="14"/>
                <w:szCs w:val="14"/>
                <w:i w:val="1"/>
                <w:iCs w:val="1"/>
                <w:color w:val="auto"/>
              </w:rPr>
              <w:t>Some of the percentage totals in the table above do not foot due to rounding differences.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8"/>
        </w:trPr>
        <w:tc>
          <w:tcPr>
            <w:tcW w:w="1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Three Months Ended</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color w:val="auto"/>
              </w:rPr>
              <w:t>April 1, 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color w:val="auto"/>
              </w:rPr>
              <w:t>April 2, 2022</w:t>
            </w:r>
          </w:p>
        </w:tc>
        <w:tc>
          <w:tcPr>
            <w:tcW w:w="0" w:type="dxa"/>
            <w:vAlign w:val="bottom"/>
          </w:tcPr>
          <w:p>
            <w:pPr>
              <w:spacing w:after="0"/>
              <w:rPr>
                <w:sz w:val="1"/>
                <w:szCs w:val="1"/>
                <w:color w:val="auto"/>
              </w:rPr>
            </w:pPr>
          </w:p>
        </w:tc>
      </w:tr>
      <w:tr>
        <w:trPr>
          <w:trHeight w:val="223"/>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30,147</w:t>
            </w:r>
          </w:p>
        </w:tc>
        <w:tc>
          <w:tcPr>
            <w:tcW w:w="2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7"/>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Interest expense (income), net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4,867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(4,144)</w:t>
            </w:r>
          </w:p>
        </w:tc>
        <w:tc>
          <w:tcPr>
            <w:tcW w:w="2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6"/>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11,329</w:t>
            </w: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25,151</w:t>
            </w:r>
          </w:p>
        </w:tc>
        <w:tc>
          <w:tcPr>
            <w:tcW w:w="2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37"/>
        </w:trPr>
        <w:tc>
          <w:tcPr>
            <w:tcW w:w="100" w:type="dxa"/>
            <w:vAlign w:val="bottom"/>
            <w:shd w:val="clear" w:color="auto" w:fill="CCEEFF"/>
          </w:tcPr>
          <w:p>
            <w:pPr>
              <w:spacing w:after="0"/>
              <w:rPr>
                <w:sz w:val="20"/>
                <w:szCs w:val="20"/>
                <w:color w:val="auto"/>
              </w:rPr>
            </w:pPr>
          </w:p>
        </w:tc>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62,483</w:t>
            </w: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7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 based compensation expense </w:t>
            </w:r>
            <w:r>
              <w:rPr>
                <w:rFonts w:ascii="Arial" w:cs="Arial" w:eastAsia="Arial" w:hAnsi="Arial"/>
                <w:sz w:val="23"/>
                <w:szCs w:val="23"/>
                <w:color w:val="auto"/>
                <w:vertAlign w:val="superscript"/>
              </w:rPr>
              <w:t>(a)</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2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30"/>
        </w:trPr>
        <w:tc>
          <w:tcPr>
            <w:tcW w:w="7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2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724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(f)</w:t>
            </w: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2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Adjusted EBITDA / Adjusted EBITDA Margin</w:t>
            </w: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11.2 %</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68,583</w:t>
            </w:r>
          </w:p>
        </w:tc>
        <w:tc>
          <w:tcPr>
            <w:tcW w:w="2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71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Note: Percentages reflect line item as a percentage of net revenue, adjusted for rounding.</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7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7140" w:type="dxa"/>
            <w:vAlign w:val="bottom"/>
          </w:tcPr>
          <w:p>
            <w:pPr>
              <w:ind w:left="40"/>
              <w:spacing w:after="0"/>
              <w:rPr>
                <w:sz w:val="20"/>
                <w:szCs w:val="20"/>
                <w:color w:val="auto"/>
              </w:rPr>
            </w:pPr>
            <w:r>
              <w:rPr>
                <w:rFonts w:ascii="Arial" w:cs="Arial" w:eastAsia="Arial" w:hAnsi="Arial"/>
                <w:sz w:val="14"/>
                <w:szCs w:val="14"/>
                <w:i w:val="1"/>
                <w:iCs w:val="1"/>
                <w:color w:val="auto"/>
              </w:rPr>
              <w:t>Some of the percentage totals in the table above do not foot due to rounding differences.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1"/>
        </w:trPr>
        <w:tc>
          <w:tcPr>
            <w:tcW w:w="1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ind w:left="520"/>
              <w:spacing w:after="0"/>
              <w:rPr>
                <w:sz w:val="20"/>
                <w:szCs w:val="20"/>
                <w:color w:val="auto"/>
              </w:rPr>
            </w:pPr>
            <w:r>
              <w:rPr>
                <w:rFonts w:ascii="Arial" w:cs="Arial" w:eastAsia="Arial" w:hAnsi="Arial"/>
                <w:sz w:val="18"/>
                <w:szCs w:val="18"/>
                <w:color w:val="auto"/>
                <w:w w:val="91"/>
              </w:rPr>
              <w:t>Three Months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714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April 1, 2023</w:t>
            </w:r>
          </w:p>
        </w:tc>
        <w:tc>
          <w:tcPr>
            <w:tcW w:w="120" w:type="dxa"/>
            <w:vAlign w:val="bottom"/>
          </w:tcPr>
          <w:p>
            <w:pPr>
              <w:spacing w:after="0"/>
              <w:rPr>
                <w:sz w:val="19"/>
                <w:szCs w:val="19"/>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April 2, 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7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 based compensation expense </w:t>
            </w:r>
            <w:r>
              <w:rPr>
                <w:rFonts w:ascii="Arial" w:cs="Arial" w:eastAsia="Arial" w:hAnsi="Arial"/>
                <w:sz w:val="23"/>
                <w:szCs w:val="23"/>
                <w:color w:val="auto"/>
                <w:vertAlign w:val="superscript"/>
              </w:rPr>
              <w:t>(a)</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7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71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(c)</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7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debt discount and deferred financing costs </w:t>
            </w:r>
            <w:r>
              <w:rPr>
                <w:rFonts w:ascii="Arial" w:cs="Arial" w:eastAsia="Arial" w:hAnsi="Arial"/>
                <w:sz w:val="23"/>
                <w:szCs w:val="23"/>
                <w:color w:val="auto"/>
                <w:vertAlign w:val="superscript"/>
              </w:rPr>
              <w:t>(d)</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7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Losses (gains) on change in fair value of derivatives </w:t>
            </w:r>
            <w:r>
              <w:rPr>
                <w:rFonts w:ascii="Arial" w:cs="Arial" w:eastAsia="Arial" w:hAnsi="Arial"/>
                <w:sz w:val="23"/>
                <w:szCs w:val="23"/>
                <w:color w:val="auto"/>
                <w:vertAlign w:val="superscript"/>
              </w:rPr>
              <w:t>(e)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71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(f)</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7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Tax expense (benefit) from stock-based compensation </w:t>
            </w:r>
            <w:r>
              <w:rPr>
                <w:rFonts w:ascii="Arial" w:cs="Arial" w:eastAsia="Arial" w:hAnsi="Arial"/>
                <w:sz w:val="23"/>
                <w:szCs w:val="23"/>
                <w:color w:val="auto"/>
                <w:vertAlign w:val="superscript"/>
              </w:rPr>
              <w:t>(g)</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7140" w:type="dxa"/>
            <w:vAlign w:val="bottom"/>
            <w:tcBorders>
              <w:bottom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3"/>
                <w:szCs w:val="23"/>
                <w:color w:val="auto"/>
                <w:vertAlign w:val="superscript"/>
              </w:rPr>
              <w:t>(h)</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7140" w:type="dxa"/>
            <w:vAlign w:val="bottom"/>
          </w:tcPr>
          <w:p>
            <w:pPr>
              <w:ind w:left="140"/>
              <w:spacing w:after="0"/>
              <w:rPr>
                <w:sz w:val="20"/>
                <w:szCs w:val="20"/>
                <w:color w:val="auto"/>
              </w:rPr>
            </w:pPr>
            <w:r>
              <w:rPr>
                <w:rFonts w:ascii="Arial" w:cs="Arial" w:eastAsia="Arial" w:hAnsi="Arial"/>
                <w:sz w:val="18"/>
                <w:szCs w:val="18"/>
                <w:b w:val="1"/>
                <w:bCs w:val="1"/>
                <w:color w:val="auto"/>
              </w:rPr>
              <w:t>Adjusted Diluted EPS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0.31</w:t>
            </w:r>
          </w:p>
        </w:tc>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7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92,136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94,904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7140" w:type="dxa"/>
            <w:vAlign w:val="bottom"/>
          </w:tcPr>
          <w:p>
            <w:pPr>
              <w:ind w:left="20"/>
              <w:spacing w:after="0"/>
              <w:rPr>
                <w:sz w:val="20"/>
                <w:szCs w:val="20"/>
                <w:color w:val="auto"/>
              </w:rPr>
            </w:pPr>
            <w:r>
              <w:rPr>
                <w:rFonts w:ascii="Arial" w:cs="Arial" w:eastAsia="Arial" w:hAnsi="Arial"/>
                <w:sz w:val="14"/>
                <w:szCs w:val="14"/>
                <w:i w:val="1"/>
                <w:iCs w:val="1"/>
                <w:color w:val="auto"/>
              </w:rPr>
              <w:t>Note: Some of the totals in the table above do not foot due to rounding differences.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 and performance vesting conditions.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Reflects write-off of primarily property, equipment and lease-related assets on closed or underperforming stores.</w:t>
      </w:r>
    </w:p>
    <w:p>
      <w:pPr>
        <w:spacing w:after="0" w:line="21" w:lineRule="exact"/>
        <w:rPr>
          <w:rFonts w:ascii="Arial" w:cs="Arial" w:eastAsia="Arial" w:hAnsi="Arial"/>
          <w:sz w:val="14"/>
          <w:szCs w:val="14"/>
          <w:color w:val="auto"/>
        </w:rPr>
      </w:pPr>
    </w:p>
    <w:p>
      <w:pPr>
        <w:ind w:left="660" w:right="640" w:hanging="328"/>
        <w:spacing w:after="0" w:line="255"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following the acquisition of the Company by affiliates of KKR &amp; Co. Inc.</w:t>
      </w:r>
    </w:p>
    <w:p>
      <w:pPr>
        <w:ind w:left="660" w:right="640" w:hanging="328"/>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Reflects losses (gains) recognized in interest expense (income), net on change in fair value of de-designated hedges.</w:t>
      </w:r>
    </w:p>
    <w:p>
      <w:pPr>
        <w:spacing w:after="0" w:line="14" w:lineRule="exact"/>
        <w:rPr>
          <w:rFonts w:ascii="Arial" w:cs="Arial" w:eastAsia="Arial" w:hAnsi="Arial"/>
          <w:sz w:val="14"/>
          <w:szCs w:val="14"/>
          <w:color w:val="auto"/>
        </w:rPr>
      </w:pPr>
    </w:p>
    <w:p>
      <w:pPr>
        <w:jc w:val="both"/>
        <w:ind w:left="660" w:right="640" w:hanging="328"/>
        <w:spacing w:after="0" w:line="256"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excess payroll taxes on vesting of restricted stock units and exercises of stock options, executive severance and relocation and other expenses and adjustments, including losses on other investments of $0.3 million for the three months ended April 2, 2022.</w:t>
      </w:r>
    </w:p>
    <w:p>
      <w:pPr>
        <w:spacing w:after="0" w:line="1" w:lineRule="exact"/>
        <w:rPr>
          <w:rFonts w:ascii="Arial" w:cs="Arial" w:eastAsia="Arial" w:hAnsi="Arial"/>
          <w:sz w:val="14"/>
          <w:szCs w:val="14"/>
          <w:color w:val="auto"/>
        </w:rPr>
      </w:pPr>
    </w:p>
    <w:p>
      <w:pPr>
        <w:ind w:left="660" w:right="500" w:hanging="328"/>
        <w:spacing w:after="0" w:line="245"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Tax expense (benefit) associated with accounting guidance requiring excess tax expense (benefit) related to vesting of restricted stock units and exercises of stock options to be recorded in earnings as discrete items in the reporting period in which they occur.</w:t>
      </w: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based on excess cash flows. The most significant components of our operating assets and liabilities are inventories, accounts receivable, prepaid expenses and other assets, accounts payable, deferred and unearned revenue and other payables and accrued 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credit facility will be sufficient to fund our working capital requirements, liquidity obligations, anticipated capital expenditures, and payments due under our existing debt for the next 12 months and thereafter for the foreseeable future. Depending on our liquidity levels, conditions in the capital markets and other factors, we may from time to time consider the refinancing or issuance of debt, issuance of equity or other securities, the proceeds of which could provide additional liquidity for our operations, as well as modifications to our term loan where possible. We are currently exploring options for refinancing our term loan and credit facility in advance of their maturity in 2024. Such refinancing would depend on multiple factors, including conditions in the capital markets. Our ability to maintain sufficient liquidity may be affected by numerous factors, many of which are outside of our control. We primarily fund our working capital needs using cash provided by operations. Our working capital requirements for inventory will increase as we continue to open additional stores.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1, 2023, we had $246.9 million in cash and cash equivalents and $293.6 million of availability under our revolving credit facility, which includes $6.4 million in outstanding letters of credit.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1, 2023, we had $150.0 million of term loan outstanding under our credit agreement. We were in compliance with all covenants related to our long-term debt as of April 1, 2023.</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cash flows provided by (used for) operating activities, investing activities and financing activities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1150"/>
              <w:spacing w:after="0"/>
              <w:rPr>
                <w:sz w:val="20"/>
                <w:szCs w:val="20"/>
                <w:color w:val="auto"/>
              </w:rPr>
            </w:pPr>
            <w:r>
              <w:rPr>
                <w:rFonts w:ascii="Arial" w:cs="Arial" w:eastAsia="Arial" w:hAnsi="Arial"/>
                <w:sz w:val="18"/>
                <w:szCs w:val="18"/>
                <w:color w:val="auto"/>
              </w:rPr>
              <w:t>Three Months Ended</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April 1, 2023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April 2, 2022</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provided by (used for):</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72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center"/>
              <w:ind w:left="910"/>
              <w:spacing w:after="0"/>
              <w:rPr>
                <w:sz w:val="20"/>
                <w:szCs w:val="20"/>
                <w:color w:val="auto"/>
              </w:rPr>
            </w:pPr>
            <w:r>
              <w:rPr>
                <w:rFonts w:ascii="Arial" w:cs="Arial" w:eastAsia="Arial" w:hAnsi="Arial"/>
                <w:sz w:val="18"/>
                <w:szCs w:val="18"/>
                <w:color w:val="auto"/>
                <w:w w:val="90"/>
              </w:rPr>
              <w:t>74,064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47,117</w:t>
            </w:r>
          </w:p>
        </w:tc>
      </w:tr>
      <w:tr>
        <w:trPr>
          <w:trHeight w:val="243"/>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21"/>
                <w:szCs w:val="21"/>
                <w:color w:val="auto"/>
              </w:rPr>
            </w:pPr>
          </w:p>
        </w:tc>
        <w:tc>
          <w:tcPr>
            <w:tcW w:w="162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92"/>
              </w:rPr>
              <w:t>(27,615)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(28,077)</w:t>
            </w:r>
          </w:p>
        </w:tc>
      </w:tr>
      <w:tr>
        <w:trPr>
          <w:trHeight w:val="229"/>
        </w:trPr>
        <w:tc>
          <w:tcPr>
            <w:tcW w:w="726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92"/>
              </w:rPr>
              <w:t>(28,662)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(9,941)</w:t>
            </w:r>
          </w:p>
        </w:tc>
      </w:tr>
      <w:tr>
        <w:trPr>
          <w:trHeight w:val="243"/>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0"/>
              </w:rPr>
              <w:t>17,787</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Cash flows provided by operating activities increased $26.9 million from $47.1 million during the three months ended April 2, 2022 to $74.1 million for the three months ended April 1, 2023. Changes in net working capital and other assets and liabilities contributed $43.2 million of cash and were partially offset by lower net income of $11.9 million and a decrease in non-cash adjustments of $4.4 million compared to the three months ended April 2, 2022.</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Increases in other liabilities during the three months ended April 1, 2023 contributed $35.3 million in year-over-year cash primarily due to increases in compensation related accruals. Decreases in accounts receivable contributed $6.2 million in year-over-year cash primarily due to decreases in credit card receivables. These were partially offset by decreases in deferred and unearned revenue that used $8.3 million in year-over-year cash, primarily as a result of higher sales in the last week of 2022 as compared to the last week of 2021.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for investing activities decreased by $0.5 million, to $27.6 million, during the three months ended April 1, 2023 from $28.1 million during the three months ended April 2, 2022. The year-over-year decrease was primarily due to lower remote medicine and information technology infrastructure investments, partially offset by new store openings.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Financing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for financing activities was $28.7 million during the three months ended April 1, 2023 as compared to $9.9 million during the three months ended April 2, 2022. The $18.7 million year-over-year increase in cash used for financing activities was primarily due to increased purchases of treasury stock of $17.0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Authority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April 1, 2023 and April 2, 2022, the Company repurchased 1.1 million shares of its common stock for $25.0 million, and 0.2 million shares of its common stock for $7.1 million, respectively, under the share repurchase program. As of April 1, 2023, $25.0 million remains available under the share repurchase authorization.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outside the ordinary course of business in our material cash requirements and commercial commitments from those reported in the 2022 Annual Report on Form 10-K.</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follow U.S. GAAP in making the determination as to whether or not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the 2022 Annual Report on form 10-K. We are not a party to any other material off-balance sheet arrangements.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2022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2022 Annual Report on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due to recently issued or adopted accounting standards since those disclosed in our 2022 Annual Report on Form 10-K.</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market risk exposure from changes in interest rates. When appropriate, we use derivative financial instruments to mitigate the risk from such exposure. A discussion of our accounting policies for derivative financial instruments is included in Note 3. “Fair Value Measurement” and Note 5. “Interest Rate Derivatives” to our unaudited condensed consolidated financial statements included in Part I. Item 1. of this Form 10-Q.</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Our interest rate collar is intended to mitigate some of the effects of increases in interest rates.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April 1, 2023, $150.0 million of term loan borrowings were subject to variable interest rates, with a weighted average borrowing rate of 3.1%. An increase to market rates of 1.0% as of April 1, 2023 would not result in a material increase to interest expense. Assuming a decrease to market rates of 1.0% as of April 1, 2023, the resulting increase to interest expense related to the interest rate derivative would be approximately $4 million. For more information about quantitative and qualitative disclosures about market risk, please see Item 7A. “Quantitative and Qualitative Disclosures About Market Risk” in Part II. of the 2022 Annual Report on Form 10-K.</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April 1, 2023. Based on that evaluation, the CEO and the CFO have concluded that the Company’s current disclosure controls and procedures are effective in ensuring that material information relating to the Company required to be disclosed in the Company’s periodic filings with the SEC is made known to them in a timely manner.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of the Exchange Act that occurred during the first quarter of fiscal year 2023 that have materially affected, or are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See Note 9. “Commitments and Contingencies” in our condensed consolidated financial statements included in Part I. Item 1. of this Form 10-Q for information regarding certain legal proceedings in which we are involved, which discussion is incorporated herein by reference.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information regarding factors that could affect the Company’s results of operations, financial condition and liquidity, see the risk factors discussed in Part I. Item 1A. “Risk Factors” in our 2022 Annual Report on Form 10-K. There have been no material changes to the risk factors described in our 2022 Annual Report on Form 10-K.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7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520" w:type="dxa"/>
            <w:vAlign w:val="bottom"/>
            <w:gridSpan w:val="5"/>
          </w:tcPr>
          <w:p>
            <w:pPr>
              <w:spacing w:after="0"/>
              <w:rPr>
                <w:sz w:val="20"/>
                <w:szCs w:val="20"/>
                <w:color w:val="auto"/>
              </w:rPr>
            </w:pPr>
            <w:r>
              <w:rPr>
                <w:rFonts w:ascii="Arial" w:cs="Arial" w:eastAsia="Arial" w:hAnsi="Arial"/>
                <w:sz w:val="18"/>
                <w:szCs w:val="18"/>
                <w:b w:val="1"/>
                <w:bCs w:val="1"/>
                <w:color w:val="auto"/>
                <w:w w:val="93"/>
              </w:rPr>
              <w:t>Item 2. Unregistered Sales of Equity Securities and Use of Proceeds.</w:t>
            </w:r>
          </w:p>
        </w:tc>
        <w:tc>
          <w:tcPr>
            <w:tcW w:w="2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960" w:type="dxa"/>
            <w:vAlign w:val="bottom"/>
            <w:gridSpan w:val="3"/>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0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4"/>
              </w:rPr>
              <w:t>Total Number of Shares Purchased</w:t>
            </w:r>
          </w:p>
        </w:tc>
        <w:tc>
          <w:tcPr>
            <w:tcW w:w="28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Approximate Dollar Value of Shares</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2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2180" w:type="dxa"/>
            <w:vAlign w:val="bottom"/>
          </w:tcPr>
          <w:p>
            <w:pPr>
              <w:ind w:left="420"/>
              <w:spacing w:after="0" w:line="181" w:lineRule="exact"/>
              <w:rPr>
                <w:sz w:val="20"/>
                <w:szCs w:val="20"/>
                <w:color w:val="auto"/>
              </w:rPr>
            </w:pPr>
            <w:r>
              <w:rPr>
                <w:rFonts w:ascii="Arial" w:cs="Arial" w:eastAsia="Arial" w:hAnsi="Arial"/>
                <w:sz w:val="18"/>
                <w:szCs w:val="18"/>
                <w:b w:val="1"/>
                <w:bCs w:val="1"/>
                <w:color w:val="auto"/>
              </w:rPr>
              <w:t>Total Number of</w:t>
            </w:r>
          </w:p>
        </w:tc>
        <w:tc>
          <w:tcPr>
            <w:tcW w:w="1560" w:type="dxa"/>
            <w:vAlign w:val="bottom"/>
            <w:gridSpan w:val="2"/>
          </w:tcPr>
          <w:p>
            <w:pPr>
              <w:ind w:left="20"/>
              <w:spacing w:after="0" w:line="181" w:lineRule="exact"/>
              <w:rPr>
                <w:sz w:val="20"/>
                <w:szCs w:val="20"/>
                <w:color w:val="auto"/>
              </w:rPr>
            </w:pPr>
            <w:r>
              <w:rPr>
                <w:rFonts w:ascii="Arial" w:cs="Arial" w:eastAsia="Arial" w:hAnsi="Arial"/>
                <w:sz w:val="18"/>
                <w:szCs w:val="18"/>
                <w:b w:val="1"/>
                <w:bCs w:val="1"/>
                <w:color w:val="auto"/>
                <w:w w:val="93"/>
              </w:rPr>
              <w:t>Average Price Paid</w:t>
            </w:r>
          </w:p>
        </w:tc>
        <w:tc>
          <w:tcPr>
            <w:tcW w:w="2900" w:type="dxa"/>
            <w:vAlign w:val="bottom"/>
          </w:tcPr>
          <w:p>
            <w:pPr>
              <w:ind w:left="40"/>
              <w:spacing w:after="0" w:line="181" w:lineRule="exact"/>
              <w:rPr>
                <w:sz w:val="20"/>
                <w:szCs w:val="20"/>
                <w:color w:val="auto"/>
              </w:rPr>
            </w:pPr>
            <w:r>
              <w:rPr>
                <w:rFonts w:ascii="Arial" w:cs="Arial" w:eastAsia="Arial" w:hAnsi="Arial"/>
                <w:sz w:val="18"/>
                <w:szCs w:val="18"/>
                <w:b w:val="1"/>
                <w:bCs w:val="1"/>
                <w:color w:val="auto"/>
                <w:w w:val="90"/>
              </w:rPr>
              <w:t>as Part of Publicly Announced Plans</w:t>
            </w:r>
          </w:p>
        </w:tc>
        <w:tc>
          <w:tcPr>
            <w:tcW w:w="2820" w:type="dxa"/>
            <w:vAlign w:val="bottom"/>
            <w:gridSpan w:val="2"/>
          </w:tcPr>
          <w:p>
            <w:pPr>
              <w:spacing w:after="0" w:line="181" w:lineRule="exact"/>
              <w:rPr>
                <w:sz w:val="20"/>
                <w:szCs w:val="20"/>
                <w:color w:val="auto"/>
              </w:rPr>
            </w:pPr>
            <w:r>
              <w:rPr>
                <w:rFonts w:ascii="Arial" w:cs="Arial" w:eastAsia="Arial" w:hAnsi="Arial"/>
                <w:sz w:val="18"/>
                <w:szCs w:val="18"/>
                <w:b w:val="1"/>
                <w:bCs w:val="1"/>
                <w:color w:val="auto"/>
                <w:w w:val="97"/>
              </w:rPr>
              <w:t>that May Yet Be Purchased Under</w:t>
            </w:r>
          </w:p>
        </w:tc>
        <w:tc>
          <w:tcPr>
            <w:tcW w:w="0" w:type="dxa"/>
            <w:vAlign w:val="bottom"/>
          </w:tcPr>
          <w:p>
            <w:pPr>
              <w:spacing w:after="0"/>
              <w:rPr>
                <w:sz w:val="1"/>
                <w:szCs w:val="1"/>
                <w:color w:val="auto"/>
              </w:rPr>
            </w:pPr>
          </w:p>
        </w:tc>
      </w:tr>
      <w:tr>
        <w:trPr>
          <w:trHeight w:val="229"/>
        </w:trPr>
        <w:tc>
          <w:tcPr>
            <w:tcW w:w="1780" w:type="dxa"/>
            <w:vAlign w:val="bottom"/>
            <w:tcBorders>
              <w:bottom w:val="single" w:sz="8" w:color="auto"/>
            </w:tcBorders>
            <w:gridSpan w:val="2"/>
            <w:vMerge w:val="continue"/>
          </w:tcPr>
          <w:p>
            <w:pPr>
              <w:spacing w:after="0"/>
              <w:rPr>
                <w:sz w:val="19"/>
                <w:szCs w:val="19"/>
                <w:color w:val="auto"/>
              </w:rPr>
            </w:pPr>
          </w:p>
        </w:tc>
        <w:tc>
          <w:tcPr>
            <w:tcW w:w="2180" w:type="dxa"/>
            <w:vAlign w:val="bottom"/>
            <w:tcBorders>
              <w:bottom w:val="single" w:sz="8" w:color="auto"/>
            </w:tcBorders>
          </w:tcPr>
          <w:p>
            <w:pPr>
              <w:ind w:left="420"/>
              <w:spacing w:after="0" w:line="230" w:lineRule="exact"/>
              <w:rPr>
                <w:sz w:val="20"/>
                <w:szCs w:val="20"/>
                <w:color w:val="auto"/>
              </w:rPr>
            </w:pPr>
            <w:r>
              <w:rPr>
                <w:rFonts w:ascii="Arial" w:cs="Arial" w:eastAsia="Arial" w:hAnsi="Arial"/>
                <w:sz w:val="18"/>
                <w:szCs w:val="18"/>
                <w:b w:val="1"/>
                <w:bCs w:val="1"/>
                <w:color w:val="auto"/>
                <w:w w:val="96"/>
              </w:rPr>
              <w:t xml:space="preserve">Shares Purchased </w:t>
            </w:r>
            <w:r>
              <w:rPr>
                <w:rFonts w:ascii="Arial" w:cs="Arial" w:eastAsia="Arial" w:hAnsi="Arial"/>
                <w:sz w:val="23"/>
                <w:szCs w:val="23"/>
                <w:b w:val="1"/>
                <w:bCs w:val="1"/>
                <w:color w:val="auto"/>
                <w:w w:val="96"/>
                <w:vertAlign w:val="superscript"/>
              </w:rPr>
              <w:t>(1)</w:t>
            </w:r>
          </w:p>
        </w:tc>
        <w:tc>
          <w:tcPr>
            <w:tcW w:w="10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b w:val="1"/>
                <w:bCs w:val="1"/>
                <w:color w:val="auto"/>
                <w:w w:val="91"/>
              </w:rPr>
              <w:t xml:space="preserve">per Share </w:t>
            </w:r>
            <w:r>
              <w:rPr>
                <w:rFonts w:ascii="Arial" w:cs="Arial" w:eastAsia="Arial" w:hAnsi="Arial"/>
                <w:sz w:val="23"/>
                <w:szCs w:val="23"/>
                <w:b w:val="1"/>
                <w:bCs w:val="1"/>
                <w:color w:val="auto"/>
                <w:w w:val="91"/>
                <w:vertAlign w:val="superscript"/>
              </w:rPr>
              <w:t>(1)</w:t>
            </w:r>
          </w:p>
        </w:tc>
        <w:tc>
          <w:tcPr>
            <w:tcW w:w="5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ind w:left="40"/>
              <w:spacing w:after="0" w:line="230" w:lineRule="exact"/>
              <w:rPr>
                <w:sz w:val="20"/>
                <w:szCs w:val="20"/>
                <w:color w:val="auto"/>
              </w:rPr>
            </w:pPr>
            <w:r>
              <w:rPr>
                <w:rFonts w:ascii="Arial" w:cs="Arial" w:eastAsia="Arial" w:hAnsi="Arial"/>
                <w:sz w:val="18"/>
                <w:szCs w:val="18"/>
                <w:b w:val="1"/>
                <w:bCs w:val="1"/>
                <w:color w:val="auto"/>
              </w:rPr>
              <w:t xml:space="preserve">or Programs </w:t>
            </w:r>
            <w:r>
              <w:rPr>
                <w:rFonts w:ascii="Arial" w:cs="Arial" w:eastAsia="Arial" w:hAnsi="Arial"/>
                <w:sz w:val="23"/>
                <w:szCs w:val="23"/>
                <w:b w:val="1"/>
                <w:bCs w:val="1"/>
                <w:color w:val="auto"/>
                <w:vertAlign w:val="superscript"/>
              </w:rPr>
              <w:t>(1)</w:t>
            </w:r>
          </w:p>
        </w:tc>
        <w:tc>
          <w:tcPr>
            <w:tcW w:w="2080" w:type="dxa"/>
            <w:vAlign w:val="bottom"/>
            <w:tcBorders>
              <w:bottom w:val="single" w:sz="8" w:color="auto"/>
            </w:tcBorders>
          </w:tcPr>
          <w:p>
            <w:pPr>
              <w:spacing w:after="0" w:line="230" w:lineRule="exact"/>
              <w:rPr>
                <w:sz w:val="20"/>
                <w:szCs w:val="20"/>
                <w:color w:val="auto"/>
              </w:rPr>
            </w:pPr>
            <w:r>
              <w:rPr>
                <w:rFonts w:ascii="Arial" w:cs="Arial" w:eastAsia="Arial" w:hAnsi="Arial"/>
                <w:sz w:val="18"/>
                <w:szCs w:val="18"/>
                <w:b w:val="1"/>
                <w:bCs w:val="1"/>
                <w:color w:val="auto"/>
                <w:w w:val="95"/>
              </w:rPr>
              <w:t xml:space="preserve">the Plans or Programs </w:t>
            </w:r>
            <w:r>
              <w:rPr>
                <w:rFonts w:ascii="Arial" w:cs="Arial" w:eastAsia="Arial" w:hAnsi="Arial"/>
                <w:sz w:val="23"/>
                <w:szCs w:val="23"/>
                <w:b w:val="1"/>
                <w:bCs w:val="1"/>
                <w:color w:val="auto"/>
                <w:w w:val="95"/>
                <w:vertAlign w:val="superscript"/>
              </w:rPr>
              <w:t>(1)</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78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January 1, 2023 -</w:t>
            </w:r>
          </w:p>
        </w:tc>
        <w:tc>
          <w:tcPr>
            <w:tcW w:w="2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28, 2023</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98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50,041</w:t>
            </w:r>
          </w:p>
        </w:tc>
        <w:tc>
          <w:tcPr>
            <w:tcW w:w="0" w:type="dxa"/>
            <w:vAlign w:val="bottom"/>
          </w:tcPr>
          <w:p>
            <w:pPr>
              <w:spacing w:after="0"/>
              <w:rPr>
                <w:sz w:val="1"/>
                <w:szCs w:val="1"/>
                <w:color w:val="auto"/>
              </w:rPr>
            </w:pPr>
          </w:p>
        </w:tc>
      </w:tr>
      <w:tr>
        <w:trPr>
          <w:trHeight w:val="175"/>
        </w:trPr>
        <w:tc>
          <w:tcPr>
            <w:tcW w:w="1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January 29, 2023 -</w:t>
            </w:r>
          </w:p>
        </w:tc>
        <w:tc>
          <w:tcPr>
            <w:tcW w:w="2180" w:type="dxa"/>
            <w:vAlign w:val="bottom"/>
            <w:vMerge w:val="restart"/>
          </w:tcPr>
          <w:p>
            <w:pPr>
              <w:jc w:val="right"/>
              <w:spacing w:after="0"/>
              <w:rPr>
                <w:sz w:val="20"/>
                <w:szCs w:val="20"/>
                <w:color w:val="auto"/>
              </w:rPr>
            </w:pPr>
            <w:r>
              <w:rPr>
                <w:rFonts w:ascii="Arial" w:cs="Arial" w:eastAsia="Arial" w:hAnsi="Arial"/>
                <w:sz w:val="18"/>
                <w:szCs w:val="18"/>
                <w:color w:val="auto"/>
              </w:rPr>
              <w:t>419</w:t>
            </w: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23.20</w:t>
            </w:r>
          </w:p>
        </w:tc>
        <w:tc>
          <w:tcPr>
            <w:tcW w:w="2900" w:type="dxa"/>
            <w:vAlign w:val="bottom"/>
            <w:vMerge w:val="restart"/>
          </w:tcPr>
          <w:p>
            <w:pPr>
              <w:jc w:val="right"/>
              <w:spacing w:after="0"/>
              <w:rPr>
                <w:sz w:val="20"/>
                <w:szCs w:val="20"/>
                <w:color w:val="auto"/>
              </w:rPr>
            </w:pPr>
            <w:r>
              <w:rPr>
                <w:rFonts w:ascii="Arial" w:cs="Arial" w:eastAsia="Arial" w:hAnsi="Arial"/>
                <w:sz w:val="18"/>
                <w:szCs w:val="18"/>
                <w:color w:val="auto"/>
              </w:rPr>
              <w:t>419</w:t>
            </w:r>
          </w:p>
        </w:tc>
        <w:tc>
          <w:tcPr>
            <w:tcW w:w="2080" w:type="dxa"/>
            <w:vAlign w:val="bottom"/>
            <w:vMerge w:val="restart"/>
          </w:tcPr>
          <w:p>
            <w:pPr>
              <w:jc w:val="right"/>
              <w:ind w:right="189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40,331</w:t>
            </w:r>
          </w:p>
        </w:tc>
        <w:tc>
          <w:tcPr>
            <w:tcW w:w="0" w:type="dxa"/>
            <w:vAlign w:val="bottom"/>
          </w:tcPr>
          <w:p>
            <w:pPr>
              <w:spacing w:after="0"/>
              <w:rPr>
                <w:sz w:val="1"/>
                <w:szCs w:val="1"/>
                <w:color w:val="auto"/>
              </w:rPr>
            </w:pPr>
          </w:p>
        </w:tc>
      </w:tr>
      <w:tr>
        <w:trPr>
          <w:trHeight w:val="237"/>
        </w:trPr>
        <w:tc>
          <w:tcPr>
            <w:tcW w:w="1780" w:type="dxa"/>
            <w:vAlign w:val="bottom"/>
            <w:gridSpan w:val="2"/>
          </w:tcPr>
          <w:p>
            <w:pPr>
              <w:ind w:left="20"/>
              <w:spacing w:after="0"/>
              <w:rPr>
                <w:sz w:val="20"/>
                <w:szCs w:val="20"/>
                <w:color w:val="auto"/>
              </w:rPr>
            </w:pPr>
            <w:r>
              <w:rPr>
                <w:rFonts w:ascii="Arial" w:cs="Arial" w:eastAsia="Arial" w:hAnsi="Arial"/>
                <w:sz w:val="18"/>
                <w:szCs w:val="18"/>
                <w:color w:val="auto"/>
              </w:rPr>
              <w:t>March 4, 2023</w:t>
            </w:r>
          </w:p>
        </w:tc>
        <w:tc>
          <w:tcPr>
            <w:tcW w:w="21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2900" w:type="dxa"/>
            <w:vAlign w:val="bottom"/>
            <w:vMerge w:val="continue"/>
          </w:tcPr>
          <w:p>
            <w:pPr>
              <w:spacing w:after="0"/>
              <w:rPr>
                <w:sz w:val="20"/>
                <w:szCs w:val="20"/>
                <w:color w:val="auto"/>
              </w:rPr>
            </w:pPr>
          </w:p>
        </w:tc>
        <w:tc>
          <w:tcPr>
            <w:tcW w:w="208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8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March 5, 2023 -</w:t>
            </w:r>
          </w:p>
        </w:tc>
        <w:tc>
          <w:tcPr>
            <w:tcW w:w="2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2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80" w:type="dxa"/>
            <w:vAlign w:val="bottom"/>
            <w:vMerge w:val="restart"/>
            <w:shd w:val="clear" w:color="auto" w:fill="CCEEFF"/>
          </w:tcPr>
          <w:p>
            <w:pPr>
              <w:jc w:val="right"/>
              <w:ind w:right="189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25,041</w:t>
            </w:r>
          </w:p>
        </w:tc>
        <w:tc>
          <w:tcPr>
            <w:tcW w:w="0" w:type="dxa"/>
            <w:vAlign w:val="bottom"/>
          </w:tcPr>
          <w:p>
            <w:pPr>
              <w:spacing w:after="0"/>
              <w:rPr>
                <w:sz w:val="1"/>
                <w:szCs w:val="1"/>
                <w:color w:val="auto"/>
              </w:rPr>
            </w:pPr>
          </w:p>
        </w:tc>
      </w:tr>
      <w:tr>
        <w:trPr>
          <w:trHeight w:val="229"/>
        </w:trPr>
        <w:tc>
          <w:tcPr>
            <w:tcW w:w="17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1 2023</w:t>
            </w:r>
          </w:p>
        </w:tc>
        <w:tc>
          <w:tcPr>
            <w:tcW w:w="218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2900" w:type="dxa"/>
            <w:vAlign w:val="bottom"/>
            <w:tcBorders>
              <w:bottom w:val="single" w:sz="8" w:color="auto"/>
            </w:tcBorders>
            <w:vMerge w:val="continue"/>
            <w:shd w:val="clear" w:color="auto" w:fill="CCEEFF"/>
          </w:tcPr>
          <w:p>
            <w:pPr>
              <w:spacing w:after="0"/>
              <w:rPr>
                <w:sz w:val="19"/>
                <w:szCs w:val="19"/>
                <w:color w:val="auto"/>
              </w:rPr>
            </w:pPr>
          </w:p>
        </w:tc>
        <w:tc>
          <w:tcPr>
            <w:tcW w:w="208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tcPr>
          <w:p>
            <w:pPr>
              <w:jc w:val="right"/>
              <w:spacing w:after="0"/>
              <w:rPr>
                <w:sz w:val="20"/>
                <w:szCs w:val="20"/>
                <w:color w:val="auto"/>
              </w:rPr>
            </w:pPr>
            <w:r>
              <w:rPr>
                <w:rFonts w:ascii="Arial" w:cs="Arial" w:eastAsia="Arial" w:hAnsi="Arial"/>
                <w:sz w:val="18"/>
                <w:szCs w:val="18"/>
                <w:color w:val="auto"/>
              </w:rPr>
              <w:t>1,092</w:t>
            </w:r>
          </w:p>
        </w:tc>
        <w:tc>
          <w:tcPr>
            <w:tcW w:w="102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22.90</w:t>
            </w:r>
          </w:p>
        </w:tc>
        <w:tc>
          <w:tcPr>
            <w:tcW w:w="2900" w:type="dxa"/>
            <w:vAlign w:val="bottom"/>
          </w:tcPr>
          <w:p>
            <w:pPr>
              <w:jc w:val="right"/>
              <w:spacing w:after="0"/>
              <w:rPr>
                <w:sz w:val="20"/>
                <w:szCs w:val="20"/>
                <w:color w:val="auto"/>
              </w:rPr>
            </w:pPr>
            <w:r>
              <w:rPr>
                <w:rFonts w:ascii="Arial" w:cs="Arial" w:eastAsia="Arial" w:hAnsi="Arial"/>
                <w:sz w:val="18"/>
                <w:szCs w:val="18"/>
                <w:color w:val="auto"/>
              </w:rPr>
              <w:t>1,092</w:t>
            </w:r>
          </w:p>
        </w:tc>
        <w:tc>
          <w:tcPr>
            <w:tcW w:w="2080" w:type="dxa"/>
            <w:vAlign w:val="bottom"/>
          </w:tcPr>
          <w:p>
            <w:pPr>
              <w:jc w:val="right"/>
              <w:ind w:right="18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6" w:lineRule="exact"/>
        <w:rPr>
          <w:sz w:val="20"/>
          <w:szCs w:val="20"/>
          <w:color w:val="auto"/>
        </w:rPr>
      </w:pPr>
    </w:p>
    <w:p>
      <w:pPr>
        <w:jc w:val="both"/>
        <w:ind w:left="20" w:right="20" w:firstLine="6"/>
        <w:spacing w:after="0" w:line="220" w:lineRule="auto"/>
        <w:tabs>
          <w:tab w:leader="none" w:pos="215"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Information regarding the Company’s share repurchases can be found in Note 1, Description of Business and Basis of Presentation, in the condensed consolidated financial statements included in Part I. Item 1. of this Form 10-Q. Effective November 8, 2021, the Company’s Board of Directors authorized the Company to repurchase up to $50 million aggregate amount of shares of the Company’s common stock. On November 29, 2021 and February 23, 2022, the Board authorized increases of $50 million and $100 million, respectively, to the share repurchase program for a total authorization of $200 million. The share repurchase authorization expires on December 30, 2023. Following repurchases in the first quarter of fiscal year 2023, $25.0 million remains available under the share repurchase authorization. The timing and amounts of any such repurchases will depend on a variety of factors, including the market price of the Company’s shares and general market and economic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Table of Contents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80" w:type="dxa"/>
            <w:vAlign w:val="bottom"/>
          </w:tcPr>
          <w:p>
            <w:pPr>
              <w:spacing w:after="0"/>
              <w:rPr>
                <w:sz w:val="17"/>
                <w:szCs w:val="17"/>
                <w:color w:val="auto"/>
              </w:rPr>
            </w:pPr>
          </w:p>
        </w:tc>
      </w:tr>
      <w:tr>
        <w:trPr>
          <w:trHeight w:val="669"/>
        </w:trPr>
        <w:tc>
          <w:tcPr>
            <w:tcW w:w="1280" w:type="dxa"/>
            <w:vAlign w:val="bottom"/>
            <w:gridSpan w:val="4"/>
          </w:tcPr>
          <w:p>
            <w:pPr>
              <w:spacing w:after="0"/>
              <w:rPr>
                <w:sz w:val="20"/>
                <w:szCs w:val="20"/>
                <w:color w:val="auto"/>
              </w:rPr>
            </w:pPr>
            <w:r>
              <w:rPr>
                <w:rFonts w:ascii="Arial" w:cs="Arial" w:eastAsia="Arial" w:hAnsi="Arial"/>
                <w:sz w:val="18"/>
                <w:szCs w:val="18"/>
                <w:b w:val="1"/>
                <w:bCs w:val="1"/>
                <w:color w:val="auto"/>
                <w:w w:val="91"/>
              </w:rPr>
              <w:t>Item 6. Exhibits.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20" w:type="dxa"/>
            <w:vAlign w:val="bottom"/>
            <w:gridSpan w:val="3"/>
          </w:tcPr>
          <w:p>
            <w:pPr>
              <w:ind w:left="3580"/>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top w:val="single" w:sz="8" w:color="auto"/>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182"/>
        </w:trPr>
        <w:tc>
          <w:tcPr>
            <w:tcW w:w="260" w:type="dxa"/>
            <w:vAlign w:val="bottom"/>
            <w:gridSpan w:val="2"/>
          </w:tcPr>
          <w:p>
            <w:pPr>
              <w:ind w:left="20"/>
              <w:spacing w:after="0" w:line="182" w:lineRule="exact"/>
              <w:rPr>
                <w:rFonts w:ascii="Arial" w:cs="Arial" w:eastAsia="Arial" w:hAnsi="Arial"/>
                <w:sz w:val="18"/>
                <w:szCs w:val="18"/>
                <w:color w:val="0000FF"/>
                <w:w w:val="87"/>
              </w:rPr>
            </w:pPr>
            <w:hyperlink r:id="rId5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20" w:type="dxa"/>
            <w:vAlign w:val="bottom"/>
            <w:gridSpan w:val="3"/>
          </w:tcPr>
          <w:p>
            <w:pPr>
              <w:ind w:left="20"/>
              <w:spacing w:after="0" w:line="182" w:lineRule="exact"/>
              <w:rPr>
                <w:sz w:val="20"/>
                <w:szCs w:val="20"/>
                <w:color w:val="auto"/>
              </w:rPr>
            </w:pPr>
            <w:r>
              <w:rPr>
                <w:rFonts w:ascii="Arial" w:cs="Arial" w:eastAsia="Arial" w:hAnsi="Arial"/>
                <w:sz w:val="18"/>
                <w:szCs w:val="18"/>
                <w:color w:val="auto"/>
                <w:w w:val="96"/>
              </w:rPr>
              <w:t>Third Amended and Restated Certificate of Incorporation of National Vision Holdings, Inc. - incorporated herein by reference to</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20" w:type="dxa"/>
            <w:vAlign w:val="bottom"/>
            <w:gridSpan w:val="3"/>
          </w:tcPr>
          <w:p>
            <w:pPr>
              <w:ind w:left="20"/>
              <w:spacing w:after="0"/>
              <w:rPr>
                <w:sz w:val="20"/>
                <w:szCs w:val="20"/>
                <w:color w:val="auto"/>
              </w:rPr>
            </w:pPr>
            <w:r>
              <w:rPr>
                <w:rFonts w:ascii="Arial" w:cs="Arial" w:eastAsia="Arial" w:hAnsi="Arial"/>
                <w:sz w:val="18"/>
                <w:szCs w:val="18"/>
                <w:color w:val="auto"/>
              </w:rPr>
              <w:t>Exhibit 3.1 to the Company’s Current Report on Form 8-K filed on June 10, 2021.</w:t>
            </w:r>
          </w:p>
        </w:tc>
      </w:tr>
      <w:tr>
        <w:trPr>
          <w:trHeight w:val="190"/>
        </w:trPr>
        <w:tc>
          <w:tcPr>
            <w:tcW w:w="260" w:type="dxa"/>
            <w:vAlign w:val="bottom"/>
            <w:gridSpan w:val="2"/>
          </w:tcPr>
          <w:p>
            <w:pPr>
              <w:ind w:left="20"/>
              <w:spacing w:after="0" w:line="190" w:lineRule="exact"/>
              <w:rPr>
                <w:rFonts w:ascii="Arial" w:cs="Arial" w:eastAsia="Arial" w:hAnsi="Arial"/>
                <w:sz w:val="18"/>
                <w:szCs w:val="18"/>
                <w:color w:val="0000FF"/>
                <w:w w:val="87"/>
              </w:rPr>
            </w:pPr>
            <w:hyperlink r:id="rId5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2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7"/>
              </w:rPr>
              <w:t>Third Amended and Restated Bylaws of National Vision Holdings, Inc. - incorporated herein by reference to Exhibit 3.2 to the</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20" w:type="dxa"/>
            <w:vAlign w:val="bottom"/>
            <w:gridSpan w:val="3"/>
          </w:tcPr>
          <w:p>
            <w:pPr>
              <w:ind w:left="20"/>
              <w:spacing w:after="0"/>
              <w:rPr>
                <w:sz w:val="20"/>
                <w:szCs w:val="20"/>
                <w:color w:val="auto"/>
              </w:rPr>
            </w:pPr>
            <w:r>
              <w:rPr>
                <w:rFonts w:ascii="Arial" w:cs="Arial" w:eastAsia="Arial" w:hAnsi="Arial"/>
                <w:sz w:val="18"/>
                <w:szCs w:val="18"/>
                <w:color w:val="auto"/>
              </w:rPr>
              <w:t>Company’s Current Report on Form 8-K filed on June 10, 2021.</w:t>
            </w:r>
          </w:p>
        </w:tc>
      </w:tr>
      <w:tr>
        <w:trPr>
          <w:trHeight w:val="190"/>
        </w:trPr>
        <w:tc>
          <w:tcPr>
            <w:tcW w:w="20" w:type="dxa"/>
            <w:vAlign w:val="bottom"/>
          </w:tcPr>
          <w:p>
            <w:pPr>
              <w:spacing w:after="0"/>
              <w:rPr>
                <w:sz w:val="16"/>
                <w:szCs w:val="16"/>
                <w:color w:val="auto"/>
              </w:rPr>
            </w:pPr>
          </w:p>
        </w:tc>
        <w:tc>
          <w:tcPr>
            <w:tcW w:w="320" w:type="dxa"/>
            <w:vAlign w:val="bottom"/>
            <w:tcBorders>
              <w:bottom w:val="single" w:sz="8" w:color="0000FF"/>
            </w:tcBorders>
            <w:gridSpan w:val="2"/>
          </w:tcPr>
          <w:p>
            <w:pPr>
              <w:spacing w:after="0" w:line="190" w:lineRule="exact"/>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2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5"/>
              </w:rPr>
              <w:t>Certification of Periodic Report by Chief Executive Officer under Section 302 of the Sarbanes-Oxley Act of 2002 (filed herewith).</w:t>
            </w:r>
          </w:p>
        </w:tc>
      </w:tr>
      <w:tr>
        <w:trPr>
          <w:trHeight w:val="209"/>
        </w:trPr>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20" w:type="dxa"/>
            <w:vAlign w:val="bottom"/>
            <w:gridSpan w:val="3"/>
          </w:tcPr>
          <w:p>
            <w:pPr>
              <w:ind w:left="20"/>
              <w:spacing w:after="0"/>
              <w:rPr>
                <w:sz w:val="20"/>
                <w:szCs w:val="20"/>
                <w:color w:val="auto"/>
              </w:rPr>
            </w:pPr>
            <w:r>
              <w:rPr>
                <w:rFonts w:ascii="Arial" w:cs="Arial" w:eastAsia="Arial" w:hAnsi="Arial"/>
                <w:sz w:val="18"/>
                <w:szCs w:val="18"/>
                <w:color w:val="auto"/>
                <w:w w:val="95"/>
              </w:rPr>
              <w:t>Certification of Periodic Report by Chief Financial Officer under Section 302 of the Sarbanes-Oxley Act of 2002 (filed herewith).</w:t>
            </w:r>
          </w:p>
        </w:tc>
      </w:tr>
      <w:tr>
        <w:trPr>
          <w:trHeight w:val="210"/>
        </w:trPr>
        <w:tc>
          <w:tcPr>
            <w:tcW w:w="340" w:type="dxa"/>
            <w:vAlign w:val="bottom"/>
            <w:gridSpan w:val="3"/>
          </w:tcPr>
          <w:p>
            <w:pPr>
              <w:ind w:left="20"/>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20" w:type="dxa"/>
            <w:vAlign w:val="bottom"/>
            <w:gridSpan w:val="3"/>
          </w:tcPr>
          <w:p>
            <w:pPr>
              <w:ind w:left="20"/>
              <w:spacing w:after="0"/>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20" w:type="dxa"/>
            <w:vAlign w:val="bottom"/>
            <w:gridSpan w:val="3"/>
          </w:tcPr>
          <w:p>
            <w:pPr>
              <w:ind w:left="20"/>
              <w:spacing w:after="0"/>
              <w:rPr>
                <w:sz w:val="20"/>
                <w:szCs w:val="20"/>
                <w:color w:val="auto"/>
              </w:rPr>
            </w:pPr>
            <w:r>
              <w:rPr>
                <w:rFonts w:ascii="Arial" w:cs="Arial" w:eastAsia="Arial" w:hAnsi="Arial"/>
                <w:sz w:val="18"/>
                <w:szCs w:val="18"/>
                <w:color w:val="auto"/>
              </w:rPr>
              <w:t>Oxley Act of 2002 (furnished herewith).</w:t>
            </w:r>
          </w:p>
        </w:tc>
      </w:tr>
      <w:tr>
        <w:trPr>
          <w:trHeight w:val="190"/>
        </w:trPr>
        <w:tc>
          <w:tcPr>
            <w:tcW w:w="340" w:type="dxa"/>
            <w:vAlign w:val="bottom"/>
            <w:gridSpan w:val="3"/>
          </w:tcPr>
          <w:p>
            <w:pPr>
              <w:ind w:left="20"/>
              <w:spacing w:after="0" w:line="190" w:lineRule="exact"/>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2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5"/>
              </w:rPr>
              <w:t>Certification of Chief Financial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20" w:type="dxa"/>
            <w:vAlign w:val="bottom"/>
            <w:gridSpan w:val="3"/>
          </w:tcPr>
          <w:p>
            <w:pPr>
              <w:ind w:left="20"/>
              <w:spacing w:after="0"/>
              <w:rPr>
                <w:sz w:val="20"/>
                <w:szCs w:val="20"/>
                <w:color w:val="auto"/>
              </w:rPr>
            </w:pPr>
            <w:r>
              <w:rPr>
                <w:rFonts w:ascii="Arial" w:cs="Arial" w:eastAsia="Arial" w:hAnsi="Arial"/>
                <w:sz w:val="18"/>
                <w:szCs w:val="18"/>
                <w:color w:val="auto"/>
              </w:rPr>
              <w:t>Oxley Act of 2002 (furnished herewith).</w:t>
            </w:r>
          </w:p>
        </w:tc>
      </w:tr>
      <w:tr>
        <w:trPr>
          <w:trHeight w:val="176"/>
        </w:trPr>
        <w:tc>
          <w:tcPr>
            <w:tcW w:w="20" w:type="dxa"/>
            <w:vAlign w:val="bottom"/>
          </w:tcPr>
          <w:p>
            <w:pPr>
              <w:spacing w:after="0"/>
              <w:rPr>
                <w:sz w:val="15"/>
                <w:szCs w:val="15"/>
                <w:color w:val="auto"/>
              </w:rPr>
            </w:pPr>
          </w:p>
        </w:tc>
        <w:tc>
          <w:tcPr>
            <w:tcW w:w="1260" w:type="dxa"/>
            <w:vAlign w:val="bottom"/>
            <w:gridSpan w:val="3"/>
          </w:tcPr>
          <w:p>
            <w:pPr>
              <w:spacing w:after="0" w:line="176" w:lineRule="exact"/>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2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4"/>
              </w:rPr>
              <w:t>Inline XBRL Instance Document - the instance document does not appear in the Interactive Data File because its XBRL tags are</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gridSpan w:val="3"/>
          </w:tcPr>
          <w:p>
            <w:pPr>
              <w:ind w:left="20"/>
              <w:spacing w:after="0"/>
              <w:rPr>
                <w:sz w:val="20"/>
                <w:szCs w:val="20"/>
                <w:color w:val="auto"/>
              </w:rPr>
            </w:pPr>
            <w:r>
              <w:rPr>
                <w:rFonts w:ascii="Arial" w:cs="Arial" w:eastAsia="Arial" w:hAnsi="Arial"/>
                <w:sz w:val="18"/>
                <w:szCs w:val="18"/>
                <w:color w:val="auto"/>
              </w:rPr>
              <w:t>embedded within Inline XBRL document.</w:t>
            </w:r>
          </w:p>
        </w:tc>
      </w:tr>
      <w:tr>
        <w:trPr>
          <w:trHeight w:val="230"/>
        </w:trPr>
        <w:tc>
          <w:tcPr>
            <w:tcW w:w="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2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42"/>
        </w:trPr>
        <w:tc>
          <w:tcPr>
            <w:tcW w:w="20" w:type="dxa"/>
            <w:vAlign w:val="bottom"/>
          </w:tcPr>
          <w:p>
            <w:pPr>
              <w:spacing w:after="0"/>
              <w:rPr>
                <w:sz w:val="21"/>
                <w:szCs w:val="21"/>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72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2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20" w:type="dxa"/>
            <w:vAlign w:val="bottom"/>
          </w:tcPr>
          <w:p>
            <w:pPr>
              <w:spacing w:after="0"/>
              <w:rPr>
                <w:sz w:val="21"/>
                <w:szCs w:val="21"/>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72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540" w:right="20" w:hanging="1514"/>
        <w:spacing w:after="0" w:line="234"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April 1, 2023, formatted in Inline XBRL (included within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National Vision Holdings, Inc.</w:t>
      </w:r>
    </w:p>
    <w:p>
      <w:pPr>
        <w:spacing w:after="0" w:line="266" w:lineRule="exact"/>
        <w:rPr>
          <w:sz w:val="20"/>
          <w:szCs w:val="20"/>
          <w:color w:val="auto"/>
        </w:rPr>
      </w:pPr>
    </w:p>
    <w:p>
      <w:pPr>
        <w:ind w:left="20"/>
        <w:spacing w:after="0"/>
        <w:tabs>
          <w:tab w:leader="none" w:pos="5520" w:val="left"/>
          <w:tab w:leader="none" w:pos="6040" w:val="left"/>
        </w:tabs>
        <w:rPr>
          <w:sz w:val="20"/>
          <w:szCs w:val="20"/>
          <w:color w:val="auto"/>
        </w:rPr>
      </w:pPr>
      <w:r>
        <w:rPr>
          <w:rFonts w:ascii="Arial" w:cs="Arial" w:eastAsia="Arial" w:hAnsi="Arial"/>
          <w:sz w:val="18"/>
          <w:szCs w:val="18"/>
          <w:color w:val="auto"/>
        </w:rPr>
        <w:t>Dated: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14605</wp:posOffset>
            </wp:positionV>
            <wp:extent cx="33007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Executive Officer)</w:t>
      </w:r>
    </w:p>
    <w:p>
      <w:pPr>
        <w:spacing w:after="0" w:line="265" w:lineRule="exact"/>
        <w:rPr>
          <w:sz w:val="20"/>
          <w:szCs w:val="20"/>
          <w:color w:val="auto"/>
        </w:rPr>
      </w:pPr>
    </w:p>
    <w:p>
      <w:pPr>
        <w:ind w:left="20"/>
        <w:spacing w:after="0"/>
        <w:tabs>
          <w:tab w:leader="none" w:pos="5520" w:val="left"/>
          <w:tab w:leader="none" w:pos="6040" w:val="left"/>
        </w:tabs>
        <w:rPr>
          <w:sz w:val="20"/>
          <w:szCs w:val="20"/>
          <w:color w:val="auto"/>
        </w:rPr>
      </w:pPr>
      <w:r>
        <w:rPr>
          <w:rFonts w:ascii="Arial" w:cs="Arial" w:eastAsia="Arial" w:hAnsi="Arial"/>
          <w:sz w:val="18"/>
          <w:szCs w:val="18"/>
          <w:color w:val="auto"/>
        </w:rPr>
        <w:t>Dated: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14605</wp:posOffset>
            </wp:positionV>
            <wp:extent cx="33007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40"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25"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5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April 1, 2023 of National Vision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23742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3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Melissa Rasmussen, certify that:</w:t>
      </w:r>
    </w:p>
    <w:p>
      <w:pPr>
        <w:spacing w:after="0" w:line="25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April 1, 2023 of National Vision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9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29146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Melissa Rasmussen</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5" w:right="339" w:bottom="1440" w:gutter="0" w:footer="0" w:header="0"/>
        </w:sectPr>
      </w:pPr>
    </w:p>
    <w:bookmarkStart w:id="36" w:name="page37"/>
    <w:bookmarkEnd w:id="36"/>
    <w:p>
      <w:pPr>
        <w:ind w:left="10360"/>
        <w:spacing w:after="0"/>
        <w:rPr>
          <w:sz w:val="20"/>
          <w:szCs w:val="20"/>
          <w:color w:val="auto"/>
        </w:rPr>
      </w:pPr>
      <w:r>
        <w:rPr>
          <w:rFonts w:ascii="Arial" w:cs="Arial" w:eastAsia="Arial" w:hAnsi="Arial"/>
          <w:sz w:val="16"/>
          <w:szCs w:val="16"/>
          <w:color w:val="auto"/>
        </w:rPr>
        <w:t>Exhibit 32.1</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Quarterly Report of National Vision Holdings, Inc. (the “Company”) on Form 10-Q for the quarterly period ended April 1, 2023 filed with the Securities and Exchange Commission on the date hereof (the “Report”), I, L. Reade Fahs, Chief Executive Officer of the Company, do hereby certify, pursuant to 18 U.S.C. Section 1350, as adopted pursuant to Section 906 of the Sarbanes-Oxley Act of 2002, that:</w:t>
      </w:r>
    </w:p>
    <w:p>
      <w:pPr>
        <w:spacing w:after="0" w:line="19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00" w:lineRule="exact"/>
        <w:rPr>
          <w:sz w:val="20"/>
          <w:szCs w:val="20"/>
          <w:color w:val="auto"/>
        </w:rPr>
      </w:pPr>
    </w:p>
    <w:p>
      <w:pPr>
        <w:spacing w:after="0" w:line="30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23742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April 1, 2023 filed with the Securities and Exchange Commission on the date hereof (the “Report”), I, Melissa Rasmussen, Senior Vice President, Chief Financial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9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29146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Melissa Rasmussen</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2"/>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2" Type="http://schemas.openxmlformats.org/officeDocument/2006/relationships/hyperlink" Target="https://www.sec.gov/Archives/edgar/data/1710155/000171015521000036/nationalvision-thirdamende.htm" TargetMode="External"/><Relationship Id="rId53" Type="http://schemas.openxmlformats.org/officeDocument/2006/relationships/hyperlink" Target="https://www.sec.gov/Archives/edgar/data/0001710155/000171015521000036/nationalvisionholdingsinc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2023-05-11T05:44:01Z</dcterms:created>
  <dcterms:modified xsi:type="dcterms:W3CDTF">2023-05-11T05:44:01Z</dcterms:modified>
</cp:coreProperties>
</file>