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1"/>
          <w:szCs w:val="31"/>
          <w:b w:val="1"/>
          <w:bCs w:val="1"/>
          <w:color w:val="auto"/>
        </w:rPr>
        <w:drawing>
          <wp:anchor simplePos="0" relativeHeight="251657728" behindDoc="1" locked="0" layoutInCell="0" allowOverlap="1">
            <wp:simplePos x="0" y="0"/>
            <wp:positionH relativeFrom="page">
              <wp:posOffset>208280</wp:posOffset>
            </wp:positionH>
            <wp:positionV relativeFrom="page">
              <wp:posOffset>372110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254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25400"/>
                    </a:xfrm>
                    <a:prstGeom prst="rect">
                      <a:avLst/>
                    </a:prstGeom>
                    <a:noFill/>
                  </pic:spPr>
                </pic:pic>
              </a:graphicData>
            </a:graphic>
          </wp:anchor>
        </w:drawing>
        <w:t>UNITED STATES</w:t>
      </w:r>
    </w:p>
    <w:p>
      <w:pPr>
        <w:spacing w:after="0" w:line="16"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SECURITIES AND EXCHANGE COMMISSION</w:t>
      </w:r>
    </w:p>
    <w:p>
      <w:pPr>
        <w:jc w:val="center"/>
        <w:spacing w:after="0"/>
        <w:rPr>
          <w:sz w:val="20"/>
          <w:szCs w:val="20"/>
          <w:color w:val="auto"/>
        </w:rPr>
      </w:pPr>
      <w:r>
        <w:rPr>
          <w:rFonts w:ascii="Arial" w:cs="Arial" w:eastAsia="Arial" w:hAnsi="Arial"/>
          <w:sz w:val="16"/>
          <w:szCs w:val="16"/>
          <w:b w:val="1"/>
          <w:bCs w:val="1"/>
          <w:color w:val="auto"/>
        </w:rPr>
        <w:t>Washington, D.C. 20549</w:t>
      </w:r>
    </w:p>
    <w:p>
      <w:pPr>
        <w:spacing w:after="0" w:line="41" w:lineRule="exact"/>
        <w:rPr>
          <w:sz w:val="24"/>
          <w:szCs w:val="24"/>
          <w:color w:val="auto"/>
        </w:rPr>
      </w:pPr>
    </w:p>
    <w:p>
      <w:pPr>
        <w:ind w:left="3700"/>
        <w:spacing w:after="0"/>
        <w:rPr>
          <w:sz w:val="20"/>
          <w:szCs w:val="20"/>
          <w:color w:val="auto"/>
        </w:rPr>
      </w:pPr>
      <w:r>
        <w:rPr>
          <w:rFonts w:ascii="Arial" w:cs="Arial" w:eastAsia="Arial" w:hAnsi="Arial"/>
          <w:sz w:val="11"/>
          <w:szCs w:val="11"/>
          <w:b w:val="1"/>
          <w:bCs w:val="1"/>
          <w:color w:val="auto"/>
        </w:rPr>
        <w:t>_______________________________________________________________________</w:t>
      </w:r>
    </w:p>
    <w:p>
      <w:pPr>
        <w:spacing w:after="0" w:line="67"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FORM 10-Q</w:t>
      </w:r>
    </w:p>
    <w:p>
      <w:pPr>
        <w:spacing w:after="0" w:line="98" w:lineRule="exact"/>
        <w:rPr>
          <w:sz w:val="24"/>
          <w:szCs w:val="24"/>
          <w:color w:val="auto"/>
        </w:rPr>
      </w:pPr>
    </w:p>
    <w:p>
      <w:pPr>
        <w:ind w:left="3700"/>
        <w:spacing w:after="0"/>
        <w:rPr>
          <w:sz w:val="20"/>
          <w:szCs w:val="20"/>
          <w:color w:val="auto"/>
        </w:rPr>
      </w:pPr>
      <w:r>
        <w:rPr>
          <w:rFonts w:ascii="Arial" w:cs="Arial" w:eastAsia="Arial" w:hAnsi="Arial"/>
          <w:sz w:val="11"/>
          <w:szCs w:val="11"/>
          <w:b w:val="1"/>
          <w:bCs w:val="1"/>
          <w:color w:val="auto"/>
        </w:rPr>
        <w:t>_______________________________________________________________________</w:t>
      </w:r>
    </w:p>
    <w:p>
      <w:pPr>
        <w:spacing w:after="0" w:line="66" w:lineRule="exact"/>
        <w:rPr>
          <w:sz w:val="24"/>
          <w:szCs w:val="24"/>
          <w:color w:val="auto"/>
        </w:rPr>
      </w:pPr>
    </w:p>
    <w:p>
      <w:pPr>
        <w:ind w:left="240" w:hanging="232"/>
        <w:spacing w:after="0"/>
        <w:tabs>
          <w:tab w:leader="none" w:pos="240" w:val="left"/>
        </w:tabs>
        <w:numPr>
          <w:ilvl w:val="0"/>
          <w:numId w:val="1"/>
        </w:numPr>
        <w:rPr>
          <w:rFonts w:ascii="MS PGothic" w:cs="MS PGothic" w:eastAsia="MS PGothic" w:hAnsi="MS PGothic"/>
          <w:sz w:val="20"/>
          <w:szCs w:val="20"/>
          <w:color w:val="auto"/>
        </w:rPr>
      </w:pPr>
      <w:r>
        <w:rPr>
          <w:rFonts w:ascii="Arial" w:cs="Arial" w:eastAsia="Arial" w:hAnsi="Arial"/>
          <w:sz w:val="20"/>
          <w:szCs w:val="20"/>
          <w:b w:val="1"/>
          <w:bCs w:val="1"/>
          <w:color w:val="auto"/>
        </w:rPr>
        <w:t>QUARTERLY REPORT PURSUANT TO SECTION 13 OR 15(d) OF THE SECURITIES EXCHANGE ACT OF 1934</w:t>
      </w:r>
    </w:p>
    <w:p>
      <w:pPr>
        <w:jc w:val="center"/>
        <w:spacing w:after="0"/>
        <w:rPr>
          <w:sz w:val="20"/>
          <w:szCs w:val="20"/>
          <w:color w:val="auto"/>
        </w:rPr>
      </w:pPr>
      <w:r>
        <w:rPr>
          <w:rFonts w:ascii="Arial" w:cs="Arial" w:eastAsia="Arial" w:hAnsi="Arial"/>
          <w:sz w:val="16"/>
          <w:szCs w:val="16"/>
          <w:b w:val="1"/>
          <w:bCs w:val="1"/>
          <w:color w:val="auto"/>
        </w:rPr>
        <w:t>For the quarterly period ended July 3, 2021</w:t>
      </w:r>
    </w:p>
    <w:p>
      <w:pPr>
        <w:spacing w:after="0" w:line="68"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OR</w:t>
      </w:r>
    </w:p>
    <w:p>
      <w:pPr>
        <w:spacing w:after="0" w:line="63" w:lineRule="exact"/>
        <w:rPr>
          <w:sz w:val="24"/>
          <w:szCs w:val="24"/>
          <w:color w:val="auto"/>
        </w:rPr>
      </w:pPr>
    </w:p>
    <w:p>
      <w:pPr>
        <w:ind w:left="240" w:hanging="232"/>
        <w:spacing w:after="0"/>
        <w:tabs>
          <w:tab w:leader="none" w:pos="240" w:val="left"/>
        </w:tabs>
        <w:numPr>
          <w:ilvl w:val="0"/>
          <w:numId w:val="2"/>
        </w:numPr>
        <w:rPr>
          <w:rFonts w:ascii="MS PGothic" w:cs="MS PGothic" w:eastAsia="MS PGothic" w:hAnsi="MS PGothic"/>
          <w:sz w:val="20"/>
          <w:szCs w:val="20"/>
          <w:color w:val="auto"/>
        </w:rPr>
      </w:pPr>
      <w:r>
        <w:rPr>
          <w:rFonts w:ascii="Arial" w:cs="Arial" w:eastAsia="Arial" w:hAnsi="Arial"/>
          <w:sz w:val="20"/>
          <w:szCs w:val="20"/>
          <w:b w:val="1"/>
          <w:bCs w:val="1"/>
          <w:color w:val="auto"/>
        </w:rPr>
        <w:t>TRANSITION REPORT PURSUANT TO SECTION 13 OR 15(d) OF THE SECURITIES EXCHANGE ACT OF 1934</w:t>
      </w:r>
    </w:p>
    <w:p>
      <w:pPr>
        <w:ind w:left="4100"/>
        <w:spacing w:after="0"/>
        <w:tabs>
          <w:tab w:leader="none" w:pos="6620" w:val="left"/>
        </w:tabs>
        <w:rPr>
          <w:sz w:val="20"/>
          <w:szCs w:val="20"/>
          <w:color w:val="auto"/>
        </w:rPr>
      </w:pPr>
      <w:r>
        <w:rPr>
          <w:rFonts w:ascii="Arial" w:cs="Arial" w:eastAsia="Arial" w:hAnsi="Arial"/>
          <w:sz w:val="16"/>
          <w:szCs w:val="16"/>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5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Commission file number 001-38257</w:t>
      </w:r>
    </w:p>
    <w:p>
      <w:pPr>
        <w:spacing w:after="0" w:line="100" w:lineRule="exact"/>
        <w:rPr>
          <w:sz w:val="24"/>
          <w:szCs w:val="24"/>
          <w:color w:val="auto"/>
        </w:rPr>
      </w:pPr>
    </w:p>
    <w:p>
      <w:pPr>
        <w:ind w:left="3700"/>
        <w:spacing w:after="0"/>
        <w:rPr>
          <w:sz w:val="20"/>
          <w:szCs w:val="20"/>
          <w:color w:val="auto"/>
        </w:rPr>
      </w:pPr>
      <w:r>
        <w:rPr>
          <w:rFonts w:ascii="Arial" w:cs="Arial" w:eastAsia="Arial" w:hAnsi="Arial"/>
          <w:sz w:val="11"/>
          <w:szCs w:val="11"/>
          <w:b w:val="1"/>
          <w:bCs w:val="1"/>
          <w:color w:val="auto"/>
        </w:rPr>
        <w:t>_______________________________________________________________________</w:t>
      </w:r>
    </w:p>
    <w:p>
      <w:pPr>
        <w:spacing w:after="0" w:line="71"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National Vision Holdings, Inc.</w:t>
      </w:r>
    </w:p>
    <w:p>
      <w:pPr>
        <w:spacing w:after="0" w:line="2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34" w:lineRule="exact"/>
        <w:rPr>
          <w:sz w:val="24"/>
          <w:szCs w:val="24"/>
          <w:color w:val="auto"/>
        </w:rPr>
      </w:pPr>
    </w:p>
    <w:p>
      <w:pPr>
        <w:ind w:left="3700"/>
        <w:spacing w:after="0"/>
        <w:rPr>
          <w:sz w:val="20"/>
          <w:szCs w:val="20"/>
          <w:color w:val="auto"/>
        </w:rPr>
      </w:pPr>
      <w:r>
        <w:rPr>
          <w:rFonts w:ascii="Arial" w:cs="Arial" w:eastAsia="Arial" w:hAnsi="Arial"/>
          <w:sz w:val="11"/>
          <w:szCs w:val="11"/>
          <w:b w:val="1"/>
          <w:bCs w:val="1"/>
          <w:color w:val="auto"/>
        </w:rPr>
        <w:t>_______________________________________________________________________</w:t>
      </w:r>
    </w:p>
    <w:p>
      <w:pPr>
        <w:spacing w:after="0" w:line="116" w:lineRule="exact"/>
        <w:rPr>
          <w:sz w:val="24"/>
          <w:szCs w:val="24"/>
          <w:color w:val="auto"/>
        </w:rPr>
      </w:pPr>
    </w:p>
    <w:tbl>
      <w:tblPr>
        <w:tblLayout w:type="fixed"/>
        <w:tblInd w:w="1840" w:type="dxa"/>
        <w:tblCellMar>
          <w:top w:w="0" w:type="dxa"/>
          <w:left w:w="0" w:type="dxa"/>
          <w:bottom w:w="0" w:type="dxa"/>
          <w:right w:w="0" w:type="dxa"/>
        </w:tblCellMar>
      </w:tblPr>
      <w:tr>
        <w:trPr>
          <w:trHeight w:val="210"/>
        </w:trPr>
        <w:tc>
          <w:tcPr>
            <w:tcW w:w="4120" w:type="dxa"/>
            <w:vAlign w:val="bottom"/>
          </w:tcPr>
          <w:p>
            <w:pPr>
              <w:jc w:val="center"/>
              <w:ind w:right="1479"/>
              <w:spacing w:after="0"/>
              <w:rPr>
                <w:sz w:val="20"/>
                <w:szCs w:val="20"/>
                <w:color w:val="auto"/>
              </w:rPr>
            </w:pPr>
            <w:r>
              <w:rPr>
                <w:rFonts w:ascii="Arial" w:cs="Arial" w:eastAsia="Arial" w:hAnsi="Arial"/>
                <w:sz w:val="16"/>
                <w:szCs w:val="16"/>
                <w:b w:val="1"/>
                <w:bCs w:val="1"/>
                <w:color w:val="auto"/>
                <w:w w:val="91"/>
              </w:rPr>
              <w:t>Delaware</w:t>
            </w:r>
          </w:p>
        </w:tc>
        <w:tc>
          <w:tcPr>
            <w:tcW w:w="2760" w:type="dxa"/>
            <w:vAlign w:val="bottom"/>
          </w:tcPr>
          <w:p>
            <w:pPr>
              <w:jc w:val="right"/>
              <w:ind w:right="139"/>
              <w:spacing w:after="0"/>
              <w:rPr>
                <w:sz w:val="20"/>
                <w:szCs w:val="20"/>
                <w:color w:val="auto"/>
              </w:rPr>
            </w:pPr>
            <w:r>
              <w:rPr>
                <w:rFonts w:ascii="Arial" w:cs="Arial" w:eastAsia="Arial" w:hAnsi="Arial"/>
                <w:sz w:val="16"/>
                <w:szCs w:val="16"/>
                <w:b w:val="1"/>
                <w:bCs w:val="1"/>
                <w:color w:val="auto"/>
              </w:rPr>
              <w:t>46-4841717</w:t>
            </w:r>
          </w:p>
        </w:tc>
      </w:tr>
      <w:tr>
        <w:trPr>
          <w:trHeight w:val="212"/>
        </w:trPr>
        <w:tc>
          <w:tcPr>
            <w:tcW w:w="4120" w:type="dxa"/>
            <w:vAlign w:val="bottom"/>
          </w:tcPr>
          <w:p>
            <w:pPr>
              <w:jc w:val="center"/>
              <w:ind w:right="1479"/>
              <w:spacing w:after="0"/>
              <w:rPr>
                <w:sz w:val="20"/>
                <w:szCs w:val="20"/>
                <w:color w:val="auto"/>
              </w:rPr>
            </w:pPr>
            <w:r>
              <w:rPr>
                <w:rFonts w:ascii="Arial" w:cs="Arial" w:eastAsia="Arial" w:hAnsi="Arial"/>
                <w:sz w:val="16"/>
                <w:szCs w:val="16"/>
                <w:color w:val="auto"/>
                <w:w w:val="93"/>
              </w:rPr>
              <w:t>(State or other jurisdiction of</w:t>
            </w:r>
          </w:p>
        </w:tc>
        <w:tc>
          <w:tcPr>
            <w:tcW w:w="2760" w:type="dxa"/>
            <w:vAlign w:val="bottom"/>
          </w:tcPr>
          <w:p>
            <w:pPr>
              <w:jc w:val="center"/>
              <w:ind w:left="1459"/>
              <w:spacing w:after="0"/>
              <w:rPr>
                <w:sz w:val="20"/>
                <w:szCs w:val="20"/>
                <w:color w:val="auto"/>
              </w:rPr>
            </w:pPr>
            <w:r>
              <w:rPr>
                <w:rFonts w:ascii="Arial" w:cs="Arial" w:eastAsia="Arial" w:hAnsi="Arial"/>
                <w:sz w:val="16"/>
                <w:szCs w:val="16"/>
                <w:color w:val="auto"/>
                <w:w w:val="93"/>
              </w:rPr>
              <w:t>(I.R.S. Employer</w:t>
            </w:r>
          </w:p>
        </w:tc>
      </w:tr>
      <w:tr>
        <w:trPr>
          <w:trHeight w:val="206"/>
        </w:trPr>
        <w:tc>
          <w:tcPr>
            <w:tcW w:w="4120" w:type="dxa"/>
            <w:vAlign w:val="bottom"/>
          </w:tcPr>
          <w:p>
            <w:pPr>
              <w:jc w:val="center"/>
              <w:ind w:right="1479"/>
              <w:spacing w:after="0"/>
              <w:rPr>
                <w:sz w:val="20"/>
                <w:szCs w:val="20"/>
                <w:color w:val="auto"/>
              </w:rPr>
            </w:pPr>
            <w:r>
              <w:rPr>
                <w:rFonts w:ascii="Arial" w:cs="Arial" w:eastAsia="Arial" w:hAnsi="Arial"/>
                <w:sz w:val="16"/>
                <w:szCs w:val="16"/>
                <w:color w:val="auto"/>
                <w:w w:val="94"/>
              </w:rPr>
              <w:t>incorporation or organization)</w:t>
            </w:r>
          </w:p>
        </w:tc>
        <w:tc>
          <w:tcPr>
            <w:tcW w:w="2760" w:type="dxa"/>
            <w:vAlign w:val="bottom"/>
          </w:tcPr>
          <w:p>
            <w:pPr>
              <w:jc w:val="center"/>
              <w:ind w:left="1479"/>
              <w:spacing w:after="0"/>
              <w:rPr>
                <w:sz w:val="20"/>
                <w:szCs w:val="20"/>
                <w:color w:val="auto"/>
              </w:rPr>
            </w:pPr>
            <w:r>
              <w:rPr>
                <w:rFonts w:ascii="Arial" w:cs="Arial" w:eastAsia="Arial" w:hAnsi="Arial"/>
                <w:sz w:val="16"/>
                <w:szCs w:val="16"/>
                <w:color w:val="auto"/>
                <w:w w:val="96"/>
              </w:rPr>
              <w:t>Identification No.)</w:t>
            </w:r>
          </w:p>
        </w:tc>
      </w:tr>
      <w:tr>
        <w:trPr>
          <w:trHeight w:val="270"/>
        </w:trPr>
        <w:tc>
          <w:tcPr>
            <w:tcW w:w="4120" w:type="dxa"/>
            <w:vAlign w:val="bottom"/>
          </w:tcPr>
          <w:p>
            <w:pPr>
              <w:jc w:val="center"/>
              <w:ind w:right="1479"/>
              <w:spacing w:after="0"/>
              <w:rPr>
                <w:sz w:val="20"/>
                <w:szCs w:val="20"/>
                <w:color w:val="auto"/>
              </w:rPr>
            </w:pPr>
            <w:r>
              <w:rPr>
                <w:rFonts w:ascii="Arial" w:cs="Arial" w:eastAsia="Arial" w:hAnsi="Arial"/>
                <w:sz w:val="16"/>
                <w:szCs w:val="16"/>
                <w:b w:val="1"/>
                <w:bCs w:val="1"/>
                <w:color w:val="auto"/>
                <w:w w:val="89"/>
              </w:rPr>
              <w:t>2435 Commerce Ave</w:t>
            </w:r>
          </w:p>
        </w:tc>
        <w:tc>
          <w:tcPr>
            <w:tcW w:w="2760" w:type="dxa"/>
            <w:vAlign w:val="bottom"/>
          </w:tcPr>
          <w:p>
            <w:pPr>
              <w:spacing w:after="0"/>
              <w:rPr>
                <w:sz w:val="23"/>
                <w:szCs w:val="23"/>
                <w:color w:val="auto"/>
              </w:rPr>
            </w:pPr>
          </w:p>
        </w:tc>
      </w:tr>
      <w:tr>
        <w:trPr>
          <w:trHeight w:val="216"/>
        </w:trPr>
        <w:tc>
          <w:tcPr>
            <w:tcW w:w="4120" w:type="dxa"/>
            <w:vAlign w:val="bottom"/>
          </w:tcPr>
          <w:p>
            <w:pPr>
              <w:jc w:val="center"/>
              <w:ind w:right="1479"/>
              <w:spacing w:after="0"/>
              <w:rPr>
                <w:sz w:val="20"/>
                <w:szCs w:val="20"/>
                <w:color w:val="auto"/>
              </w:rPr>
            </w:pPr>
            <w:r>
              <w:rPr>
                <w:rFonts w:ascii="Arial" w:cs="Arial" w:eastAsia="Arial" w:hAnsi="Arial"/>
                <w:sz w:val="16"/>
                <w:szCs w:val="16"/>
                <w:b w:val="1"/>
                <w:bCs w:val="1"/>
                <w:color w:val="auto"/>
                <w:w w:val="92"/>
              </w:rPr>
              <w:t>Building 2200</w:t>
            </w:r>
          </w:p>
        </w:tc>
        <w:tc>
          <w:tcPr>
            <w:tcW w:w="2760" w:type="dxa"/>
            <w:vAlign w:val="bottom"/>
          </w:tcPr>
          <w:p>
            <w:pPr>
              <w:jc w:val="right"/>
              <w:ind w:right="319"/>
              <w:spacing w:after="0"/>
              <w:rPr>
                <w:sz w:val="20"/>
                <w:szCs w:val="20"/>
                <w:color w:val="auto"/>
              </w:rPr>
            </w:pPr>
            <w:r>
              <w:rPr>
                <w:rFonts w:ascii="Arial" w:cs="Arial" w:eastAsia="Arial" w:hAnsi="Arial"/>
                <w:sz w:val="16"/>
                <w:szCs w:val="16"/>
                <w:b w:val="1"/>
                <w:bCs w:val="1"/>
                <w:color w:val="auto"/>
              </w:rPr>
              <w:t>30096</w:t>
            </w:r>
          </w:p>
        </w:tc>
      </w:tr>
      <w:tr>
        <w:trPr>
          <w:trHeight w:val="216"/>
        </w:trPr>
        <w:tc>
          <w:tcPr>
            <w:tcW w:w="4120" w:type="dxa"/>
            <w:vAlign w:val="bottom"/>
          </w:tcPr>
          <w:p>
            <w:pPr>
              <w:jc w:val="center"/>
              <w:ind w:right="1479"/>
              <w:spacing w:after="0"/>
              <w:rPr>
                <w:sz w:val="20"/>
                <w:szCs w:val="20"/>
                <w:color w:val="auto"/>
              </w:rPr>
            </w:pPr>
            <w:r>
              <w:rPr>
                <w:rFonts w:ascii="Arial" w:cs="Arial" w:eastAsia="Arial" w:hAnsi="Arial"/>
                <w:sz w:val="16"/>
                <w:szCs w:val="16"/>
                <w:b w:val="1"/>
                <w:bCs w:val="1"/>
                <w:color w:val="auto"/>
                <w:w w:val="93"/>
              </w:rPr>
              <w:t>Duluth, Georgia</w:t>
            </w:r>
          </w:p>
        </w:tc>
        <w:tc>
          <w:tcPr>
            <w:tcW w:w="2760" w:type="dxa"/>
            <w:vAlign w:val="bottom"/>
          </w:tcPr>
          <w:p>
            <w:pPr>
              <w:jc w:val="center"/>
              <w:ind w:left="1479"/>
              <w:spacing w:after="0"/>
              <w:rPr>
                <w:sz w:val="20"/>
                <w:szCs w:val="20"/>
                <w:color w:val="auto"/>
              </w:rPr>
            </w:pPr>
            <w:r>
              <w:rPr>
                <w:rFonts w:ascii="Arial" w:cs="Arial" w:eastAsia="Arial" w:hAnsi="Arial"/>
                <w:sz w:val="16"/>
                <w:szCs w:val="16"/>
                <w:color w:val="auto"/>
                <w:w w:val="95"/>
              </w:rPr>
              <w:t>(Zip Code)</w:t>
            </w:r>
          </w:p>
        </w:tc>
      </w:tr>
      <w:tr>
        <w:trPr>
          <w:trHeight w:val="216"/>
        </w:trPr>
        <w:tc>
          <w:tcPr>
            <w:tcW w:w="4120" w:type="dxa"/>
            <w:vAlign w:val="bottom"/>
          </w:tcPr>
          <w:p>
            <w:pPr>
              <w:jc w:val="center"/>
              <w:ind w:right="1479"/>
              <w:spacing w:after="0"/>
              <w:rPr>
                <w:sz w:val="20"/>
                <w:szCs w:val="20"/>
                <w:color w:val="auto"/>
              </w:rPr>
            </w:pPr>
            <w:r>
              <w:rPr>
                <w:rFonts w:ascii="Arial" w:cs="Arial" w:eastAsia="Arial" w:hAnsi="Arial"/>
                <w:sz w:val="16"/>
                <w:szCs w:val="16"/>
                <w:color w:val="auto"/>
                <w:w w:val="93"/>
              </w:rPr>
              <w:t>(Address of principal executive offices)</w:t>
            </w:r>
          </w:p>
        </w:tc>
        <w:tc>
          <w:tcPr>
            <w:tcW w:w="2760" w:type="dxa"/>
            <w:vAlign w:val="bottom"/>
          </w:tcPr>
          <w:p>
            <w:pPr>
              <w:spacing w:after="0"/>
              <w:rPr>
                <w:sz w:val="18"/>
                <w:szCs w:val="18"/>
                <w:color w:val="auto"/>
              </w:rPr>
            </w:pPr>
          </w:p>
        </w:tc>
      </w:tr>
    </w:tbl>
    <w:p>
      <w:pPr>
        <w:spacing w:after="0" w:line="87" w:lineRule="exact"/>
        <w:rPr>
          <w:sz w:val="24"/>
          <w:szCs w:val="24"/>
          <w:color w:val="auto"/>
        </w:rPr>
      </w:pPr>
    </w:p>
    <w:p>
      <w:pPr>
        <w:jc w:val="center"/>
        <w:spacing w:after="0" w:line="184" w:lineRule="exact"/>
        <w:rPr>
          <w:sz w:val="20"/>
          <w:szCs w:val="20"/>
          <w:color w:val="auto"/>
        </w:rPr>
      </w:pPr>
      <w:r>
        <w:rPr>
          <w:rFonts w:ascii="Arial" w:cs="Arial" w:eastAsia="Arial" w:hAnsi="Arial"/>
          <w:sz w:val="16"/>
          <w:szCs w:val="16"/>
          <w:b w:val="1"/>
          <w:bCs w:val="1"/>
          <w:color w:val="auto"/>
        </w:rPr>
        <w:t>(770) 822</w:t>
      </w:r>
      <w:r>
        <w:rPr>
          <w:rFonts w:ascii="MS PGothic" w:cs="MS PGothic" w:eastAsia="MS PGothic" w:hAnsi="MS PGothic"/>
          <w:sz w:val="16"/>
          <w:szCs w:val="16"/>
          <w:b w:val="1"/>
          <w:bCs w:val="1"/>
          <w:color w:val="auto"/>
        </w:rPr>
        <w:t>‑</w:t>
      </w:r>
      <w:r>
        <w:rPr>
          <w:rFonts w:ascii="Arial" w:cs="Arial" w:eastAsia="Arial" w:hAnsi="Arial"/>
          <w:sz w:val="16"/>
          <w:szCs w:val="16"/>
          <w:b w:val="1"/>
          <w:bCs w:val="1"/>
          <w:color w:val="auto"/>
        </w:rPr>
        <w:t>3600</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(Registrant’s telephone number, including area code)</w:t>
      </w:r>
    </w:p>
    <w:p>
      <w:pPr>
        <w:spacing w:after="0" w:line="9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Not Applicable</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(Former name, former address and former fiscal year, if changed since last report)</w:t>
      </w:r>
    </w:p>
    <w:p>
      <w:pPr>
        <w:spacing w:after="0" w:line="41" w:lineRule="exact"/>
        <w:rPr>
          <w:sz w:val="24"/>
          <w:szCs w:val="24"/>
          <w:color w:val="auto"/>
        </w:rPr>
      </w:pPr>
    </w:p>
    <w:p>
      <w:pPr>
        <w:ind w:left="3700"/>
        <w:spacing w:after="0"/>
        <w:rPr>
          <w:sz w:val="20"/>
          <w:szCs w:val="20"/>
          <w:color w:val="auto"/>
        </w:rPr>
      </w:pPr>
      <w:r>
        <w:rPr>
          <w:rFonts w:ascii="Arial" w:cs="Arial" w:eastAsia="Arial" w:hAnsi="Arial"/>
          <w:sz w:val="11"/>
          <w:szCs w:val="11"/>
          <w:b w:val="1"/>
          <w:bCs w:val="1"/>
          <w:color w:val="auto"/>
        </w:rPr>
        <w:t>_______________________________________________________________________</w:t>
      </w:r>
    </w:p>
    <w:p>
      <w:pPr>
        <w:spacing w:after="0" w:line="76"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Securities registered pursuant to Section 12(b) of the Act</w:t>
      </w:r>
    </w:p>
    <w:p>
      <w:pPr>
        <w:spacing w:after="0" w:line="154" w:lineRule="exact"/>
        <w:rPr>
          <w:sz w:val="24"/>
          <w:szCs w:val="24"/>
          <w:color w:val="auto"/>
        </w:rPr>
      </w:pPr>
    </w:p>
    <w:tbl>
      <w:tblPr>
        <w:tblLayout w:type="fixed"/>
        <w:tblInd w:w="920" w:type="dxa"/>
        <w:tblCellMar>
          <w:top w:w="0" w:type="dxa"/>
          <w:left w:w="0" w:type="dxa"/>
          <w:bottom w:w="0" w:type="dxa"/>
          <w:right w:w="0" w:type="dxa"/>
        </w:tblCellMar>
      </w:tblPr>
      <w:tr>
        <w:trPr>
          <w:trHeight w:val="213"/>
        </w:trPr>
        <w:tc>
          <w:tcPr>
            <w:tcW w:w="37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Title of each class</w:t>
            </w:r>
          </w:p>
        </w:tc>
        <w:tc>
          <w:tcPr>
            <w:tcW w:w="120" w:type="dxa"/>
            <w:vAlign w:val="bottom"/>
          </w:tcPr>
          <w:p>
            <w:pPr>
              <w:spacing w:after="0"/>
              <w:rPr>
                <w:sz w:val="18"/>
                <w:szCs w:val="18"/>
                <w:color w:val="auto"/>
              </w:rPr>
            </w:pPr>
          </w:p>
        </w:tc>
        <w:tc>
          <w:tcPr>
            <w:tcW w:w="16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Trading Symbol(s)</w:t>
            </w:r>
          </w:p>
        </w:tc>
        <w:tc>
          <w:tcPr>
            <w:tcW w:w="120" w:type="dxa"/>
            <w:vAlign w:val="bottom"/>
          </w:tcPr>
          <w:p>
            <w:pPr>
              <w:spacing w:after="0"/>
              <w:rPr>
                <w:sz w:val="18"/>
                <w:szCs w:val="18"/>
                <w:color w:val="auto"/>
              </w:rPr>
            </w:pPr>
          </w:p>
        </w:tc>
        <w:tc>
          <w:tcPr>
            <w:tcW w:w="37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Name of each exchange on which registered</w:t>
            </w:r>
          </w:p>
        </w:tc>
      </w:tr>
      <w:tr>
        <w:trPr>
          <w:trHeight w:val="206"/>
        </w:trPr>
        <w:tc>
          <w:tcPr>
            <w:tcW w:w="3860" w:type="dxa"/>
            <w:vAlign w:val="bottom"/>
            <w:gridSpan w:val="2"/>
          </w:tcPr>
          <w:p>
            <w:pPr>
              <w:jc w:val="center"/>
              <w:ind w:right="120"/>
              <w:spacing w:after="0"/>
              <w:rPr>
                <w:sz w:val="20"/>
                <w:szCs w:val="20"/>
                <w:color w:val="auto"/>
              </w:rPr>
            </w:pPr>
            <w:r>
              <w:rPr>
                <w:rFonts w:ascii="Arial" w:cs="Arial" w:eastAsia="Arial" w:hAnsi="Arial"/>
                <w:sz w:val="16"/>
                <w:szCs w:val="16"/>
                <w:color w:val="auto"/>
                <w:w w:val="91"/>
              </w:rPr>
              <w:t>Common Stock, par value $0.01 per share</w:t>
            </w:r>
          </w:p>
        </w:tc>
        <w:tc>
          <w:tcPr>
            <w:tcW w:w="1780" w:type="dxa"/>
            <w:vAlign w:val="bottom"/>
            <w:gridSpan w:val="2"/>
          </w:tcPr>
          <w:p>
            <w:pPr>
              <w:jc w:val="center"/>
              <w:ind w:right="120"/>
              <w:spacing w:after="0"/>
              <w:rPr>
                <w:sz w:val="20"/>
                <w:szCs w:val="20"/>
                <w:color w:val="auto"/>
              </w:rPr>
            </w:pPr>
            <w:r>
              <w:rPr>
                <w:rFonts w:ascii="Arial" w:cs="Arial" w:eastAsia="Arial" w:hAnsi="Arial"/>
                <w:sz w:val="16"/>
                <w:szCs w:val="16"/>
                <w:color w:val="auto"/>
                <w:w w:val="93"/>
              </w:rPr>
              <w:t>EYE</w:t>
            </w:r>
          </w:p>
        </w:tc>
        <w:tc>
          <w:tcPr>
            <w:tcW w:w="3780" w:type="dxa"/>
            <w:vAlign w:val="bottom"/>
          </w:tcPr>
          <w:p>
            <w:pPr>
              <w:jc w:val="center"/>
              <w:spacing w:after="0"/>
              <w:rPr>
                <w:sz w:val="20"/>
                <w:szCs w:val="20"/>
                <w:color w:val="auto"/>
              </w:rPr>
            </w:pPr>
            <w:r>
              <w:rPr>
                <w:rFonts w:ascii="Arial" w:cs="Arial" w:eastAsia="Arial" w:hAnsi="Arial"/>
                <w:sz w:val="16"/>
                <w:szCs w:val="16"/>
                <w:color w:val="auto"/>
              </w:rPr>
              <w:t>NASDAQ</w:t>
            </w:r>
          </w:p>
        </w:tc>
      </w:tr>
    </w:tbl>
    <w:p>
      <w:pPr>
        <w:spacing w:after="0" w:line="172" w:lineRule="exact"/>
        <w:rPr>
          <w:sz w:val="24"/>
          <w:szCs w:val="24"/>
          <w:color w:val="auto"/>
        </w:rPr>
      </w:pPr>
    </w:p>
    <w:p>
      <w:pPr>
        <w:ind w:right="380"/>
        <w:spacing w:after="0" w:line="192"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 (d)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46" w:lineRule="exact"/>
        <w:rPr>
          <w:sz w:val="24"/>
          <w:szCs w:val="24"/>
          <w:color w:val="auto"/>
        </w:rPr>
      </w:pPr>
    </w:p>
    <w:p>
      <w:pPr>
        <w:ind w:right="400"/>
        <w:spacing w:after="0" w:line="200"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47" w:lineRule="exact"/>
        <w:rPr>
          <w:sz w:val="24"/>
          <w:szCs w:val="24"/>
          <w:color w:val="auto"/>
        </w:rPr>
      </w:pPr>
    </w:p>
    <w:p>
      <w:pPr>
        <w:ind w:right="120"/>
        <w:spacing w:after="0" w:line="243"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65" w:lineRule="exact"/>
        <w:rPr>
          <w:sz w:val="24"/>
          <w:szCs w:val="24"/>
          <w:color w:val="auto"/>
        </w:rPr>
      </w:pPr>
    </w:p>
    <w:tbl>
      <w:tblPr>
        <w:tblLayout w:type="fixed"/>
        <w:tblInd w:w="1800" w:type="dxa"/>
        <w:tblCellMar>
          <w:top w:w="0" w:type="dxa"/>
          <w:left w:w="0" w:type="dxa"/>
          <w:bottom w:w="0" w:type="dxa"/>
          <w:right w:w="0" w:type="dxa"/>
        </w:tblCellMar>
      </w:tblPr>
      <w:tr>
        <w:trPr>
          <w:trHeight w:val="237"/>
        </w:trPr>
        <w:tc>
          <w:tcPr>
            <w:tcW w:w="1680" w:type="dxa"/>
            <w:vAlign w:val="bottom"/>
          </w:tcPr>
          <w:p>
            <w:pPr>
              <w:jc w:val="center"/>
              <w:ind w:right="139"/>
              <w:spacing w:after="0"/>
              <w:rPr>
                <w:sz w:val="20"/>
                <w:szCs w:val="20"/>
                <w:color w:val="auto"/>
              </w:rPr>
            </w:pPr>
            <w:r>
              <w:rPr>
                <w:rFonts w:ascii="Arial" w:cs="Arial" w:eastAsia="Arial" w:hAnsi="Arial"/>
                <w:sz w:val="16"/>
                <w:szCs w:val="16"/>
                <w:color w:val="auto"/>
                <w:w w:val="92"/>
              </w:rPr>
              <w:t>Large accelerated filer</w:t>
            </w:r>
          </w:p>
        </w:tc>
        <w:tc>
          <w:tcPr>
            <w:tcW w:w="11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2720" w:type="dxa"/>
            <w:vAlign w:val="bottom"/>
          </w:tcPr>
          <w:p>
            <w:pPr>
              <w:jc w:val="center"/>
              <w:ind w:left="559"/>
              <w:spacing w:after="0"/>
              <w:rPr>
                <w:sz w:val="20"/>
                <w:szCs w:val="20"/>
                <w:color w:val="auto"/>
              </w:rPr>
            </w:pPr>
            <w:r>
              <w:rPr>
                <w:rFonts w:ascii="Arial" w:cs="Arial" w:eastAsia="Arial" w:hAnsi="Arial"/>
                <w:sz w:val="16"/>
                <w:szCs w:val="16"/>
                <w:color w:val="auto"/>
                <w:w w:val="94"/>
              </w:rPr>
              <w:t>Accelerated filer</w:t>
            </w:r>
          </w:p>
        </w:tc>
        <w:tc>
          <w:tcPr>
            <w:tcW w:w="300" w:type="dxa"/>
            <w:vAlign w:val="bottom"/>
          </w:tcPr>
          <w:p>
            <w:pPr>
              <w:ind w:left="14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56"/>
        </w:trPr>
        <w:tc>
          <w:tcPr>
            <w:tcW w:w="1680" w:type="dxa"/>
            <w:vAlign w:val="bottom"/>
          </w:tcPr>
          <w:p>
            <w:pPr>
              <w:jc w:val="center"/>
              <w:ind w:right="139"/>
              <w:spacing w:after="0"/>
              <w:rPr>
                <w:sz w:val="20"/>
                <w:szCs w:val="20"/>
                <w:color w:val="auto"/>
              </w:rPr>
            </w:pPr>
            <w:r>
              <w:rPr>
                <w:rFonts w:ascii="Arial" w:cs="Arial" w:eastAsia="Arial" w:hAnsi="Arial"/>
                <w:sz w:val="16"/>
                <w:szCs w:val="16"/>
                <w:color w:val="auto"/>
                <w:w w:val="93"/>
              </w:rPr>
              <w:t>Non-accelerated filer</w:t>
            </w:r>
          </w:p>
        </w:tc>
        <w:tc>
          <w:tcPr>
            <w:tcW w:w="1180" w:type="dxa"/>
            <w:vAlign w:val="bottom"/>
          </w:tcPr>
          <w:p>
            <w:pPr>
              <w:ind w:left="220"/>
              <w:spacing w:after="0" w:line="161" w:lineRule="exact"/>
              <w:rPr>
                <w:sz w:val="20"/>
                <w:szCs w:val="20"/>
                <w:color w:val="auto"/>
              </w:rPr>
            </w:pPr>
            <w:r>
              <w:rPr>
                <w:rFonts w:ascii="MS PGothic" w:cs="MS PGothic" w:eastAsia="MS PGothic" w:hAnsi="MS PGothic"/>
                <w:sz w:val="16"/>
                <w:szCs w:val="16"/>
                <w:color w:val="auto"/>
              </w:rPr>
              <w:t>☐</w:t>
            </w:r>
          </w:p>
        </w:tc>
        <w:tc>
          <w:tcPr>
            <w:tcW w:w="2720" w:type="dxa"/>
            <w:vAlign w:val="bottom"/>
          </w:tcPr>
          <w:p>
            <w:pPr>
              <w:jc w:val="center"/>
              <w:ind w:left="539"/>
              <w:spacing w:after="0"/>
              <w:rPr>
                <w:sz w:val="20"/>
                <w:szCs w:val="20"/>
                <w:color w:val="auto"/>
              </w:rPr>
            </w:pPr>
            <w:r>
              <w:rPr>
                <w:rFonts w:ascii="Arial" w:cs="Arial" w:eastAsia="Arial" w:hAnsi="Arial"/>
                <w:sz w:val="16"/>
                <w:szCs w:val="16"/>
                <w:color w:val="auto"/>
                <w:w w:val="93"/>
              </w:rPr>
              <w:t>Smaller reporting company</w:t>
            </w:r>
          </w:p>
        </w:tc>
        <w:tc>
          <w:tcPr>
            <w:tcW w:w="300" w:type="dxa"/>
            <w:vAlign w:val="bottom"/>
          </w:tcPr>
          <w:p>
            <w:pPr>
              <w:ind w:left="14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54"/>
        </w:trPr>
        <w:tc>
          <w:tcPr>
            <w:tcW w:w="16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2720" w:type="dxa"/>
            <w:vAlign w:val="bottom"/>
          </w:tcPr>
          <w:p>
            <w:pPr>
              <w:jc w:val="center"/>
              <w:ind w:left="539"/>
              <w:spacing w:after="0"/>
              <w:rPr>
                <w:sz w:val="20"/>
                <w:szCs w:val="20"/>
                <w:color w:val="auto"/>
              </w:rPr>
            </w:pPr>
            <w:r>
              <w:rPr>
                <w:rFonts w:ascii="Arial" w:cs="Arial" w:eastAsia="Arial" w:hAnsi="Arial"/>
                <w:sz w:val="16"/>
                <w:szCs w:val="16"/>
                <w:color w:val="auto"/>
                <w:w w:val="93"/>
              </w:rPr>
              <w:t>Emerging growth company</w:t>
            </w:r>
          </w:p>
        </w:tc>
        <w:tc>
          <w:tcPr>
            <w:tcW w:w="300" w:type="dxa"/>
            <w:vAlign w:val="bottom"/>
          </w:tcPr>
          <w:p>
            <w:pPr>
              <w:ind w:left="140"/>
              <w:spacing w:after="0" w:line="161" w:lineRule="exact"/>
              <w:rPr>
                <w:sz w:val="20"/>
                <w:szCs w:val="20"/>
                <w:color w:val="auto"/>
              </w:rPr>
            </w:pPr>
            <w:r>
              <w:rPr>
                <w:rFonts w:ascii="MS PGothic" w:cs="MS PGothic" w:eastAsia="MS PGothic" w:hAnsi="MS PGothic"/>
                <w:sz w:val="16"/>
                <w:szCs w:val="16"/>
                <w:color w:val="auto"/>
                <w:w w:val="87"/>
              </w:rPr>
              <w:t>☐</w:t>
            </w:r>
          </w:p>
        </w:tc>
      </w:tr>
    </w:tbl>
    <w:p>
      <w:pPr>
        <w:spacing w:after="0" w:line="73" w:lineRule="exact"/>
        <w:rPr>
          <w:sz w:val="24"/>
          <w:szCs w:val="24"/>
          <w:color w:val="auto"/>
        </w:rPr>
      </w:pPr>
    </w:p>
    <w:p>
      <w:pPr>
        <w:ind w:right="580"/>
        <w:spacing w:after="0" w:line="200"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 w:lineRule="exact"/>
        <w:rPr>
          <w:sz w:val="24"/>
          <w:szCs w:val="24"/>
          <w:color w:val="auto"/>
        </w:rPr>
      </w:pPr>
    </w:p>
    <w:p>
      <w:pPr>
        <w:ind w:right="2860"/>
        <w:spacing w:after="0" w:line="234"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r>
        <w:rPr>
          <w:rFonts w:ascii="Arial" w:cs="Arial" w:eastAsia="Arial" w:hAnsi="Arial"/>
          <w:sz w:val="14"/>
          <w:szCs w:val="14"/>
          <w:color w:val="auto"/>
        </w:rPr>
        <w:t xml:space="preserve"> Indicate the number of shares outstanding of each of the issuer’s classes of common stock, as of the latest practicable date.</w:t>
      </w:r>
    </w:p>
    <w:p>
      <w:pPr>
        <w:spacing w:after="0" w:line="115" w:lineRule="exact"/>
        <w:rPr>
          <w:sz w:val="24"/>
          <w:szCs w:val="24"/>
          <w:color w:val="auto"/>
        </w:rPr>
      </w:pPr>
    </w:p>
    <w:tbl>
      <w:tblPr>
        <w:tblLayout w:type="fixed"/>
        <w:tblInd w:w="0" w:type="dxa"/>
        <w:tblCellMar>
          <w:top w:w="0" w:type="dxa"/>
          <w:left w:w="0" w:type="dxa"/>
          <w:bottom w:w="0" w:type="dxa"/>
          <w:right w:w="0" w:type="dxa"/>
        </w:tblCellMar>
      </w:tblPr>
      <w:tr>
        <w:trPr>
          <w:trHeight w:val="213"/>
        </w:trPr>
        <w:tc>
          <w:tcPr>
            <w:tcW w:w="49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Class</w:t>
            </w:r>
          </w:p>
        </w:tc>
        <w:tc>
          <w:tcPr>
            <w:tcW w:w="1420" w:type="dxa"/>
            <w:vAlign w:val="bottom"/>
          </w:tcPr>
          <w:p>
            <w:pPr>
              <w:spacing w:after="0"/>
              <w:rPr>
                <w:sz w:val="18"/>
                <w:szCs w:val="18"/>
                <w:color w:val="auto"/>
              </w:rPr>
            </w:pPr>
          </w:p>
        </w:tc>
        <w:tc>
          <w:tcPr>
            <w:tcW w:w="49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Outstanding at July 30, 2021</w:t>
            </w:r>
          </w:p>
        </w:tc>
      </w:tr>
      <w:tr>
        <w:trPr>
          <w:trHeight w:val="206"/>
        </w:trPr>
        <w:tc>
          <w:tcPr>
            <w:tcW w:w="6320" w:type="dxa"/>
            <w:vAlign w:val="bottom"/>
            <w:gridSpan w:val="2"/>
          </w:tcPr>
          <w:p>
            <w:pPr>
              <w:ind w:left="20"/>
              <w:spacing w:after="0"/>
              <w:rPr>
                <w:sz w:val="20"/>
                <w:szCs w:val="20"/>
                <w:color w:val="auto"/>
              </w:rPr>
            </w:pPr>
            <w:r>
              <w:rPr>
                <w:rFonts w:ascii="Arial" w:cs="Arial" w:eastAsia="Arial" w:hAnsi="Arial"/>
                <w:sz w:val="16"/>
                <w:szCs w:val="16"/>
                <w:color w:val="auto"/>
              </w:rPr>
              <w:t>Common stock, $0.01 par value</w:t>
            </w:r>
          </w:p>
        </w:tc>
        <w:tc>
          <w:tcPr>
            <w:tcW w:w="4920" w:type="dxa"/>
            <w:vAlign w:val="bottom"/>
          </w:tcPr>
          <w:p>
            <w:pPr>
              <w:ind w:left="20"/>
              <w:spacing w:after="0"/>
              <w:rPr>
                <w:sz w:val="20"/>
                <w:szCs w:val="20"/>
                <w:color w:val="auto"/>
              </w:rPr>
            </w:pPr>
            <w:r>
              <w:rPr>
                <w:rFonts w:ascii="Arial" w:cs="Arial" w:eastAsia="Arial" w:hAnsi="Arial"/>
                <w:sz w:val="16"/>
                <w:szCs w:val="16"/>
                <w:color w:val="auto"/>
              </w:rPr>
              <w:t>81,875,123</w:t>
            </w:r>
          </w:p>
        </w:tc>
      </w:tr>
      <w:tr>
        <w:trPr>
          <w:trHeight w:val="128"/>
        </w:trPr>
        <w:tc>
          <w:tcPr>
            <w:tcW w:w="4900" w:type="dxa"/>
            <w:vAlign w:val="bottom"/>
            <w:tcBorders>
              <w:bottom w:val="single" w:sz="8" w:color="auto"/>
            </w:tcBorders>
          </w:tcPr>
          <w:p>
            <w:pPr>
              <w:spacing w:after="0"/>
              <w:rPr>
                <w:sz w:val="11"/>
                <w:szCs w:val="11"/>
                <w:color w:val="auto"/>
              </w:rPr>
            </w:pPr>
          </w:p>
        </w:tc>
        <w:tc>
          <w:tcPr>
            <w:tcW w:w="1420" w:type="dxa"/>
            <w:vAlign w:val="bottom"/>
            <w:tcBorders>
              <w:bottom w:val="single" w:sz="8" w:color="auto"/>
            </w:tcBorders>
          </w:tcPr>
          <w:p>
            <w:pPr>
              <w:spacing w:after="0"/>
              <w:rPr>
                <w:sz w:val="11"/>
                <w:szCs w:val="11"/>
                <w:color w:val="auto"/>
              </w:rPr>
            </w:pPr>
          </w:p>
        </w:tc>
        <w:tc>
          <w:tcPr>
            <w:tcW w:w="4920" w:type="dxa"/>
            <w:vAlign w:val="bottom"/>
            <w:tcBorders>
              <w:bottom w:val="single" w:sz="8" w:color="auto"/>
            </w:tcBorders>
          </w:tcPr>
          <w:p>
            <w:pPr>
              <w:spacing w:after="0"/>
              <w:rPr>
                <w:sz w:val="11"/>
                <w:szCs w:val="11"/>
                <w:color w:val="auto"/>
              </w:rPr>
            </w:pPr>
          </w:p>
        </w:tc>
      </w:tr>
      <w:tr>
        <w:trPr>
          <w:trHeight w:val="41"/>
        </w:trPr>
        <w:tc>
          <w:tcPr>
            <w:tcW w:w="490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4920" w:type="dxa"/>
            <w:vAlign w:val="bottom"/>
            <w:tcBorders>
              <w:bottom w:val="single" w:sz="8" w:color="auto"/>
            </w:tcBorders>
          </w:tcPr>
          <w:p>
            <w:pPr>
              <w:spacing w:after="0"/>
              <w:rPr>
                <w:sz w:val="3"/>
                <w:szCs w:val="3"/>
                <w:color w:val="auto"/>
              </w:rPr>
            </w:pPr>
          </w:p>
        </w:tc>
      </w:tr>
      <w:tr>
        <w:trPr>
          <w:trHeight w:val="844"/>
        </w:trPr>
        <w:tc>
          <w:tcPr>
            <w:tcW w:w="490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c>
          <w:tcPr>
            <w:tcW w:w="492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70" w:right="339" w:bottom="1440" w:gutter="0" w:footer="0" w:header="0"/>
        </w:sectPr>
      </w:pPr>
    </w:p>
    <w:bookmarkStart w:id="1" w:name="page2"/>
    <w:bookmarkEnd w:id="1"/>
    <w:p>
      <w:pPr>
        <w:jc w:val="center"/>
        <w:spacing w:after="0"/>
        <w:rPr>
          <w:sz w:val="20"/>
          <w:szCs w:val="20"/>
          <w:color w:val="auto"/>
        </w:rPr>
      </w:pPr>
      <w:r>
        <w:rPr>
          <w:rFonts w:ascii="Arial" w:cs="Arial" w:eastAsia="Arial" w:hAnsi="Arial"/>
          <w:sz w:val="20"/>
          <w:szCs w:val="20"/>
          <w:b w:val="1"/>
          <w:bCs w:val="1"/>
          <w:color w:val="auto"/>
        </w:rPr>
        <w:t>NATIONAL VISION HOLDINGS, INC. AND SUBSIDIARIES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Table of Contents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740" w:type="dxa"/>
            <w:vAlign w:val="bottom"/>
            <w:gridSpan w:val="3"/>
          </w:tcPr>
          <w:p>
            <w:pPr>
              <w:spacing w:after="0"/>
              <w:rPr>
                <w:sz w:val="20"/>
                <w:szCs w:val="20"/>
                <w:color w:val="auto"/>
              </w:rPr>
            </w:pPr>
            <w:r>
              <w:rPr>
                <w:rFonts w:ascii="Arial" w:cs="Arial" w:eastAsia="Arial" w:hAnsi="Arial"/>
                <w:sz w:val="18"/>
                <w:szCs w:val="18"/>
                <w:color w:val="auto"/>
              </w:rPr>
              <w:t>Page</w:t>
            </w:r>
          </w:p>
        </w:tc>
      </w:tr>
      <w:tr>
        <w:trPr>
          <w:trHeight w:val="230"/>
        </w:trPr>
        <w:tc>
          <w:tcPr>
            <w:tcW w:w="180" w:type="dxa"/>
            <w:vAlign w:val="bottom"/>
          </w:tcPr>
          <w:p>
            <w:pPr>
              <w:spacing w:after="0"/>
              <w:rPr>
                <w:sz w:val="19"/>
                <w:szCs w:val="19"/>
                <w:color w:val="auto"/>
              </w:rPr>
            </w:pPr>
          </w:p>
        </w:tc>
        <w:tc>
          <w:tcPr>
            <w:tcW w:w="10320" w:type="dxa"/>
            <w:vAlign w:val="bottom"/>
            <w:gridSpan w:val="22"/>
          </w:tcPr>
          <w:p>
            <w:pPr>
              <w:spacing w:after="0"/>
              <w:rPr>
                <w:rFonts w:ascii="Arial" w:cs="Arial" w:eastAsia="Arial" w:hAnsi="Arial"/>
                <w:sz w:val="18"/>
                <w:szCs w:val="18"/>
                <w:color w:val="0000FF"/>
              </w:rPr>
            </w:pPr>
            <w:hyperlink w:anchor="page2">
              <w:r>
                <w:rPr>
                  <w:rFonts w:ascii="Arial" w:cs="Arial" w:eastAsia="Arial" w:hAnsi="Arial"/>
                  <w:sz w:val="18"/>
                  <w:szCs w:val="18"/>
                  <w:color w:val="0000FF"/>
                </w:rPr>
                <w:t>SPECIAL NOTE REGARDING FORWARD-LOOKING STATEMENTS</w:t>
              </w:r>
            </w:hyperlink>
          </w:p>
        </w:tc>
        <w:tc>
          <w:tcPr>
            <w:tcW w:w="180" w:type="dxa"/>
            <w:vAlign w:val="bottom"/>
            <w:gridSpan w:val="2"/>
          </w:tcPr>
          <w:p>
            <w:pPr>
              <w:spacing w:after="0"/>
              <w:rPr>
                <w:rFonts w:ascii="Arial" w:cs="Arial" w:eastAsia="Arial" w:hAnsi="Arial"/>
                <w:sz w:val="18"/>
                <w:szCs w:val="18"/>
                <w:color w:val="0000FF"/>
              </w:rPr>
            </w:pPr>
            <w:hyperlink w:anchor="page2">
              <w:r>
                <w:rPr>
                  <w:rFonts w:ascii="Arial" w:cs="Arial" w:eastAsia="Arial" w:hAnsi="Arial"/>
                  <w:sz w:val="18"/>
                  <w:szCs w:val="18"/>
                  <w:color w:val="0000FF"/>
                </w:rPr>
                <w:t>3</w:t>
              </w:r>
            </w:hyperlink>
          </w:p>
        </w:tc>
        <w:tc>
          <w:tcPr>
            <w:tcW w:w="560" w:type="dxa"/>
            <w:vAlign w:val="bottom"/>
          </w:tcPr>
          <w:p>
            <w:pPr>
              <w:spacing w:after="0"/>
              <w:rPr>
                <w:sz w:val="19"/>
                <w:szCs w:val="19"/>
                <w:color w:val="auto"/>
              </w:rPr>
            </w:pPr>
          </w:p>
        </w:tc>
      </w:tr>
      <w:tr>
        <w:trPr>
          <w:trHeight w:val="250"/>
        </w:trPr>
        <w:tc>
          <w:tcPr>
            <w:tcW w:w="180" w:type="dxa"/>
            <w:vAlign w:val="bottom"/>
          </w:tcPr>
          <w:p>
            <w:pPr>
              <w:spacing w:after="0"/>
              <w:rPr>
                <w:sz w:val="21"/>
                <w:szCs w:val="21"/>
                <w:color w:val="auto"/>
              </w:rPr>
            </w:pPr>
          </w:p>
        </w:tc>
        <w:tc>
          <w:tcPr>
            <w:tcW w:w="2160" w:type="dxa"/>
            <w:vAlign w:val="bottom"/>
            <w:tcBorders>
              <w:top w:val="single" w:sz="8" w:color="0000FF"/>
              <w:bottom w:val="single" w:sz="8" w:color="0000FF"/>
            </w:tcBorders>
            <w:gridSpan w:val="8"/>
          </w:tcPr>
          <w:p>
            <w:pPr>
              <w:spacing w:after="0"/>
              <w:rPr>
                <w:rFonts w:ascii="Arial" w:cs="Arial" w:eastAsia="Arial" w:hAnsi="Arial"/>
                <w:sz w:val="18"/>
                <w:szCs w:val="18"/>
                <w:color w:val="0000FF"/>
                <w:w w:val="92"/>
              </w:rPr>
            </w:pPr>
            <w:hyperlink w:anchor="page4">
              <w:r>
                <w:rPr>
                  <w:rFonts w:ascii="Arial" w:cs="Arial" w:eastAsia="Arial" w:hAnsi="Arial"/>
                  <w:sz w:val="18"/>
                  <w:szCs w:val="18"/>
                  <w:color w:val="0000FF"/>
                  <w:w w:val="92"/>
                </w:rPr>
                <w:t>Part I – Financial Information</w:t>
              </w:r>
            </w:hyperlink>
          </w:p>
        </w:tc>
        <w:tc>
          <w:tcPr>
            <w:tcW w:w="3180" w:type="dxa"/>
            <w:vAlign w:val="bottom"/>
            <w:tcBorders>
              <w:top w:val="single" w:sz="8" w:color="0000FF"/>
            </w:tcBorders>
            <w:gridSpan w:val="8"/>
          </w:tcPr>
          <w:p>
            <w:pPr>
              <w:spacing w:after="0"/>
              <w:rPr>
                <w:sz w:val="21"/>
                <w:szCs w:val="21"/>
                <w:color w:val="auto"/>
              </w:rPr>
            </w:pPr>
          </w:p>
        </w:tc>
        <w:tc>
          <w:tcPr>
            <w:tcW w:w="4980" w:type="dxa"/>
            <w:vAlign w:val="bottom"/>
            <w:gridSpan w:val="6"/>
          </w:tcPr>
          <w:p>
            <w:pPr>
              <w:spacing w:after="0"/>
              <w:rPr>
                <w:sz w:val="21"/>
                <w:szCs w:val="21"/>
                <w:color w:val="auto"/>
              </w:rPr>
            </w:pPr>
          </w:p>
        </w:tc>
        <w:tc>
          <w:tcPr>
            <w:tcW w:w="100" w:type="dxa"/>
            <w:vAlign w:val="bottom"/>
            <w:tcBorders>
              <w:top w:val="single" w:sz="8" w:color="0000FF"/>
              <w:bottom w:val="single" w:sz="8" w:color="0000FF"/>
            </w:tcBorders>
          </w:tcPr>
          <w:p>
            <w:pPr>
              <w:spacing w:after="0"/>
              <w:rPr>
                <w:rFonts w:ascii="Arial" w:cs="Arial" w:eastAsia="Arial" w:hAnsi="Arial"/>
                <w:sz w:val="18"/>
                <w:szCs w:val="18"/>
                <w:color w:val="0000FF"/>
                <w:w w:val="79"/>
              </w:rPr>
            </w:pPr>
            <w:hyperlink w:anchor="page4">
              <w:r>
                <w:rPr>
                  <w:rFonts w:ascii="Arial" w:cs="Arial" w:eastAsia="Arial" w:hAnsi="Arial"/>
                  <w:sz w:val="18"/>
                  <w:szCs w:val="18"/>
                  <w:color w:val="0000FF"/>
                  <w:w w:val="79"/>
                </w:rPr>
                <w:t>5</w:t>
              </w:r>
            </w:hyperlink>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r>
      <w:tr>
        <w:trPr>
          <w:trHeight w:val="250"/>
        </w:trPr>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40" w:type="dxa"/>
            <w:vAlign w:val="bottom"/>
            <w:gridSpan w:val="3"/>
          </w:tcPr>
          <w:p>
            <w:pPr>
              <w:spacing w:after="0"/>
              <w:rPr>
                <w:rFonts w:ascii="Arial" w:cs="Arial" w:eastAsia="Arial" w:hAnsi="Arial"/>
                <w:sz w:val="18"/>
                <w:szCs w:val="18"/>
                <w:color w:val="0000FF"/>
              </w:rPr>
            </w:pPr>
            <w:hyperlink w:anchor="page5">
              <w:r>
                <w:rPr>
                  <w:rFonts w:ascii="Arial" w:cs="Arial" w:eastAsia="Arial" w:hAnsi="Arial"/>
                  <w:sz w:val="18"/>
                  <w:szCs w:val="18"/>
                  <w:color w:val="0000FF"/>
                </w:rPr>
                <w:t>Item 1.</w:t>
              </w:r>
            </w:hyperlink>
          </w:p>
        </w:tc>
        <w:tc>
          <w:tcPr>
            <w:tcW w:w="8920" w:type="dxa"/>
            <w:vAlign w:val="bottom"/>
            <w:gridSpan w:val="18"/>
          </w:tcPr>
          <w:p>
            <w:pPr>
              <w:spacing w:after="0"/>
              <w:rPr>
                <w:rFonts w:ascii="Arial" w:cs="Arial" w:eastAsia="Arial" w:hAnsi="Arial"/>
                <w:sz w:val="18"/>
                <w:szCs w:val="18"/>
                <w:color w:val="0000FF"/>
              </w:rPr>
            </w:pPr>
            <w:hyperlink w:anchor="page5">
              <w:r>
                <w:rPr>
                  <w:rFonts w:ascii="Arial" w:cs="Arial" w:eastAsia="Arial" w:hAnsi="Arial"/>
                  <w:sz w:val="18"/>
                  <w:szCs w:val="18"/>
                  <w:color w:val="0000FF"/>
                </w:rPr>
                <w:t>Financial Statements (Unaudited)</w:t>
              </w:r>
            </w:hyperlink>
          </w:p>
        </w:tc>
        <w:tc>
          <w:tcPr>
            <w:tcW w:w="180" w:type="dxa"/>
            <w:vAlign w:val="bottom"/>
            <w:gridSpan w:val="2"/>
          </w:tcPr>
          <w:p>
            <w:pPr>
              <w:spacing w:after="0"/>
              <w:rPr>
                <w:rFonts w:ascii="Arial" w:cs="Arial" w:eastAsia="Arial" w:hAnsi="Arial"/>
                <w:sz w:val="18"/>
                <w:szCs w:val="18"/>
                <w:color w:val="0000FF"/>
              </w:rPr>
            </w:pPr>
            <w:hyperlink w:anchor="page5">
              <w:r>
                <w:rPr>
                  <w:rFonts w:ascii="Arial" w:cs="Arial" w:eastAsia="Arial" w:hAnsi="Arial"/>
                  <w:sz w:val="18"/>
                  <w:szCs w:val="18"/>
                  <w:color w:val="0000FF"/>
                </w:rPr>
                <w:t>5</w:t>
              </w:r>
            </w:hyperlink>
          </w:p>
        </w:tc>
        <w:tc>
          <w:tcPr>
            <w:tcW w:w="560" w:type="dxa"/>
            <w:vAlign w:val="bottom"/>
          </w:tcPr>
          <w:p>
            <w:pPr>
              <w:spacing w:after="0"/>
              <w:rPr>
                <w:sz w:val="21"/>
                <w:szCs w:val="21"/>
                <w:color w:val="auto"/>
              </w:rPr>
            </w:pPr>
          </w:p>
        </w:tc>
      </w:tr>
      <w:tr>
        <w:trPr>
          <w:trHeight w:val="20"/>
        </w:trPr>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50"/>
        </w:trPr>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940" w:type="dxa"/>
            <w:vAlign w:val="bottom"/>
            <w:tcBorders>
              <w:bottom w:val="single" w:sz="8" w:color="0000FF"/>
            </w:tcBorders>
            <w:gridSpan w:val="10"/>
          </w:tcPr>
          <w:p>
            <w:pPr>
              <w:spacing w:after="0"/>
              <w:rPr>
                <w:rFonts w:ascii="Arial" w:cs="Arial" w:eastAsia="Arial" w:hAnsi="Arial"/>
                <w:sz w:val="18"/>
                <w:szCs w:val="18"/>
                <w:color w:val="0000FF"/>
                <w:w w:val="87"/>
              </w:rPr>
            </w:pPr>
            <w:hyperlink w:anchor="page5">
              <w:r>
                <w:rPr>
                  <w:rFonts w:ascii="Arial" w:cs="Arial" w:eastAsia="Arial" w:hAnsi="Arial"/>
                  <w:sz w:val="18"/>
                  <w:szCs w:val="18"/>
                  <w:color w:val="0000FF"/>
                  <w:w w:val="87"/>
                </w:rPr>
                <w:t>Condensed Consolidated Balance Sheets</w:t>
              </w:r>
            </w:hyperlink>
          </w:p>
        </w:tc>
        <w:tc>
          <w:tcPr>
            <w:tcW w:w="5980" w:type="dxa"/>
            <w:vAlign w:val="bottom"/>
            <w:gridSpan w:val="8"/>
          </w:tcPr>
          <w:p>
            <w:pPr>
              <w:spacing w:after="0"/>
              <w:rPr>
                <w:sz w:val="21"/>
                <w:szCs w:val="21"/>
                <w:color w:val="auto"/>
              </w:rPr>
            </w:pPr>
          </w:p>
        </w:tc>
        <w:tc>
          <w:tcPr>
            <w:tcW w:w="100" w:type="dxa"/>
            <w:vAlign w:val="bottom"/>
            <w:tcBorders>
              <w:bottom w:val="single" w:sz="8" w:color="0000FF"/>
            </w:tcBorders>
          </w:tcPr>
          <w:p>
            <w:pPr>
              <w:spacing w:after="0"/>
              <w:rPr>
                <w:rFonts w:ascii="Arial" w:cs="Arial" w:eastAsia="Arial" w:hAnsi="Arial"/>
                <w:sz w:val="18"/>
                <w:szCs w:val="18"/>
                <w:color w:val="0000FF"/>
                <w:w w:val="79"/>
              </w:rPr>
            </w:pPr>
            <w:hyperlink w:anchor="page5">
              <w:r>
                <w:rPr>
                  <w:rFonts w:ascii="Arial" w:cs="Arial" w:eastAsia="Arial" w:hAnsi="Arial"/>
                  <w:sz w:val="18"/>
                  <w:szCs w:val="18"/>
                  <w:color w:val="0000FF"/>
                  <w:w w:val="79"/>
                </w:rPr>
                <w:t>5</w:t>
              </w:r>
            </w:hyperlink>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r>
      <w:tr>
        <w:trPr>
          <w:trHeight w:val="250"/>
        </w:trPr>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720" w:type="dxa"/>
            <w:vAlign w:val="bottom"/>
            <w:tcBorders>
              <w:bottom w:val="single" w:sz="8" w:color="0000FF"/>
            </w:tcBorders>
            <w:gridSpan w:val="16"/>
          </w:tcPr>
          <w:p>
            <w:pPr>
              <w:spacing w:after="0"/>
              <w:rPr>
                <w:rFonts w:ascii="Arial" w:cs="Arial" w:eastAsia="Arial" w:hAnsi="Arial"/>
                <w:sz w:val="18"/>
                <w:szCs w:val="18"/>
                <w:color w:val="0000FF"/>
                <w:w w:val="88"/>
              </w:rPr>
            </w:pPr>
            <w:hyperlink w:anchor="page5">
              <w:r>
                <w:rPr>
                  <w:rFonts w:ascii="Arial" w:cs="Arial" w:eastAsia="Arial" w:hAnsi="Arial"/>
                  <w:sz w:val="18"/>
                  <w:szCs w:val="18"/>
                  <w:color w:val="0000FF"/>
                  <w:w w:val="88"/>
                </w:rPr>
                <w:t>Condensed Consolidated Statements of Operations and Comprehensive Income</w:t>
              </w:r>
            </w:hyperlink>
          </w:p>
        </w:tc>
        <w:tc>
          <w:tcPr>
            <w:tcW w:w="3200" w:type="dxa"/>
            <w:vAlign w:val="bottom"/>
            <w:gridSpan w:val="2"/>
          </w:tcPr>
          <w:p>
            <w:pPr>
              <w:spacing w:after="0"/>
              <w:rPr>
                <w:sz w:val="21"/>
                <w:szCs w:val="21"/>
                <w:color w:val="auto"/>
              </w:rPr>
            </w:pPr>
          </w:p>
        </w:tc>
        <w:tc>
          <w:tcPr>
            <w:tcW w:w="100" w:type="dxa"/>
            <w:vAlign w:val="bottom"/>
            <w:tcBorders>
              <w:bottom w:val="single" w:sz="8" w:color="0000FF"/>
            </w:tcBorders>
          </w:tcPr>
          <w:p>
            <w:pPr>
              <w:spacing w:after="0"/>
              <w:rPr>
                <w:rFonts w:ascii="Arial" w:cs="Arial" w:eastAsia="Arial" w:hAnsi="Arial"/>
                <w:sz w:val="18"/>
                <w:szCs w:val="18"/>
                <w:color w:val="0000FF"/>
                <w:w w:val="79"/>
              </w:rPr>
            </w:pPr>
            <w:hyperlink w:anchor="page5">
              <w:r>
                <w:rPr>
                  <w:rFonts w:ascii="Arial" w:cs="Arial" w:eastAsia="Arial" w:hAnsi="Arial"/>
                  <w:sz w:val="18"/>
                  <w:szCs w:val="18"/>
                  <w:color w:val="0000FF"/>
                  <w:w w:val="79"/>
                </w:rPr>
                <w:t>6</w:t>
              </w:r>
            </w:hyperlink>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r>
      <w:tr>
        <w:trPr>
          <w:trHeight w:val="250"/>
        </w:trPr>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400" w:type="dxa"/>
            <w:vAlign w:val="bottom"/>
            <w:tcBorders>
              <w:bottom w:val="single" w:sz="8" w:color="0000FF"/>
            </w:tcBorders>
            <w:gridSpan w:val="15"/>
          </w:tcPr>
          <w:p>
            <w:pPr>
              <w:spacing w:after="0"/>
              <w:rPr>
                <w:rFonts w:ascii="Arial" w:cs="Arial" w:eastAsia="Arial" w:hAnsi="Arial"/>
                <w:sz w:val="18"/>
                <w:szCs w:val="18"/>
                <w:color w:val="0000FF"/>
                <w:w w:val="90"/>
              </w:rPr>
            </w:pPr>
            <w:hyperlink w:anchor="page6">
              <w:r>
                <w:rPr>
                  <w:rFonts w:ascii="Arial" w:cs="Arial" w:eastAsia="Arial" w:hAnsi="Arial"/>
                  <w:sz w:val="18"/>
                  <w:szCs w:val="18"/>
                  <w:color w:val="0000FF"/>
                  <w:w w:val="90"/>
                </w:rPr>
                <w:t>Condensed Consolidated Statements of Stockholders’ Equity</w:t>
              </w:r>
            </w:hyperlink>
          </w:p>
        </w:tc>
        <w:tc>
          <w:tcPr>
            <w:tcW w:w="4520" w:type="dxa"/>
            <w:vAlign w:val="bottom"/>
            <w:gridSpan w:val="3"/>
          </w:tcPr>
          <w:p>
            <w:pPr>
              <w:spacing w:after="0"/>
              <w:rPr>
                <w:sz w:val="21"/>
                <w:szCs w:val="21"/>
                <w:color w:val="auto"/>
              </w:rPr>
            </w:pPr>
          </w:p>
        </w:tc>
        <w:tc>
          <w:tcPr>
            <w:tcW w:w="100" w:type="dxa"/>
            <w:vAlign w:val="bottom"/>
            <w:tcBorders>
              <w:bottom w:val="single" w:sz="8" w:color="0000FF"/>
            </w:tcBorders>
          </w:tcPr>
          <w:p>
            <w:pPr>
              <w:spacing w:after="0"/>
              <w:rPr>
                <w:rFonts w:ascii="Arial" w:cs="Arial" w:eastAsia="Arial" w:hAnsi="Arial"/>
                <w:sz w:val="18"/>
                <w:szCs w:val="18"/>
                <w:color w:val="0000FF"/>
                <w:w w:val="79"/>
              </w:rPr>
            </w:pPr>
            <w:hyperlink w:anchor="page6">
              <w:r>
                <w:rPr>
                  <w:rFonts w:ascii="Arial" w:cs="Arial" w:eastAsia="Arial" w:hAnsi="Arial"/>
                  <w:sz w:val="18"/>
                  <w:szCs w:val="18"/>
                  <w:color w:val="0000FF"/>
                  <w:w w:val="79"/>
                </w:rPr>
                <w:t>7</w:t>
              </w:r>
            </w:hyperlink>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r>
      <w:tr>
        <w:trPr>
          <w:trHeight w:val="250"/>
        </w:trPr>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720" w:type="dxa"/>
            <w:vAlign w:val="bottom"/>
            <w:tcBorders>
              <w:bottom w:val="single" w:sz="8" w:color="0000FF"/>
            </w:tcBorders>
            <w:gridSpan w:val="11"/>
          </w:tcPr>
          <w:p>
            <w:pPr>
              <w:spacing w:after="0"/>
              <w:rPr>
                <w:rFonts w:ascii="Arial" w:cs="Arial" w:eastAsia="Arial" w:hAnsi="Arial"/>
                <w:sz w:val="18"/>
                <w:szCs w:val="18"/>
                <w:color w:val="0000FF"/>
                <w:w w:val="88"/>
              </w:rPr>
            </w:pPr>
            <w:hyperlink w:anchor="page8">
              <w:r>
                <w:rPr>
                  <w:rFonts w:ascii="Arial" w:cs="Arial" w:eastAsia="Arial" w:hAnsi="Arial"/>
                  <w:sz w:val="18"/>
                  <w:szCs w:val="18"/>
                  <w:color w:val="0000FF"/>
                  <w:w w:val="88"/>
                </w:rPr>
                <w:t>Condensed Consolidated Statements of Cash Flows</w:t>
              </w:r>
            </w:hyperlink>
          </w:p>
        </w:tc>
        <w:tc>
          <w:tcPr>
            <w:tcW w:w="5200" w:type="dxa"/>
            <w:vAlign w:val="bottom"/>
            <w:gridSpan w:val="7"/>
          </w:tcPr>
          <w:p>
            <w:pPr>
              <w:spacing w:after="0"/>
              <w:rPr>
                <w:sz w:val="21"/>
                <w:szCs w:val="21"/>
                <w:color w:val="auto"/>
              </w:rPr>
            </w:pPr>
          </w:p>
        </w:tc>
        <w:tc>
          <w:tcPr>
            <w:tcW w:w="100" w:type="dxa"/>
            <w:vAlign w:val="bottom"/>
            <w:tcBorders>
              <w:bottom w:val="single" w:sz="8" w:color="0000FF"/>
            </w:tcBorders>
          </w:tcPr>
          <w:p>
            <w:pPr>
              <w:spacing w:after="0"/>
              <w:rPr>
                <w:rFonts w:ascii="Arial" w:cs="Arial" w:eastAsia="Arial" w:hAnsi="Arial"/>
                <w:sz w:val="18"/>
                <w:szCs w:val="18"/>
                <w:color w:val="0000FF"/>
                <w:w w:val="79"/>
              </w:rPr>
            </w:pPr>
            <w:hyperlink w:anchor="page8">
              <w:r>
                <w:rPr>
                  <w:rFonts w:ascii="Arial" w:cs="Arial" w:eastAsia="Arial" w:hAnsi="Arial"/>
                  <w:sz w:val="18"/>
                  <w:szCs w:val="18"/>
                  <w:color w:val="0000FF"/>
                  <w:w w:val="79"/>
                </w:rPr>
                <w:t>9</w:t>
              </w:r>
            </w:hyperlink>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r>
      <w:tr>
        <w:trPr>
          <w:trHeight w:val="250"/>
        </w:trPr>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000" w:type="dxa"/>
            <w:vAlign w:val="bottom"/>
            <w:tcBorders>
              <w:bottom w:val="single" w:sz="8" w:color="0000FF"/>
            </w:tcBorders>
            <w:gridSpan w:val="13"/>
          </w:tcPr>
          <w:p>
            <w:pPr>
              <w:spacing w:after="0"/>
              <w:rPr>
                <w:rFonts w:ascii="Arial" w:cs="Arial" w:eastAsia="Arial" w:hAnsi="Arial"/>
                <w:sz w:val="18"/>
                <w:szCs w:val="18"/>
                <w:color w:val="0000FF"/>
                <w:w w:val="88"/>
              </w:rPr>
            </w:pPr>
            <w:hyperlink w:anchor="page9">
              <w:r>
                <w:rPr>
                  <w:rFonts w:ascii="Arial" w:cs="Arial" w:eastAsia="Arial" w:hAnsi="Arial"/>
                  <w:sz w:val="18"/>
                  <w:szCs w:val="18"/>
                  <w:color w:val="0000FF"/>
                  <w:w w:val="88"/>
                </w:rPr>
                <w:t>Notes to Condensed Consolidated Financial Statements</w:t>
              </w:r>
            </w:hyperlink>
          </w:p>
        </w:tc>
        <w:tc>
          <w:tcPr>
            <w:tcW w:w="4920" w:type="dxa"/>
            <w:vAlign w:val="bottom"/>
            <w:gridSpan w:val="5"/>
          </w:tcPr>
          <w:p>
            <w:pPr>
              <w:spacing w:after="0"/>
              <w:rPr>
                <w:sz w:val="21"/>
                <w:szCs w:val="21"/>
                <w:color w:val="auto"/>
              </w:rPr>
            </w:pPr>
          </w:p>
        </w:tc>
        <w:tc>
          <w:tcPr>
            <w:tcW w:w="180" w:type="dxa"/>
            <w:vAlign w:val="bottom"/>
            <w:tcBorders>
              <w:bottom w:val="single" w:sz="8" w:color="0000FF"/>
            </w:tcBorders>
            <w:gridSpan w:val="2"/>
          </w:tcPr>
          <w:p>
            <w:pPr>
              <w:spacing w:after="0"/>
              <w:rPr>
                <w:rFonts w:ascii="Arial" w:cs="Arial" w:eastAsia="Arial" w:hAnsi="Arial"/>
                <w:sz w:val="18"/>
                <w:szCs w:val="18"/>
                <w:color w:val="0000FF"/>
                <w:w w:val="79"/>
              </w:rPr>
            </w:pPr>
            <w:hyperlink w:anchor="page9">
              <w:r>
                <w:rPr>
                  <w:rFonts w:ascii="Arial" w:cs="Arial" w:eastAsia="Arial" w:hAnsi="Arial"/>
                  <w:sz w:val="18"/>
                  <w:szCs w:val="18"/>
                  <w:color w:val="0000FF"/>
                  <w:w w:val="79"/>
                </w:rPr>
                <w:t>10</w:t>
              </w:r>
            </w:hyperlink>
          </w:p>
        </w:tc>
        <w:tc>
          <w:tcPr>
            <w:tcW w:w="560" w:type="dxa"/>
            <w:vAlign w:val="bottom"/>
          </w:tcPr>
          <w:p>
            <w:pPr>
              <w:spacing w:after="0"/>
              <w:rPr>
                <w:sz w:val="21"/>
                <w:szCs w:val="21"/>
                <w:color w:val="auto"/>
              </w:rPr>
            </w:pPr>
          </w:p>
        </w:tc>
      </w:tr>
      <w:tr>
        <w:trPr>
          <w:trHeight w:val="250"/>
        </w:trPr>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40" w:type="dxa"/>
            <w:vAlign w:val="bottom"/>
            <w:gridSpan w:val="3"/>
          </w:tcPr>
          <w:p>
            <w:pPr>
              <w:spacing w:after="0"/>
              <w:rPr>
                <w:rFonts w:ascii="Arial" w:cs="Arial" w:eastAsia="Arial" w:hAnsi="Arial"/>
                <w:sz w:val="18"/>
                <w:szCs w:val="18"/>
                <w:color w:val="0000FF"/>
              </w:rPr>
            </w:pPr>
            <w:hyperlink w:anchor="page23">
              <w:r>
                <w:rPr>
                  <w:rFonts w:ascii="Arial" w:cs="Arial" w:eastAsia="Arial" w:hAnsi="Arial"/>
                  <w:sz w:val="18"/>
                  <w:szCs w:val="18"/>
                  <w:color w:val="0000FF"/>
                </w:rPr>
                <w:t>Item 2.</w:t>
              </w:r>
            </w:hyperlink>
          </w:p>
        </w:tc>
        <w:tc>
          <w:tcPr>
            <w:tcW w:w="8920" w:type="dxa"/>
            <w:vAlign w:val="bottom"/>
            <w:gridSpan w:val="18"/>
          </w:tcPr>
          <w:p>
            <w:pPr>
              <w:spacing w:after="0"/>
              <w:rPr>
                <w:rFonts w:ascii="Arial" w:cs="Arial" w:eastAsia="Arial" w:hAnsi="Arial"/>
                <w:sz w:val="18"/>
                <w:szCs w:val="18"/>
                <w:color w:val="0000FF"/>
              </w:rPr>
            </w:pPr>
            <w:hyperlink w:anchor="page23">
              <w:r>
                <w:rPr>
                  <w:rFonts w:ascii="Arial" w:cs="Arial" w:eastAsia="Arial" w:hAnsi="Arial"/>
                  <w:sz w:val="18"/>
                  <w:szCs w:val="18"/>
                  <w:color w:val="0000FF"/>
                </w:rPr>
                <w:t>Management’s Discussion and Analysis of Financial Condition and Results of Operations</w:t>
              </w:r>
            </w:hyperlink>
          </w:p>
        </w:tc>
        <w:tc>
          <w:tcPr>
            <w:tcW w:w="180" w:type="dxa"/>
            <w:vAlign w:val="bottom"/>
            <w:gridSpan w:val="2"/>
          </w:tcPr>
          <w:p>
            <w:pPr>
              <w:spacing w:after="0"/>
              <w:rPr>
                <w:rFonts w:ascii="Arial" w:cs="Arial" w:eastAsia="Arial" w:hAnsi="Arial"/>
                <w:sz w:val="18"/>
                <w:szCs w:val="18"/>
                <w:color w:val="0000FF"/>
                <w:w w:val="79"/>
              </w:rPr>
            </w:pPr>
            <w:hyperlink w:anchor="page23">
              <w:r>
                <w:rPr>
                  <w:rFonts w:ascii="Arial" w:cs="Arial" w:eastAsia="Arial" w:hAnsi="Arial"/>
                  <w:sz w:val="18"/>
                  <w:szCs w:val="18"/>
                  <w:color w:val="0000FF"/>
                  <w:w w:val="79"/>
                </w:rPr>
                <w:t>24</w:t>
              </w:r>
            </w:hyperlink>
          </w:p>
        </w:tc>
        <w:tc>
          <w:tcPr>
            <w:tcW w:w="560" w:type="dxa"/>
            <w:vAlign w:val="bottom"/>
          </w:tcPr>
          <w:p>
            <w:pPr>
              <w:spacing w:after="0"/>
              <w:rPr>
                <w:sz w:val="21"/>
                <w:szCs w:val="21"/>
                <w:color w:val="auto"/>
              </w:rPr>
            </w:pPr>
          </w:p>
        </w:tc>
      </w:tr>
      <w:tr>
        <w:trPr>
          <w:trHeight w:val="20"/>
        </w:trPr>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20" w:type="dxa"/>
            <w:vAlign w:val="bottom"/>
            <w:gridSpan w:val="6"/>
            <w:shd w:val="clear" w:color="auto" w:fill="0000FF"/>
          </w:tcPr>
          <w:p>
            <w:pPr>
              <w:spacing w:after="0" w:line="20" w:lineRule="exact"/>
              <w:rPr>
                <w:sz w:val="1"/>
                <w:szCs w:val="1"/>
                <w:color w:val="auto"/>
              </w:rPr>
            </w:pPr>
          </w:p>
        </w:tc>
        <w:tc>
          <w:tcPr>
            <w:tcW w:w="2120" w:type="dxa"/>
            <w:vAlign w:val="bottom"/>
            <w:tcBorders>
              <w:left w:val="single" w:sz="8" w:color="0000FF"/>
            </w:tcBorders>
            <w:gridSpan w:val="3"/>
            <w:shd w:val="clear" w:color="auto" w:fill="0000FF"/>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50"/>
        </w:trPr>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40" w:type="dxa"/>
            <w:vAlign w:val="bottom"/>
            <w:gridSpan w:val="3"/>
          </w:tcPr>
          <w:p>
            <w:pPr>
              <w:spacing w:after="0"/>
              <w:rPr>
                <w:rFonts w:ascii="Arial" w:cs="Arial" w:eastAsia="Arial" w:hAnsi="Arial"/>
                <w:sz w:val="18"/>
                <w:szCs w:val="18"/>
                <w:color w:val="0000FF"/>
              </w:rPr>
            </w:pPr>
            <w:hyperlink w:anchor="page42">
              <w:r>
                <w:rPr>
                  <w:rFonts w:ascii="Arial" w:cs="Arial" w:eastAsia="Arial" w:hAnsi="Arial"/>
                  <w:sz w:val="18"/>
                  <w:szCs w:val="18"/>
                  <w:color w:val="0000FF"/>
                </w:rPr>
                <w:t>Item 3.</w:t>
              </w:r>
            </w:hyperlink>
          </w:p>
        </w:tc>
        <w:tc>
          <w:tcPr>
            <w:tcW w:w="8920" w:type="dxa"/>
            <w:vAlign w:val="bottom"/>
            <w:gridSpan w:val="18"/>
          </w:tcPr>
          <w:p>
            <w:pPr>
              <w:spacing w:after="0"/>
              <w:rPr>
                <w:rFonts w:ascii="Arial" w:cs="Arial" w:eastAsia="Arial" w:hAnsi="Arial"/>
                <w:sz w:val="18"/>
                <w:szCs w:val="18"/>
                <w:color w:val="0000FF"/>
              </w:rPr>
            </w:pPr>
            <w:hyperlink w:anchor="page42">
              <w:r>
                <w:rPr>
                  <w:rFonts w:ascii="Arial" w:cs="Arial" w:eastAsia="Arial" w:hAnsi="Arial"/>
                  <w:sz w:val="18"/>
                  <w:szCs w:val="18"/>
                  <w:color w:val="0000FF"/>
                </w:rPr>
                <w:t>Quantitative and Qualitative Disclosures About Market Risk</w:t>
              </w:r>
            </w:hyperlink>
          </w:p>
        </w:tc>
        <w:tc>
          <w:tcPr>
            <w:tcW w:w="180" w:type="dxa"/>
            <w:vAlign w:val="bottom"/>
            <w:gridSpan w:val="2"/>
          </w:tcPr>
          <w:p>
            <w:pPr>
              <w:spacing w:after="0"/>
              <w:rPr>
                <w:rFonts w:ascii="Arial" w:cs="Arial" w:eastAsia="Arial" w:hAnsi="Arial"/>
                <w:sz w:val="18"/>
                <w:szCs w:val="18"/>
                <w:color w:val="0000FF"/>
                <w:w w:val="79"/>
              </w:rPr>
            </w:pPr>
            <w:hyperlink w:anchor="page42">
              <w:r>
                <w:rPr>
                  <w:rFonts w:ascii="Arial" w:cs="Arial" w:eastAsia="Arial" w:hAnsi="Arial"/>
                  <w:sz w:val="18"/>
                  <w:szCs w:val="18"/>
                  <w:color w:val="0000FF"/>
                  <w:w w:val="79"/>
                </w:rPr>
                <w:t>42</w:t>
              </w:r>
            </w:hyperlink>
          </w:p>
        </w:tc>
        <w:tc>
          <w:tcPr>
            <w:tcW w:w="560" w:type="dxa"/>
            <w:vAlign w:val="bottom"/>
          </w:tcPr>
          <w:p>
            <w:pPr>
              <w:spacing w:after="0"/>
              <w:rPr>
                <w:sz w:val="21"/>
                <w:szCs w:val="21"/>
                <w:color w:val="auto"/>
              </w:rPr>
            </w:pPr>
          </w:p>
        </w:tc>
      </w:tr>
      <w:tr>
        <w:trPr>
          <w:trHeight w:val="20"/>
        </w:trPr>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20" w:type="dxa"/>
            <w:vAlign w:val="bottom"/>
            <w:gridSpan w:val="6"/>
            <w:shd w:val="clear" w:color="auto" w:fill="0000FF"/>
          </w:tcPr>
          <w:p>
            <w:pPr>
              <w:spacing w:after="0" w:line="20" w:lineRule="exact"/>
              <w:rPr>
                <w:sz w:val="1"/>
                <w:szCs w:val="1"/>
                <w:color w:val="auto"/>
              </w:rPr>
            </w:pPr>
          </w:p>
        </w:tc>
        <w:tc>
          <w:tcPr>
            <w:tcW w:w="4580" w:type="dxa"/>
            <w:vAlign w:val="bottom"/>
            <w:tcBorders>
              <w:left w:val="single" w:sz="8" w:color="0000FF"/>
            </w:tcBorders>
            <w:gridSpan w:val="4"/>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50"/>
        </w:trPr>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40" w:type="dxa"/>
            <w:vAlign w:val="bottom"/>
            <w:gridSpan w:val="3"/>
          </w:tcPr>
          <w:p>
            <w:pPr>
              <w:spacing w:after="0"/>
              <w:rPr>
                <w:rFonts w:ascii="Arial" w:cs="Arial" w:eastAsia="Arial" w:hAnsi="Arial"/>
                <w:sz w:val="18"/>
                <w:szCs w:val="18"/>
                <w:color w:val="0000FF"/>
              </w:rPr>
            </w:pPr>
            <w:hyperlink w:anchor="page42">
              <w:r>
                <w:rPr>
                  <w:rFonts w:ascii="Arial" w:cs="Arial" w:eastAsia="Arial" w:hAnsi="Arial"/>
                  <w:sz w:val="18"/>
                  <w:szCs w:val="18"/>
                  <w:color w:val="0000FF"/>
                </w:rPr>
                <w:t>Item 4.</w:t>
              </w:r>
            </w:hyperlink>
          </w:p>
        </w:tc>
        <w:tc>
          <w:tcPr>
            <w:tcW w:w="8920" w:type="dxa"/>
            <w:vAlign w:val="bottom"/>
            <w:gridSpan w:val="18"/>
          </w:tcPr>
          <w:p>
            <w:pPr>
              <w:spacing w:after="0"/>
              <w:rPr>
                <w:rFonts w:ascii="Arial" w:cs="Arial" w:eastAsia="Arial" w:hAnsi="Arial"/>
                <w:sz w:val="18"/>
                <w:szCs w:val="18"/>
                <w:color w:val="0000FF"/>
              </w:rPr>
            </w:pPr>
            <w:hyperlink w:anchor="page42">
              <w:r>
                <w:rPr>
                  <w:rFonts w:ascii="Arial" w:cs="Arial" w:eastAsia="Arial" w:hAnsi="Arial"/>
                  <w:sz w:val="18"/>
                  <w:szCs w:val="18"/>
                  <w:color w:val="0000FF"/>
                </w:rPr>
                <w:t>Controls and Procedures</w:t>
              </w:r>
            </w:hyperlink>
          </w:p>
        </w:tc>
        <w:tc>
          <w:tcPr>
            <w:tcW w:w="180" w:type="dxa"/>
            <w:vAlign w:val="bottom"/>
            <w:gridSpan w:val="2"/>
          </w:tcPr>
          <w:p>
            <w:pPr>
              <w:spacing w:after="0"/>
              <w:rPr>
                <w:rFonts w:ascii="Arial" w:cs="Arial" w:eastAsia="Arial" w:hAnsi="Arial"/>
                <w:sz w:val="18"/>
                <w:szCs w:val="18"/>
                <w:color w:val="0000FF"/>
                <w:w w:val="79"/>
              </w:rPr>
            </w:pPr>
            <w:hyperlink w:anchor="page42">
              <w:r>
                <w:rPr>
                  <w:rFonts w:ascii="Arial" w:cs="Arial" w:eastAsia="Arial" w:hAnsi="Arial"/>
                  <w:sz w:val="18"/>
                  <w:szCs w:val="18"/>
                  <w:color w:val="0000FF"/>
                  <w:w w:val="79"/>
                </w:rPr>
                <w:t>43</w:t>
              </w:r>
            </w:hyperlink>
          </w:p>
        </w:tc>
        <w:tc>
          <w:tcPr>
            <w:tcW w:w="560" w:type="dxa"/>
            <w:vAlign w:val="bottom"/>
          </w:tcPr>
          <w:p>
            <w:pPr>
              <w:spacing w:after="0"/>
              <w:rPr>
                <w:sz w:val="21"/>
                <w:szCs w:val="21"/>
                <w:color w:val="auto"/>
              </w:rPr>
            </w:pPr>
          </w:p>
        </w:tc>
      </w:tr>
      <w:tr>
        <w:trPr>
          <w:trHeight w:val="20"/>
        </w:trPr>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20" w:type="dxa"/>
            <w:vAlign w:val="bottom"/>
            <w:gridSpan w:val="6"/>
          </w:tcPr>
          <w:p>
            <w:pPr>
              <w:spacing w:after="0" w:line="20" w:lineRule="exact"/>
              <w:rPr>
                <w:sz w:val="1"/>
                <w:szCs w:val="1"/>
                <w:color w:val="auto"/>
              </w:rPr>
            </w:pPr>
          </w:p>
        </w:tc>
        <w:tc>
          <w:tcPr>
            <w:tcW w:w="4580" w:type="dxa"/>
            <w:vAlign w:val="bottom"/>
            <w:gridSpan w:val="4"/>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50"/>
        </w:trPr>
        <w:tc>
          <w:tcPr>
            <w:tcW w:w="180" w:type="dxa"/>
            <w:vAlign w:val="bottom"/>
          </w:tcPr>
          <w:p>
            <w:pPr>
              <w:spacing w:after="0"/>
              <w:rPr>
                <w:sz w:val="21"/>
                <w:szCs w:val="21"/>
                <w:color w:val="auto"/>
              </w:rPr>
            </w:pPr>
          </w:p>
        </w:tc>
        <w:tc>
          <w:tcPr>
            <w:tcW w:w="1960" w:type="dxa"/>
            <w:vAlign w:val="bottom"/>
            <w:tcBorders>
              <w:bottom w:val="single" w:sz="8" w:color="0000FF"/>
            </w:tcBorders>
            <w:gridSpan w:val="6"/>
          </w:tcPr>
          <w:p>
            <w:pPr>
              <w:spacing w:after="0"/>
              <w:rPr>
                <w:rFonts w:ascii="Arial" w:cs="Arial" w:eastAsia="Arial" w:hAnsi="Arial"/>
                <w:sz w:val="18"/>
                <w:szCs w:val="18"/>
                <w:color w:val="0000FF"/>
                <w:w w:val="93"/>
              </w:rPr>
            </w:pPr>
            <w:hyperlink w:anchor="page43">
              <w:r>
                <w:rPr>
                  <w:rFonts w:ascii="Arial" w:cs="Arial" w:eastAsia="Arial" w:hAnsi="Arial"/>
                  <w:sz w:val="18"/>
                  <w:szCs w:val="18"/>
                  <w:color w:val="0000FF"/>
                  <w:w w:val="93"/>
                </w:rPr>
                <w:t>Part II – Other Information</w:t>
              </w:r>
            </w:hyperlink>
          </w:p>
        </w:tc>
        <w:tc>
          <w:tcPr>
            <w:tcW w:w="8360" w:type="dxa"/>
            <w:vAlign w:val="bottom"/>
            <w:gridSpan w:val="16"/>
          </w:tcPr>
          <w:p>
            <w:pPr>
              <w:spacing w:after="0"/>
              <w:rPr>
                <w:sz w:val="21"/>
                <w:szCs w:val="21"/>
                <w:color w:val="auto"/>
              </w:rPr>
            </w:pPr>
          </w:p>
        </w:tc>
        <w:tc>
          <w:tcPr>
            <w:tcW w:w="180" w:type="dxa"/>
            <w:vAlign w:val="bottom"/>
            <w:tcBorders>
              <w:bottom w:val="single" w:sz="8" w:color="0000FF"/>
            </w:tcBorders>
            <w:gridSpan w:val="2"/>
          </w:tcPr>
          <w:p>
            <w:pPr>
              <w:spacing w:after="0"/>
              <w:rPr>
                <w:rFonts w:ascii="Arial" w:cs="Arial" w:eastAsia="Arial" w:hAnsi="Arial"/>
                <w:sz w:val="18"/>
                <w:szCs w:val="18"/>
                <w:color w:val="0000FF"/>
                <w:w w:val="79"/>
              </w:rPr>
            </w:pPr>
            <w:hyperlink w:anchor="page43">
              <w:r>
                <w:rPr>
                  <w:rFonts w:ascii="Arial" w:cs="Arial" w:eastAsia="Arial" w:hAnsi="Arial"/>
                  <w:sz w:val="18"/>
                  <w:szCs w:val="18"/>
                  <w:color w:val="0000FF"/>
                  <w:w w:val="79"/>
                </w:rPr>
                <w:t>44</w:t>
              </w:r>
            </w:hyperlink>
          </w:p>
        </w:tc>
        <w:tc>
          <w:tcPr>
            <w:tcW w:w="560" w:type="dxa"/>
            <w:vAlign w:val="bottom"/>
          </w:tcPr>
          <w:p>
            <w:pPr>
              <w:spacing w:after="0"/>
              <w:rPr>
                <w:sz w:val="21"/>
                <w:szCs w:val="21"/>
                <w:color w:val="auto"/>
              </w:rPr>
            </w:pPr>
          </w:p>
        </w:tc>
      </w:tr>
      <w:tr>
        <w:trPr>
          <w:trHeight w:val="250"/>
        </w:trPr>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40" w:type="dxa"/>
            <w:vAlign w:val="bottom"/>
            <w:gridSpan w:val="3"/>
          </w:tcPr>
          <w:p>
            <w:pPr>
              <w:spacing w:after="0"/>
              <w:rPr>
                <w:rFonts w:ascii="Arial" w:cs="Arial" w:eastAsia="Arial" w:hAnsi="Arial"/>
                <w:sz w:val="18"/>
                <w:szCs w:val="18"/>
                <w:color w:val="0000FF"/>
              </w:rPr>
            </w:pPr>
            <w:hyperlink w:anchor="page44">
              <w:r>
                <w:rPr>
                  <w:rFonts w:ascii="Arial" w:cs="Arial" w:eastAsia="Arial" w:hAnsi="Arial"/>
                  <w:sz w:val="18"/>
                  <w:szCs w:val="18"/>
                  <w:color w:val="0000FF"/>
                </w:rPr>
                <w:t>Item 1.</w:t>
              </w:r>
            </w:hyperlink>
          </w:p>
        </w:tc>
        <w:tc>
          <w:tcPr>
            <w:tcW w:w="8920" w:type="dxa"/>
            <w:vAlign w:val="bottom"/>
            <w:gridSpan w:val="18"/>
          </w:tcPr>
          <w:p>
            <w:pPr>
              <w:spacing w:after="0"/>
              <w:rPr>
                <w:rFonts w:ascii="Arial" w:cs="Arial" w:eastAsia="Arial" w:hAnsi="Arial"/>
                <w:sz w:val="18"/>
                <w:szCs w:val="18"/>
                <w:color w:val="0000FF"/>
              </w:rPr>
            </w:pPr>
            <w:hyperlink w:anchor="page44">
              <w:r>
                <w:rPr>
                  <w:rFonts w:ascii="Arial" w:cs="Arial" w:eastAsia="Arial" w:hAnsi="Arial"/>
                  <w:sz w:val="18"/>
                  <w:szCs w:val="18"/>
                  <w:color w:val="0000FF"/>
                </w:rPr>
                <w:t>Legal Proceedings</w:t>
              </w:r>
            </w:hyperlink>
          </w:p>
        </w:tc>
        <w:tc>
          <w:tcPr>
            <w:tcW w:w="180" w:type="dxa"/>
            <w:vAlign w:val="bottom"/>
            <w:gridSpan w:val="2"/>
          </w:tcPr>
          <w:p>
            <w:pPr>
              <w:spacing w:after="0"/>
              <w:rPr>
                <w:rFonts w:ascii="Arial" w:cs="Arial" w:eastAsia="Arial" w:hAnsi="Arial"/>
                <w:sz w:val="18"/>
                <w:szCs w:val="18"/>
                <w:color w:val="0000FF"/>
                <w:w w:val="79"/>
              </w:rPr>
            </w:pPr>
            <w:hyperlink w:anchor="page44">
              <w:r>
                <w:rPr>
                  <w:rFonts w:ascii="Arial" w:cs="Arial" w:eastAsia="Arial" w:hAnsi="Arial"/>
                  <w:sz w:val="18"/>
                  <w:szCs w:val="18"/>
                  <w:color w:val="0000FF"/>
                  <w:w w:val="79"/>
                </w:rPr>
                <w:t>44</w:t>
              </w:r>
            </w:hyperlink>
          </w:p>
        </w:tc>
        <w:tc>
          <w:tcPr>
            <w:tcW w:w="560" w:type="dxa"/>
            <w:vAlign w:val="bottom"/>
          </w:tcPr>
          <w:p>
            <w:pPr>
              <w:spacing w:after="0"/>
              <w:rPr>
                <w:sz w:val="21"/>
                <w:szCs w:val="21"/>
                <w:color w:val="auto"/>
              </w:rPr>
            </w:pPr>
          </w:p>
        </w:tc>
      </w:tr>
      <w:tr>
        <w:trPr>
          <w:trHeight w:val="20"/>
        </w:trPr>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000" w:type="dxa"/>
            <w:vAlign w:val="bottom"/>
            <w:tcBorders>
              <w:left w:val="single" w:sz="8" w:color="0000FF"/>
            </w:tcBorders>
            <w:gridSpan w:val="2"/>
          </w:tcPr>
          <w:p>
            <w:pPr>
              <w:spacing w:after="0" w:line="20" w:lineRule="exact"/>
              <w:rPr>
                <w:sz w:val="1"/>
                <w:szCs w:val="1"/>
                <w:color w:val="auto"/>
              </w:rPr>
            </w:pPr>
          </w:p>
        </w:tc>
        <w:tc>
          <w:tcPr>
            <w:tcW w:w="2020" w:type="dxa"/>
            <w:vAlign w:val="bottom"/>
            <w:gridSpan w:val="6"/>
          </w:tcPr>
          <w:p>
            <w:pPr>
              <w:spacing w:after="0" w:line="20" w:lineRule="exact"/>
              <w:rPr>
                <w:sz w:val="1"/>
                <w:szCs w:val="1"/>
                <w:color w:val="auto"/>
              </w:rPr>
            </w:pPr>
          </w:p>
        </w:tc>
        <w:tc>
          <w:tcPr>
            <w:tcW w:w="4580" w:type="dxa"/>
            <w:vAlign w:val="bottom"/>
            <w:gridSpan w:val="4"/>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50"/>
        </w:trPr>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40" w:type="dxa"/>
            <w:vAlign w:val="bottom"/>
            <w:gridSpan w:val="2"/>
          </w:tcPr>
          <w:p>
            <w:pPr>
              <w:spacing w:after="0"/>
              <w:rPr>
                <w:rFonts w:ascii="Arial" w:cs="Arial" w:eastAsia="Arial" w:hAnsi="Arial"/>
                <w:sz w:val="18"/>
                <w:szCs w:val="18"/>
                <w:color w:val="0000FF"/>
                <w:w w:val="92"/>
              </w:rPr>
            </w:pPr>
            <w:hyperlink w:anchor="page44">
              <w:r>
                <w:rPr>
                  <w:rFonts w:ascii="Arial" w:cs="Arial" w:eastAsia="Arial" w:hAnsi="Arial"/>
                  <w:sz w:val="18"/>
                  <w:szCs w:val="18"/>
                  <w:color w:val="0000FF"/>
                  <w:w w:val="92"/>
                </w:rPr>
                <w:t>Item 1A.</w:t>
              </w:r>
            </w:hyperlink>
          </w:p>
        </w:tc>
        <w:tc>
          <w:tcPr>
            <w:tcW w:w="300" w:type="dxa"/>
            <w:vAlign w:val="bottom"/>
          </w:tcPr>
          <w:p>
            <w:pPr>
              <w:spacing w:after="0"/>
              <w:rPr>
                <w:sz w:val="21"/>
                <w:szCs w:val="21"/>
                <w:color w:val="auto"/>
              </w:rPr>
            </w:pPr>
          </w:p>
        </w:tc>
        <w:tc>
          <w:tcPr>
            <w:tcW w:w="8920" w:type="dxa"/>
            <w:vAlign w:val="bottom"/>
            <w:gridSpan w:val="18"/>
          </w:tcPr>
          <w:p>
            <w:pPr>
              <w:spacing w:after="0"/>
              <w:rPr>
                <w:rFonts w:ascii="Arial" w:cs="Arial" w:eastAsia="Arial" w:hAnsi="Arial"/>
                <w:sz w:val="18"/>
                <w:szCs w:val="18"/>
                <w:color w:val="0000FF"/>
              </w:rPr>
            </w:pPr>
            <w:hyperlink w:anchor="page44">
              <w:r>
                <w:rPr>
                  <w:rFonts w:ascii="Arial" w:cs="Arial" w:eastAsia="Arial" w:hAnsi="Arial"/>
                  <w:sz w:val="18"/>
                  <w:szCs w:val="18"/>
                  <w:color w:val="0000FF"/>
                </w:rPr>
                <w:t>Risk Factors</w:t>
              </w:r>
            </w:hyperlink>
          </w:p>
        </w:tc>
        <w:tc>
          <w:tcPr>
            <w:tcW w:w="180" w:type="dxa"/>
            <w:vAlign w:val="bottom"/>
            <w:gridSpan w:val="2"/>
          </w:tcPr>
          <w:p>
            <w:pPr>
              <w:spacing w:after="0"/>
              <w:rPr>
                <w:rFonts w:ascii="Arial" w:cs="Arial" w:eastAsia="Arial" w:hAnsi="Arial"/>
                <w:sz w:val="18"/>
                <w:szCs w:val="18"/>
                <w:color w:val="0000FF"/>
                <w:w w:val="79"/>
              </w:rPr>
            </w:pPr>
            <w:hyperlink w:anchor="page44">
              <w:r>
                <w:rPr>
                  <w:rFonts w:ascii="Arial" w:cs="Arial" w:eastAsia="Arial" w:hAnsi="Arial"/>
                  <w:sz w:val="18"/>
                  <w:szCs w:val="18"/>
                  <w:color w:val="0000FF"/>
                  <w:w w:val="79"/>
                </w:rPr>
                <w:t>44</w:t>
              </w:r>
            </w:hyperlink>
          </w:p>
        </w:tc>
        <w:tc>
          <w:tcPr>
            <w:tcW w:w="560" w:type="dxa"/>
            <w:vAlign w:val="bottom"/>
          </w:tcPr>
          <w:p>
            <w:pPr>
              <w:spacing w:after="0"/>
              <w:rPr>
                <w:sz w:val="21"/>
                <w:szCs w:val="21"/>
                <w:color w:val="auto"/>
              </w:rPr>
            </w:pPr>
          </w:p>
        </w:tc>
      </w:tr>
      <w:tr>
        <w:trPr>
          <w:trHeight w:val="20"/>
        </w:trPr>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2020" w:type="dxa"/>
            <w:vAlign w:val="bottom"/>
            <w:gridSpan w:val="6"/>
          </w:tcPr>
          <w:p>
            <w:pPr>
              <w:spacing w:after="0" w:line="20" w:lineRule="exact"/>
              <w:rPr>
                <w:sz w:val="1"/>
                <w:szCs w:val="1"/>
                <w:color w:val="auto"/>
              </w:rPr>
            </w:pPr>
          </w:p>
        </w:tc>
        <w:tc>
          <w:tcPr>
            <w:tcW w:w="4580" w:type="dxa"/>
            <w:vAlign w:val="bottom"/>
            <w:gridSpan w:val="4"/>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50"/>
        </w:trPr>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40" w:type="dxa"/>
            <w:vAlign w:val="bottom"/>
            <w:gridSpan w:val="2"/>
          </w:tcPr>
          <w:p>
            <w:pPr>
              <w:spacing w:after="0"/>
              <w:rPr>
                <w:rFonts w:ascii="Arial" w:cs="Arial" w:eastAsia="Arial" w:hAnsi="Arial"/>
                <w:sz w:val="18"/>
                <w:szCs w:val="18"/>
                <w:color w:val="0000FF"/>
              </w:rPr>
            </w:pPr>
            <w:hyperlink w:anchor="page44">
              <w:r>
                <w:rPr>
                  <w:rFonts w:ascii="Arial" w:cs="Arial" w:eastAsia="Arial" w:hAnsi="Arial"/>
                  <w:sz w:val="18"/>
                  <w:szCs w:val="18"/>
                  <w:color w:val="0000FF"/>
                </w:rPr>
                <w:t>Item 2.</w:t>
              </w:r>
            </w:hyperlink>
          </w:p>
        </w:tc>
        <w:tc>
          <w:tcPr>
            <w:tcW w:w="300" w:type="dxa"/>
            <w:vAlign w:val="bottom"/>
          </w:tcPr>
          <w:p>
            <w:pPr>
              <w:spacing w:after="0"/>
              <w:rPr>
                <w:sz w:val="21"/>
                <w:szCs w:val="21"/>
                <w:color w:val="auto"/>
              </w:rPr>
            </w:pPr>
          </w:p>
        </w:tc>
        <w:tc>
          <w:tcPr>
            <w:tcW w:w="8920" w:type="dxa"/>
            <w:vAlign w:val="bottom"/>
            <w:gridSpan w:val="18"/>
          </w:tcPr>
          <w:p>
            <w:pPr>
              <w:spacing w:after="0"/>
              <w:rPr>
                <w:rFonts w:ascii="Arial" w:cs="Arial" w:eastAsia="Arial" w:hAnsi="Arial"/>
                <w:sz w:val="18"/>
                <w:szCs w:val="18"/>
                <w:color w:val="0000FF"/>
              </w:rPr>
            </w:pPr>
            <w:hyperlink w:anchor="page44">
              <w:r>
                <w:rPr>
                  <w:rFonts w:ascii="Arial" w:cs="Arial" w:eastAsia="Arial" w:hAnsi="Arial"/>
                  <w:sz w:val="18"/>
                  <w:szCs w:val="18"/>
                  <w:color w:val="0000FF"/>
                </w:rPr>
                <w:t>Unregistered Sales of Equity Securities and Use of Proceeds</w:t>
              </w:r>
            </w:hyperlink>
          </w:p>
        </w:tc>
        <w:tc>
          <w:tcPr>
            <w:tcW w:w="180" w:type="dxa"/>
            <w:vAlign w:val="bottom"/>
            <w:gridSpan w:val="2"/>
          </w:tcPr>
          <w:p>
            <w:pPr>
              <w:spacing w:after="0"/>
              <w:rPr>
                <w:rFonts w:ascii="Arial" w:cs="Arial" w:eastAsia="Arial" w:hAnsi="Arial"/>
                <w:sz w:val="18"/>
                <w:szCs w:val="18"/>
                <w:color w:val="0000FF"/>
                <w:w w:val="79"/>
              </w:rPr>
            </w:pPr>
            <w:hyperlink w:anchor="page44">
              <w:r>
                <w:rPr>
                  <w:rFonts w:ascii="Arial" w:cs="Arial" w:eastAsia="Arial" w:hAnsi="Arial"/>
                  <w:sz w:val="18"/>
                  <w:szCs w:val="18"/>
                  <w:color w:val="0000FF"/>
                  <w:w w:val="79"/>
                </w:rPr>
                <w:t>44</w:t>
              </w:r>
            </w:hyperlink>
          </w:p>
        </w:tc>
        <w:tc>
          <w:tcPr>
            <w:tcW w:w="560" w:type="dxa"/>
            <w:vAlign w:val="bottom"/>
          </w:tcPr>
          <w:p>
            <w:pPr>
              <w:spacing w:after="0"/>
              <w:rPr>
                <w:sz w:val="21"/>
                <w:szCs w:val="21"/>
                <w:color w:val="auto"/>
              </w:rPr>
            </w:pPr>
          </w:p>
        </w:tc>
      </w:tr>
      <w:tr>
        <w:trPr>
          <w:trHeight w:val="20"/>
        </w:trPr>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4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000" w:type="dxa"/>
            <w:vAlign w:val="bottom"/>
            <w:tcBorders>
              <w:left w:val="single" w:sz="8" w:color="0000FF"/>
            </w:tcBorders>
            <w:gridSpan w:val="2"/>
            <w:shd w:val="clear" w:color="auto" w:fill="0000FF"/>
          </w:tcPr>
          <w:p>
            <w:pPr>
              <w:spacing w:after="0" w:line="20" w:lineRule="exact"/>
              <w:rPr>
                <w:sz w:val="1"/>
                <w:szCs w:val="1"/>
                <w:color w:val="auto"/>
              </w:rPr>
            </w:pPr>
          </w:p>
        </w:tc>
        <w:tc>
          <w:tcPr>
            <w:tcW w:w="2020" w:type="dxa"/>
            <w:vAlign w:val="bottom"/>
            <w:gridSpan w:val="6"/>
            <w:shd w:val="clear" w:color="auto" w:fill="0000FF"/>
          </w:tcPr>
          <w:p>
            <w:pPr>
              <w:spacing w:after="0" w:line="20" w:lineRule="exact"/>
              <w:rPr>
                <w:sz w:val="1"/>
                <w:szCs w:val="1"/>
                <w:color w:val="auto"/>
              </w:rPr>
            </w:pPr>
          </w:p>
        </w:tc>
        <w:tc>
          <w:tcPr>
            <w:tcW w:w="4580" w:type="dxa"/>
            <w:vAlign w:val="bottom"/>
            <w:gridSpan w:val="4"/>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50"/>
        </w:trPr>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40" w:type="dxa"/>
            <w:vAlign w:val="bottom"/>
            <w:gridSpan w:val="3"/>
          </w:tcPr>
          <w:p>
            <w:pPr>
              <w:spacing w:after="0"/>
              <w:rPr>
                <w:rFonts w:ascii="Arial" w:cs="Arial" w:eastAsia="Arial" w:hAnsi="Arial"/>
                <w:sz w:val="18"/>
                <w:szCs w:val="18"/>
                <w:color w:val="0000FF"/>
              </w:rPr>
            </w:pPr>
            <w:hyperlink w:anchor="page44">
              <w:r>
                <w:rPr>
                  <w:rFonts w:ascii="Arial" w:cs="Arial" w:eastAsia="Arial" w:hAnsi="Arial"/>
                  <w:sz w:val="18"/>
                  <w:szCs w:val="18"/>
                  <w:color w:val="0000FF"/>
                </w:rPr>
                <w:t>Item 3.</w:t>
              </w:r>
            </w:hyperlink>
          </w:p>
        </w:tc>
        <w:tc>
          <w:tcPr>
            <w:tcW w:w="8920" w:type="dxa"/>
            <w:vAlign w:val="bottom"/>
            <w:gridSpan w:val="18"/>
          </w:tcPr>
          <w:p>
            <w:pPr>
              <w:spacing w:after="0"/>
              <w:rPr>
                <w:rFonts w:ascii="Arial" w:cs="Arial" w:eastAsia="Arial" w:hAnsi="Arial"/>
                <w:sz w:val="18"/>
                <w:szCs w:val="18"/>
                <w:color w:val="0000FF"/>
              </w:rPr>
            </w:pPr>
            <w:hyperlink w:anchor="page44">
              <w:r>
                <w:rPr>
                  <w:rFonts w:ascii="Arial" w:cs="Arial" w:eastAsia="Arial" w:hAnsi="Arial"/>
                  <w:sz w:val="18"/>
                  <w:szCs w:val="18"/>
                  <w:color w:val="0000FF"/>
                </w:rPr>
                <w:t>Defaults Upon Senior Securities</w:t>
              </w:r>
            </w:hyperlink>
          </w:p>
        </w:tc>
        <w:tc>
          <w:tcPr>
            <w:tcW w:w="180" w:type="dxa"/>
            <w:vAlign w:val="bottom"/>
            <w:gridSpan w:val="2"/>
          </w:tcPr>
          <w:p>
            <w:pPr>
              <w:spacing w:after="0"/>
              <w:rPr>
                <w:rFonts w:ascii="Arial" w:cs="Arial" w:eastAsia="Arial" w:hAnsi="Arial"/>
                <w:sz w:val="18"/>
                <w:szCs w:val="18"/>
                <w:color w:val="0000FF"/>
                <w:w w:val="79"/>
              </w:rPr>
            </w:pPr>
            <w:hyperlink w:anchor="page44">
              <w:r>
                <w:rPr>
                  <w:rFonts w:ascii="Arial" w:cs="Arial" w:eastAsia="Arial" w:hAnsi="Arial"/>
                  <w:sz w:val="18"/>
                  <w:szCs w:val="18"/>
                  <w:color w:val="0000FF"/>
                  <w:w w:val="79"/>
                </w:rPr>
                <w:t>44</w:t>
              </w:r>
            </w:hyperlink>
          </w:p>
        </w:tc>
        <w:tc>
          <w:tcPr>
            <w:tcW w:w="560" w:type="dxa"/>
            <w:vAlign w:val="bottom"/>
          </w:tcPr>
          <w:p>
            <w:pPr>
              <w:spacing w:after="0"/>
              <w:rPr>
                <w:sz w:val="21"/>
                <w:szCs w:val="21"/>
                <w:color w:val="auto"/>
              </w:rPr>
            </w:pPr>
          </w:p>
        </w:tc>
      </w:tr>
      <w:tr>
        <w:trPr>
          <w:trHeight w:val="20"/>
        </w:trPr>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4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000" w:type="dxa"/>
            <w:vAlign w:val="bottom"/>
            <w:tcBorders>
              <w:left w:val="single" w:sz="8" w:color="0000FF"/>
            </w:tcBorders>
            <w:gridSpan w:val="2"/>
            <w:shd w:val="clear" w:color="auto" w:fill="0000FF"/>
          </w:tcPr>
          <w:p>
            <w:pPr>
              <w:spacing w:after="0" w:line="20" w:lineRule="exact"/>
              <w:rPr>
                <w:sz w:val="1"/>
                <w:szCs w:val="1"/>
                <w:color w:val="auto"/>
              </w:rPr>
            </w:pPr>
          </w:p>
        </w:tc>
        <w:tc>
          <w:tcPr>
            <w:tcW w:w="6600" w:type="dxa"/>
            <w:vAlign w:val="bottom"/>
            <w:gridSpan w:val="10"/>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50"/>
        </w:trPr>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40" w:type="dxa"/>
            <w:vAlign w:val="bottom"/>
            <w:gridSpan w:val="3"/>
          </w:tcPr>
          <w:p>
            <w:pPr>
              <w:spacing w:after="0"/>
              <w:rPr>
                <w:rFonts w:ascii="Arial" w:cs="Arial" w:eastAsia="Arial" w:hAnsi="Arial"/>
                <w:sz w:val="18"/>
                <w:szCs w:val="18"/>
                <w:color w:val="0000FF"/>
              </w:rPr>
            </w:pPr>
            <w:hyperlink w:anchor="page44">
              <w:r>
                <w:rPr>
                  <w:rFonts w:ascii="Arial" w:cs="Arial" w:eastAsia="Arial" w:hAnsi="Arial"/>
                  <w:sz w:val="18"/>
                  <w:szCs w:val="18"/>
                  <w:color w:val="0000FF"/>
                </w:rPr>
                <w:t>Item 4.</w:t>
              </w:r>
            </w:hyperlink>
          </w:p>
        </w:tc>
        <w:tc>
          <w:tcPr>
            <w:tcW w:w="8920" w:type="dxa"/>
            <w:vAlign w:val="bottom"/>
            <w:gridSpan w:val="18"/>
          </w:tcPr>
          <w:p>
            <w:pPr>
              <w:spacing w:after="0"/>
              <w:rPr>
                <w:rFonts w:ascii="Arial" w:cs="Arial" w:eastAsia="Arial" w:hAnsi="Arial"/>
                <w:sz w:val="18"/>
                <w:szCs w:val="18"/>
                <w:color w:val="0000FF"/>
              </w:rPr>
            </w:pPr>
            <w:hyperlink w:anchor="page44">
              <w:r>
                <w:rPr>
                  <w:rFonts w:ascii="Arial" w:cs="Arial" w:eastAsia="Arial" w:hAnsi="Arial"/>
                  <w:sz w:val="18"/>
                  <w:szCs w:val="18"/>
                  <w:color w:val="0000FF"/>
                </w:rPr>
                <w:t>Mine Safety Disclosures</w:t>
              </w:r>
            </w:hyperlink>
          </w:p>
        </w:tc>
        <w:tc>
          <w:tcPr>
            <w:tcW w:w="180" w:type="dxa"/>
            <w:vAlign w:val="bottom"/>
            <w:gridSpan w:val="2"/>
          </w:tcPr>
          <w:p>
            <w:pPr>
              <w:spacing w:after="0"/>
              <w:rPr>
                <w:rFonts w:ascii="Arial" w:cs="Arial" w:eastAsia="Arial" w:hAnsi="Arial"/>
                <w:sz w:val="18"/>
                <w:szCs w:val="18"/>
                <w:color w:val="0000FF"/>
                <w:w w:val="79"/>
              </w:rPr>
            </w:pPr>
            <w:hyperlink w:anchor="page44">
              <w:r>
                <w:rPr>
                  <w:rFonts w:ascii="Arial" w:cs="Arial" w:eastAsia="Arial" w:hAnsi="Arial"/>
                  <w:sz w:val="18"/>
                  <w:szCs w:val="18"/>
                  <w:color w:val="0000FF"/>
                  <w:w w:val="79"/>
                </w:rPr>
                <w:t>44</w:t>
              </w:r>
            </w:hyperlink>
          </w:p>
        </w:tc>
        <w:tc>
          <w:tcPr>
            <w:tcW w:w="560" w:type="dxa"/>
            <w:vAlign w:val="bottom"/>
          </w:tcPr>
          <w:p>
            <w:pPr>
              <w:spacing w:after="0"/>
              <w:rPr>
                <w:sz w:val="21"/>
                <w:szCs w:val="21"/>
                <w:color w:val="auto"/>
              </w:rPr>
            </w:pPr>
          </w:p>
        </w:tc>
      </w:tr>
      <w:tr>
        <w:trPr>
          <w:trHeight w:val="20"/>
        </w:trPr>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4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7160" w:type="dxa"/>
            <w:vAlign w:val="bottom"/>
            <w:gridSpan w:val="11"/>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50"/>
        </w:trPr>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40" w:type="dxa"/>
            <w:vAlign w:val="bottom"/>
            <w:gridSpan w:val="3"/>
          </w:tcPr>
          <w:p>
            <w:pPr>
              <w:spacing w:after="0"/>
              <w:rPr>
                <w:rFonts w:ascii="Arial" w:cs="Arial" w:eastAsia="Arial" w:hAnsi="Arial"/>
                <w:sz w:val="18"/>
                <w:szCs w:val="18"/>
                <w:color w:val="0000FF"/>
              </w:rPr>
            </w:pPr>
            <w:hyperlink w:anchor="page44">
              <w:r>
                <w:rPr>
                  <w:rFonts w:ascii="Arial" w:cs="Arial" w:eastAsia="Arial" w:hAnsi="Arial"/>
                  <w:sz w:val="18"/>
                  <w:szCs w:val="18"/>
                  <w:color w:val="0000FF"/>
                </w:rPr>
                <w:t>Item 5.</w:t>
              </w:r>
            </w:hyperlink>
          </w:p>
        </w:tc>
        <w:tc>
          <w:tcPr>
            <w:tcW w:w="8920" w:type="dxa"/>
            <w:vAlign w:val="bottom"/>
            <w:gridSpan w:val="18"/>
          </w:tcPr>
          <w:p>
            <w:pPr>
              <w:spacing w:after="0"/>
              <w:rPr>
                <w:rFonts w:ascii="Arial" w:cs="Arial" w:eastAsia="Arial" w:hAnsi="Arial"/>
                <w:sz w:val="18"/>
                <w:szCs w:val="18"/>
                <w:color w:val="0000FF"/>
              </w:rPr>
            </w:pPr>
            <w:hyperlink w:anchor="page44">
              <w:r>
                <w:rPr>
                  <w:rFonts w:ascii="Arial" w:cs="Arial" w:eastAsia="Arial" w:hAnsi="Arial"/>
                  <w:sz w:val="18"/>
                  <w:szCs w:val="18"/>
                  <w:color w:val="0000FF"/>
                </w:rPr>
                <w:t>Other Information</w:t>
              </w:r>
            </w:hyperlink>
          </w:p>
        </w:tc>
        <w:tc>
          <w:tcPr>
            <w:tcW w:w="180" w:type="dxa"/>
            <w:vAlign w:val="bottom"/>
            <w:gridSpan w:val="2"/>
          </w:tcPr>
          <w:p>
            <w:pPr>
              <w:spacing w:after="0"/>
              <w:rPr>
                <w:rFonts w:ascii="Arial" w:cs="Arial" w:eastAsia="Arial" w:hAnsi="Arial"/>
                <w:sz w:val="18"/>
                <w:szCs w:val="18"/>
                <w:color w:val="0000FF"/>
                <w:w w:val="79"/>
              </w:rPr>
            </w:pPr>
            <w:hyperlink w:anchor="page44">
              <w:r>
                <w:rPr>
                  <w:rFonts w:ascii="Arial" w:cs="Arial" w:eastAsia="Arial" w:hAnsi="Arial"/>
                  <w:sz w:val="18"/>
                  <w:szCs w:val="18"/>
                  <w:color w:val="0000FF"/>
                  <w:w w:val="79"/>
                </w:rPr>
                <w:t>44</w:t>
              </w:r>
            </w:hyperlink>
          </w:p>
        </w:tc>
        <w:tc>
          <w:tcPr>
            <w:tcW w:w="560" w:type="dxa"/>
            <w:vAlign w:val="bottom"/>
          </w:tcPr>
          <w:p>
            <w:pPr>
              <w:spacing w:after="0"/>
              <w:rPr>
                <w:sz w:val="21"/>
                <w:szCs w:val="21"/>
                <w:color w:val="auto"/>
              </w:rPr>
            </w:pPr>
          </w:p>
        </w:tc>
      </w:tr>
      <w:tr>
        <w:trPr>
          <w:trHeight w:val="20"/>
        </w:trPr>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7600" w:type="dxa"/>
            <w:vAlign w:val="bottom"/>
            <w:gridSpan w:val="12"/>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50"/>
        </w:trPr>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40" w:type="dxa"/>
            <w:vAlign w:val="bottom"/>
            <w:gridSpan w:val="3"/>
          </w:tcPr>
          <w:p>
            <w:pPr>
              <w:spacing w:after="0"/>
              <w:rPr>
                <w:rFonts w:ascii="Arial" w:cs="Arial" w:eastAsia="Arial" w:hAnsi="Arial"/>
                <w:sz w:val="18"/>
                <w:szCs w:val="18"/>
                <w:color w:val="0000FF"/>
              </w:rPr>
            </w:pPr>
            <w:hyperlink w:anchor="page44">
              <w:r>
                <w:rPr>
                  <w:rFonts w:ascii="Arial" w:cs="Arial" w:eastAsia="Arial" w:hAnsi="Arial"/>
                  <w:sz w:val="18"/>
                  <w:szCs w:val="18"/>
                  <w:color w:val="0000FF"/>
                </w:rPr>
                <w:t>Item 6.</w:t>
              </w:r>
            </w:hyperlink>
          </w:p>
        </w:tc>
        <w:tc>
          <w:tcPr>
            <w:tcW w:w="8920" w:type="dxa"/>
            <w:vAlign w:val="bottom"/>
            <w:gridSpan w:val="18"/>
          </w:tcPr>
          <w:p>
            <w:pPr>
              <w:spacing w:after="0"/>
              <w:rPr>
                <w:rFonts w:ascii="Arial" w:cs="Arial" w:eastAsia="Arial" w:hAnsi="Arial"/>
                <w:sz w:val="18"/>
                <w:szCs w:val="18"/>
                <w:color w:val="0000FF"/>
              </w:rPr>
            </w:pPr>
            <w:hyperlink w:anchor="page44">
              <w:r>
                <w:rPr>
                  <w:rFonts w:ascii="Arial" w:cs="Arial" w:eastAsia="Arial" w:hAnsi="Arial"/>
                  <w:sz w:val="18"/>
                  <w:szCs w:val="18"/>
                  <w:color w:val="0000FF"/>
                </w:rPr>
                <w:t>Exhibits</w:t>
              </w:r>
            </w:hyperlink>
          </w:p>
        </w:tc>
        <w:tc>
          <w:tcPr>
            <w:tcW w:w="180" w:type="dxa"/>
            <w:vAlign w:val="bottom"/>
            <w:gridSpan w:val="2"/>
          </w:tcPr>
          <w:p>
            <w:pPr>
              <w:spacing w:after="0"/>
              <w:rPr>
                <w:rFonts w:ascii="Arial" w:cs="Arial" w:eastAsia="Arial" w:hAnsi="Arial"/>
                <w:sz w:val="18"/>
                <w:szCs w:val="18"/>
                <w:color w:val="0000FF"/>
                <w:w w:val="79"/>
              </w:rPr>
            </w:pPr>
            <w:hyperlink w:anchor="page44">
              <w:r>
                <w:rPr>
                  <w:rFonts w:ascii="Arial" w:cs="Arial" w:eastAsia="Arial" w:hAnsi="Arial"/>
                  <w:sz w:val="18"/>
                  <w:szCs w:val="18"/>
                  <w:color w:val="0000FF"/>
                  <w:w w:val="79"/>
                </w:rPr>
                <w:t>45</w:t>
              </w:r>
            </w:hyperlink>
          </w:p>
        </w:tc>
        <w:tc>
          <w:tcPr>
            <w:tcW w:w="560" w:type="dxa"/>
            <w:vAlign w:val="bottom"/>
          </w:tcPr>
          <w:p>
            <w:pPr>
              <w:spacing w:after="0"/>
              <w:rPr>
                <w:sz w:val="21"/>
                <w:szCs w:val="21"/>
                <w:color w:val="auto"/>
              </w:rPr>
            </w:pPr>
          </w:p>
        </w:tc>
      </w:tr>
      <w:tr>
        <w:trPr>
          <w:trHeight w:val="20"/>
        </w:trPr>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160" w:type="dxa"/>
            <w:vAlign w:val="bottom"/>
            <w:gridSpan w:val="14"/>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50"/>
        </w:trPr>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920" w:type="dxa"/>
            <w:vAlign w:val="bottom"/>
            <w:gridSpan w:val="18"/>
          </w:tcPr>
          <w:p>
            <w:pPr>
              <w:spacing w:after="0"/>
              <w:rPr>
                <w:rFonts w:ascii="Arial" w:cs="Arial" w:eastAsia="Arial" w:hAnsi="Arial"/>
                <w:sz w:val="18"/>
                <w:szCs w:val="18"/>
                <w:color w:val="0000FF"/>
              </w:rPr>
            </w:pPr>
            <w:hyperlink w:anchor="page45">
              <w:r>
                <w:rPr>
                  <w:rFonts w:ascii="Arial" w:cs="Arial" w:eastAsia="Arial" w:hAnsi="Arial"/>
                  <w:sz w:val="18"/>
                  <w:szCs w:val="18"/>
                  <w:color w:val="0000FF"/>
                </w:rPr>
                <w:t>Signatures</w:t>
              </w:r>
            </w:hyperlink>
          </w:p>
        </w:tc>
        <w:tc>
          <w:tcPr>
            <w:tcW w:w="180" w:type="dxa"/>
            <w:vAlign w:val="bottom"/>
            <w:gridSpan w:val="2"/>
          </w:tcPr>
          <w:p>
            <w:pPr>
              <w:spacing w:after="0"/>
              <w:rPr>
                <w:rFonts w:ascii="Arial" w:cs="Arial" w:eastAsia="Arial" w:hAnsi="Arial"/>
                <w:sz w:val="18"/>
                <w:szCs w:val="18"/>
                <w:color w:val="0000FF"/>
                <w:w w:val="79"/>
              </w:rPr>
            </w:pPr>
            <w:hyperlink w:anchor="page45">
              <w:r>
                <w:rPr>
                  <w:rFonts w:ascii="Arial" w:cs="Arial" w:eastAsia="Arial" w:hAnsi="Arial"/>
                  <w:sz w:val="18"/>
                  <w:szCs w:val="18"/>
                  <w:color w:val="0000FF"/>
                  <w:w w:val="79"/>
                </w:rPr>
                <w:t>46</w:t>
              </w:r>
            </w:hyperlink>
          </w:p>
        </w:tc>
        <w:tc>
          <w:tcPr>
            <w:tcW w:w="560" w:type="dxa"/>
            <w:vAlign w:val="bottom"/>
          </w:tcPr>
          <w:p>
            <w:pPr>
              <w:spacing w:after="0"/>
              <w:rPr>
                <w:sz w:val="21"/>
                <w:szCs w:val="21"/>
                <w:color w:val="auto"/>
              </w:rPr>
            </w:pPr>
          </w:p>
        </w:tc>
      </w:tr>
      <w:tr>
        <w:trPr>
          <w:trHeight w:val="1148"/>
        </w:trPr>
        <w:tc>
          <w:tcPr>
            <w:tcW w:w="18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540" w:type="dxa"/>
            <w:vAlign w:val="bottom"/>
            <w:tcBorders>
              <w:top w:val="single" w:sz="8" w:color="0000FF"/>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160" w:type="dxa"/>
            <w:vAlign w:val="bottom"/>
            <w:tcBorders>
              <w:top w:val="single" w:sz="8" w:color="0000FF"/>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2460" w:type="dxa"/>
            <w:vAlign w:val="bottom"/>
            <w:tcBorders>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16"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83"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This Quarterly Report on Form 10-Q (this “Form 10-Q”) contains “forward-looking statements” within the meaning of Section 27A of the Securities Act of 1933, as amended (the “Securities Act”), and Section 21E of the Securities Exchange Act of 1934, as amended (the “Exchange Act”), which are subject to the “safe harbor” created by those sections. All statements, other than statements of historical facts included in this Form 10-Q, including statements concerning our plans, objectives, goals, beliefs, business strategies, future events, business conditions, results of operations, financial position, business outlook, business trends and other information, may be forward-looking statements.</w:t>
      </w:r>
    </w:p>
    <w:p>
      <w:pPr>
        <w:spacing w:after="0" w:line="6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Words such as “believes,” “expects,” “may,” “will,” “should,” “seeks,” “intends,” “plans,” “estimates,” or “anticipates,” and variations of such words or similar expressions are intended to identify forward-looking statements. The forward-looking statements are not historical facts or guarantees of future performance and are based upon our current expectations, beliefs, estimates and projections, and various assumptions, many of which, by their nature, are inherently uncertain and beyond our control. Our expectations, beliefs, and projections are expressed in good faith and we believe there is a reasonable basis for them. However, there can be no assurance that management’s expectations, beliefs and projections will result or be achieved and actual results may vary materially from what is expressed in or indicated by the forward-looking statements.</w:t>
      </w:r>
    </w:p>
    <w:p>
      <w:pPr>
        <w:spacing w:after="0" w:line="7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There are a number of risks, uncertainties and other important factors, many of which are beyond our control, that could cause our actual results to differ materially from the forward-looking statements contained in this Form 10-Q. Such risks, uncertainties and other important factors that could cause actual results to differ include, among others, the risks, uncertainties and factors set forth in Part II, Item 1A - “Risk Factors” in this Form 10-Q and Part I, Item 1A - “Risk Factors” in the Company’s Annual Report on Form 10-K for the year ended January 2, 2021 (the “2020 Annual Report on Form 10-K”), as filed with the Securities and Exchange Commission (the “SEC”), as such risk factors may be updated from time to time in our periodic filings with the SEC, which are accessible on the SEC’s website at www.sec.gov, and also include the following:</w:t>
      </w:r>
    </w:p>
    <w:p>
      <w:pPr>
        <w:spacing w:after="0" w:line="70" w:lineRule="exact"/>
        <w:rPr>
          <w:sz w:val="20"/>
          <w:szCs w:val="20"/>
          <w:color w:val="auto"/>
        </w:rPr>
      </w:pPr>
    </w:p>
    <w:p>
      <w:pPr>
        <w:ind w:left="160" w:hanging="152"/>
        <w:spacing w:after="0"/>
        <w:tabs>
          <w:tab w:leader="none" w:pos="16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COVID-19 pandemic and its resurgence and variants, and the impact of evolving federal, state, and local governmental actions in response thereto;</w:t>
      </w:r>
    </w:p>
    <w:p>
      <w:pPr>
        <w:spacing w:after="0" w:line="46" w:lineRule="exact"/>
        <w:rPr>
          <w:rFonts w:ascii="Arial" w:cs="Arial" w:eastAsia="Arial" w:hAnsi="Arial"/>
          <w:sz w:val="16"/>
          <w:szCs w:val="16"/>
          <w:color w:val="auto"/>
        </w:rPr>
      </w:pPr>
    </w:p>
    <w:p>
      <w:pPr>
        <w:ind w:left="160" w:hanging="152"/>
        <w:spacing w:after="0"/>
        <w:tabs>
          <w:tab w:leader="none" w:pos="1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customer behavior in response to the continuing pandemic and its more recent outbreaks of variants;</w:t>
      </w:r>
    </w:p>
    <w:p>
      <w:pPr>
        <w:spacing w:after="0" w:line="9" w:lineRule="exact"/>
        <w:rPr>
          <w:rFonts w:ascii="Arial" w:cs="Arial" w:eastAsia="Arial" w:hAnsi="Arial"/>
          <w:sz w:val="18"/>
          <w:szCs w:val="18"/>
          <w:color w:val="auto"/>
        </w:rPr>
      </w:pPr>
    </w:p>
    <w:p>
      <w:pPr>
        <w:ind w:left="180" w:right="20" w:hanging="172"/>
        <w:spacing w:after="0" w:line="250" w:lineRule="auto"/>
        <w:tabs>
          <w:tab w:leader="none" w:pos="17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keep our reopened stores open in a safe and cost-effective manner, or at all, in light of the continuing COVID-19 pandemic and its resurgence and variants;</w:t>
      </w:r>
    </w:p>
    <w:p>
      <w:pPr>
        <w:ind w:left="160" w:hanging="152"/>
        <w:spacing w:after="0"/>
        <w:tabs>
          <w:tab w:leader="none" w:pos="1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recruit and retain vision care professionals for our stores in general and in light of the pandemic;</w:t>
      </w:r>
    </w:p>
    <w:p>
      <w:pPr>
        <w:spacing w:after="0" w:line="9" w:lineRule="exact"/>
        <w:rPr>
          <w:rFonts w:ascii="Arial" w:cs="Arial" w:eastAsia="Arial" w:hAnsi="Arial"/>
          <w:sz w:val="18"/>
          <w:szCs w:val="18"/>
          <w:color w:val="auto"/>
        </w:rPr>
      </w:pPr>
    </w:p>
    <w:p>
      <w:pPr>
        <w:ind w:left="160" w:hanging="152"/>
        <w:spacing w:after="0"/>
        <w:tabs>
          <w:tab w:leader="none" w:pos="16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develop, maintain and extend relationships with managed vision care companies, vision insurance providers and other third-party payors;</w:t>
      </w:r>
    </w:p>
    <w:p>
      <w:pPr>
        <w:spacing w:after="0" w:line="32" w:lineRule="exact"/>
        <w:rPr>
          <w:rFonts w:ascii="Arial" w:cs="Arial" w:eastAsia="Arial" w:hAnsi="Arial"/>
          <w:sz w:val="16"/>
          <w:szCs w:val="16"/>
          <w:color w:val="auto"/>
        </w:rPr>
      </w:pPr>
    </w:p>
    <w:p>
      <w:pPr>
        <w:ind w:left="160" w:hanging="152"/>
        <w:spacing w:after="0"/>
        <w:tabs>
          <w:tab w:leader="none" w:pos="16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maintain the performance of our host and legacy brands and our current operating relationships with our host and legacy partners;</w:t>
      </w:r>
    </w:p>
    <w:p>
      <w:pPr>
        <w:spacing w:after="0" w:line="20" w:lineRule="exact"/>
        <w:rPr>
          <w:rFonts w:ascii="Arial" w:cs="Arial" w:eastAsia="Arial" w:hAnsi="Arial"/>
          <w:sz w:val="17"/>
          <w:szCs w:val="17"/>
          <w:color w:val="auto"/>
        </w:rPr>
      </w:pPr>
    </w:p>
    <w:p>
      <w:pPr>
        <w:ind w:left="160" w:hanging="152"/>
        <w:spacing w:after="0"/>
        <w:tabs>
          <w:tab w:leader="none" w:pos="1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adhere to extensive state, local and federal vision care and healthcare laws and regulations;</w:t>
      </w:r>
    </w:p>
    <w:p>
      <w:pPr>
        <w:spacing w:after="0" w:line="9" w:lineRule="exact"/>
        <w:rPr>
          <w:rFonts w:ascii="Arial" w:cs="Arial" w:eastAsia="Arial" w:hAnsi="Arial"/>
          <w:sz w:val="18"/>
          <w:szCs w:val="18"/>
          <w:color w:val="auto"/>
        </w:rPr>
      </w:pPr>
    </w:p>
    <w:p>
      <w:pPr>
        <w:ind w:left="160" w:hanging="152"/>
        <w:spacing w:after="0"/>
        <w:tabs>
          <w:tab w:leader="none" w:pos="1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compliance with managed vision care laws and regulations;</w:t>
      </w:r>
    </w:p>
    <w:p>
      <w:pPr>
        <w:spacing w:after="0" w:line="9" w:lineRule="exact"/>
        <w:rPr>
          <w:rFonts w:ascii="Arial" w:cs="Arial" w:eastAsia="Arial" w:hAnsi="Arial"/>
          <w:sz w:val="18"/>
          <w:szCs w:val="18"/>
          <w:color w:val="auto"/>
        </w:rPr>
      </w:pPr>
    </w:p>
    <w:p>
      <w:pPr>
        <w:ind w:left="180" w:hanging="172"/>
        <w:spacing w:after="0" w:line="250" w:lineRule="auto"/>
        <w:tabs>
          <w:tab w:leader="none" w:pos="17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maintain sufficient levels of cash flow from our operations to execute or sustain our growth strategy or obtain additional financing at satisfactory terms or at all;</w:t>
      </w:r>
    </w:p>
    <w:p>
      <w:pPr>
        <w:ind w:left="180" w:hanging="172"/>
        <w:spacing w:after="0" w:line="250" w:lineRule="auto"/>
        <w:tabs>
          <w:tab w:leader="none" w:pos="17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loss of, or disruption in the operations of, one or more of our distribution centers and/or optical laboratories, resulting in the inability to fulfill customer orders and deliver our products in a timely manner;</w:t>
      </w:r>
    </w:p>
    <w:p>
      <w:pPr>
        <w:ind w:left="160" w:hanging="152"/>
        <w:spacing w:after="0"/>
        <w:tabs>
          <w:tab w:leader="none" w:pos="1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associated with vendors from whom our products are sourced, including our dependence on a limited number of suppliers;</w:t>
      </w:r>
    </w:p>
    <w:p>
      <w:pPr>
        <w:spacing w:after="0" w:line="9" w:lineRule="exact"/>
        <w:rPr>
          <w:rFonts w:ascii="Arial" w:cs="Arial" w:eastAsia="Arial" w:hAnsi="Arial"/>
          <w:sz w:val="18"/>
          <w:szCs w:val="18"/>
          <w:color w:val="auto"/>
        </w:rPr>
      </w:pPr>
    </w:p>
    <w:p>
      <w:pPr>
        <w:ind w:left="160" w:hanging="152"/>
        <w:spacing w:after="0"/>
        <w:tabs>
          <w:tab w:leader="none" w:pos="1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compete successfully;</w:t>
      </w:r>
    </w:p>
    <w:p>
      <w:pPr>
        <w:spacing w:after="0" w:line="9" w:lineRule="exact"/>
        <w:rPr>
          <w:rFonts w:ascii="Arial" w:cs="Arial" w:eastAsia="Arial" w:hAnsi="Arial"/>
          <w:sz w:val="18"/>
          <w:szCs w:val="18"/>
          <w:color w:val="auto"/>
        </w:rPr>
      </w:pPr>
    </w:p>
    <w:p>
      <w:pPr>
        <w:ind w:left="160" w:hanging="152"/>
        <w:spacing w:after="0"/>
        <w:tabs>
          <w:tab w:leader="none" w:pos="1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effectively operate our information technology systems and prevent interruption or security breach;</w:t>
      </w:r>
    </w:p>
    <w:p>
      <w:pPr>
        <w:spacing w:after="0" w:line="9" w:lineRule="exact"/>
        <w:rPr>
          <w:rFonts w:ascii="Arial" w:cs="Arial" w:eastAsia="Arial" w:hAnsi="Arial"/>
          <w:sz w:val="18"/>
          <w:szCs w:val="18"/>
          <w:color w:val="auto"/>
        </w:rPr>
      </w:pPr>
    </w:p>
    <w:p>
      <w:pPr>
        <w:ind w:left="160" w:hanging="152"/>
        <w:spacing w:after="0"/>
        <w:tabs>
          <w:tab w:leader="none" w:pos="1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growth strategy straining our existing resources and causing the performance of our existing stores to suffer;</w:t>
      </w:r>
    </w:p>
    <w:p>
      <w:pPr>
        <w:spacing w:after="0" w:line="9" w:lineRule="exact"/>
        <w:rPr>
          <w:rFonts w:ascii="Arial" w:cs="Arial" w:eastAsia="Arial" w:hAnsi="Arial"/>
          <w:sz w:val="18"/>
          <w:szCs w:val="18"/>
          <w:color w:val="auto"/>
        </w:rPr>
      </w:pPr>
    </w:p>
    <w:p>
      <w:pPr>
        <w:ind w:left="160" w:hanging="152"/>
        <w:spacing w:after="0"/>
        <w:tabs>
          <w:tab w:leader="none" w:pos="1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wage rate increases, inflation, cost increases and increases in raw material prices and energy prices;</w:t>
      </w:r>
    </w:p>
    <w:p>
      <w:pPr>
        <w:spacing w:after="0" w:line="9" w:lineRule="exact"/>
        <w:rPr>
          <w:rFonts w:ascii="Arial" w:cs="Arial" w:eastAsia="Arial" w:hAnsi="Arial"/>
          <w:sz w:val="18"/>
          <w:szCs w:val="18"/>
          <w:color w:val="auto"/>
        </w:rPr>
      </w:pPr>
    </w:p>
    <w:p>
      <w:pPr>
        <w:ind w:left="160" w:hanging="152"/>
        <w:spacing w:after="0"/>
        <w:tabs>
          <w:tab w:leader="none" w:pos="1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successfully implement our marketing, advertising and promotional efforts;</w:t>
      </w:r>
    </w:p>
    <w:p>
      <w:pPr>
        <w:spacing w:after="0" w:line="9" w:lineRule="exact"/>
        <w:rPr>
          <w:rFonts w:ascii="Arial" w:cs="Arial" w:eastAsia="Arial" w:hAnsi="Arial"/>
          <w:sz w:val="18"/>
          <w:szCs w:val="18"/>
          <w:color w:val="auto"/>
        </w:rPr>
      </w:pPr>
    </w:p>
    <w:p>
      <w:pPr>
        <w:ind w:left="160" w:hanging="152"/>
        <w:spacing w:after="0"/>
        <w:tabs>
          <w:tab w:leader="none" w:pos="1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associated with leasing substantial amounts of space, including future increases in occupancy costs;</w:t>
      </w:r>
    </w:p>
    <w:p>
      <w:pPr>
        <w:spacing w:after="0" w:line="9" w:lineRule="exact"/>
        <w:rPr>
          <w:rFonts w:ascii="Arial" w:cs="Arial" w:eastAsia="Arial" w:hAnsi="Arial"/>
          <w:sz w:val="18"/>
          <w:szCs w:val="18"/>
          <w:color w:val="auto"/>
        </w:rPr>
      </w:pPr>
    </w:p>
    <w:p>
      <w:pPr>
        <w:ind w:left="180" w:right="20" w:hanging="172"/>
        <w:spacing w:after="0" w:line="250" w:lineRule="auto"/>
        <w:tabs>
          <w:tab w:leader="none" w:pos="17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certain technological advances, and the greater availability of, or increased consumer preferences for, vision correction alternatives to prescription eyeglasses or contact lenses, and future drug development for the correction of vision-related problems;</w:t>
      </w:r>
    </w:p>
    <w:p>
      <w:pPr>
        <w:ind w:left="160" w:hanging="152"/>
        <w:spacing w:after="0"/>
        <w:tabs>
          <w:tab w:leader="none" w:pos="1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retain our existing senior management team and attract qualified new personnel;</w:t>
      </w:r>
    </w:p>
    <w:p>
      <w:pPr>
        <w:spacing w:after="0" w:line="9" w:lineRule="exact"/>
        <w:rPr>
          <w:rFonts w:ascii="Arial" w:cs="Arial" w:eastAsia="Arial" w:hAnsi="Arial"/>
          <w:sz w:val="18"/>
          <w:szCs w:val="18"/>
          <w:color w:val="auto"/>
        </w:rPr>
      </w:pPr>
    </w:p>
    <w:p>
      <w:pPr>
        <w:ind w:left="160" w:hanging="152"/>
        <w:spacing w:after="0"/>
        <w:tabs>
          <w:tab w:leader="none" w:pos="1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overall decline in the health of the economy and other factors impacting consumer spending;</w:t>
      </w:r>
    </w:p>
    <w:p>
      <w:pPr>
        <w:spacing w:after="0" w:line="9" w:lineRule="exact"/>
        <w:rPr>
          <w:rFonts w:ascii="Arial" w:cs="Arial" w:eastAsia="Arial" w:hAnsi="Arial"/>
          <w:sz w:val="18"/>
          <w:szCs w:val="18"/>
          <w:color w:val="auto"/>
        </w:rPr>
      </w:pPr>
    </w:p>
    <w:p>
      <w:pPr>
        <w:ind w:left="160" w:hanging="152"/>
        <w:spacing w:after="0"/>
        <w:tabs>
          <w:tab w:leader="none" w:pos="1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manage our inventory;</w:t>
      </w:r>
    </w:p>
    <w:p>
      <w:pPr>
        <w:spacing w:after="0" w:line="9" w:lineRule="exact"/>
        <w:rPr>
          <w:rFonts w:ascii="Arial" w:cs="Arial" w:eastAsia="Arial" w:hAnsi="Arial"/>
          <w:sz w:val="18"/>
          <w:szCs w:val="18"/>
          <w:color w:val="auto"/>
        </w:rPr>
      </w:pPr>
    </w:p>
    <w:p>
      <w:pPr>
        <w:ind w:left="160" w:hanging="152"/>
        <w:spacing w:after="0"/>
        <w:tabs>
          <w:tab w:leader="none" w:pos="160" w:val="left"/>
        </w:tabs>
        <w:numPr>
          <w:ilvl w:val="0"/>
          <w:numId w:val="3"/>
        </w:numPr>
        <w:rPr>
          <w:rFonts w:ascii="Arial" w:cs="Arial" w:eastAsia="Arial" w:hAnsi="Arial"/>
          <w:sz w:val="18"/>
          <w:szCs w:val="18"/>
          <w:color w:val="auto"/>
        </w:rPr>
      </w:pPr>
      <w:r>
        <w:rPr>
          <w:rFonts w:ascii="Arial" w:cs="Arial" w:eastAsia="Arial" w:hAnsi="Arial"/>
          <w:sz w:val="18"/>
          <w:szCs w:val="18"/>
          <w:color w:val="auto"/>
        </w:rPr>
        <w:t>seasonal fluctuations in our operating results and inventory levels;</w:t>
      </w:r>
    </w:p>
    <w:p>
      <w:pPr>
        <w:spacing w:after="0" w:line="9" w:lineRule="exact"/>
        <w:rPr>
          <w:rFonts w:ascii="Arial" w:cs="Arial" w:eastAsia="Arial" w:hAnsi="Arial"/>
          <w:sz w:val="18"/>
          <w:szCs w:val="18"/>
          <w:color w:val="auto"/>
        </w:rPr>
      </w:pPr>
    </w:p>
    <w:p>
      <w:pPr>
        <w:ind w:left="160" w:hanging="152"/>
        <w:spacing w:after="0"/>
        <w:tabs>
          <w:tab w:leader="none" w:pos="1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reliance on third-party coverage and reimbursement, including government programs, for an increasing portion of our revenues;</w:t>
      </w:r>
    </w:p>
    <w:p>
      <w:pPr>
        <w:spacing w:after="0" w:line="9" w:lineRule="exact"/>
        <w:rPr>
          <w:rFonts w:ascii="Arial" w:cs="Arial" w:eastAsia="Arial" w:hAnsi="Arial"/>
          <w:sz w:val="18"/>
          <w:szCs w:val="18"/>
          <w:color w:val="auto"/>
        </w:rPr>
      </w:pPr>
    </w:p>
    <w:p>
      <w:pPr>
        <w:ind w:left="160" w:hanging="152"/>
        <w:spacing w:after="0"/>
        <w:tabs>
          <w:tab w:leader="none" w:pos="1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associated with our e-commerce and omni-channel business;</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3" w:name="page4"/>
    <w:bookmarkEnd w:id="3"/>
    <w:p>
      <w:pPr>
        <w:ind w:left="160" w:hanging="152"/>
        <w:spacing w:after="0"/>
        <w:tabs>
          <w:tab w:leader="none" w:pos="160" w:val="left"/>
        </w:tabs>
        <w:numPr>
          <w:ilvl w:val="0"/>
          <w:numId w:val="4"/>
        </w:numPr>
        <w:rPr>
          <w:rFonts w:ascii="Arial" w:cs="Arial" w:eastAsia="Arial" w:hAnsi="Arial"/>
          <w:sz w:val="18"/>
          <w:szCs w:val="18"/>
          <w:color w:val="auto"/>
        </w:rPr>
      </w:pPr>
      <w:r>
        <w:rPr>
          <w:rFonts w:ascii="Arial" w:cs="Arial" w:eastAsia="Arial" w:hAnsi="Arial"/>
          <w:sz w:val="18"/>
          <w:szCs w:val="18"/>
          <w:color w:val="auto"/>
        </w:rPr>
        <w:t>product liability, product recall or personal injury issues;</w:t>
      </w:r>
    </w:p>
    <w:p>
      <w:pPr>
        <w:spacing w:after="0" w:line="23" w:lineRule="exact"/>
        <w:rPr>
          <w:rFonts w:ascii="Arial" w:cs="Arial" w:eastAsia="Arial" w:hAnsi="Arial"/>
          <w:sz w:val="18"/>
          <w:szCs w:val="18"/>
          <w:color w:val="auto"/>
        </w:rPr>
      </w:pPr>
    </w:p>
    <w:p>
      <w:pPr>
        <w:ind w:left="160" w:hanging="152"/>
        <w:spacing w:after="0"/>
        <w:tabs>
          <w:tab w:leader="none" w:pos="1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failure to comply with, or changes in, laws, regulations, enforcement activities and other requirements;</w:t>
      </w:r>
    </w:p>
    <w:p>
      <w:pPr>
        <w:spacing w:after="0" w:line="9" w:lineRule="exact"/>
        <w:rPr>
          <w:rFonts w:ascii="Arial" w:cs="Arial" w:eastAsia="Arial" w:hAnsi="Arial"/>
          <w:sz w:val="18"/>
          <w:szCs w:val="18"/>
          <w:color w:val="auto"/>
        </w:rPr>
      </w:pPr>
    </w:p>
    <w:p>
      <w:pPr>
        <w:ind w:left="160" w:hanging="152"/>
        <w:spacing w:after="0"/>
        <w:tabs>
          <w:tab w:leader="none" w:pos="1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impact of any adverse litigation judgments or settlements resulting from legal proceedings relating to our business operations;</w:t>
      </w:r>
    </w:p>
    <w:p>
      <w:pPr>
        <w:spacing w:after="0" w:line="9" w:lineRule="exact"/>
        <w:rPr>
          <w:rFonts w:ascii="Arial" w:cs="Arial" w:eastAsia="Arial" w:hAnsi="Arial"/>
          <w:sz w:val="18"/>
          <w:szCs w:val="18"/>
          <w:color w:val="auto"/>
        </w:rPr>
      </w:pPr>
    </w:p>
    <w:p>
      <w:pPr>
        <w:ind w:left="160" w:hanging="152"/>
        <w:spacing w:after="0"/>
        <w:tabs>
          <w:tab w:leader="none" w:pos="1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risk of losses arising from our investments in technological innovators in the optical retail industry;</w:t>
      </w:r>
    </w:p>
    <w:p>
      <w:pPr>
        <w:spacing w:after="0" w:line="9" w:lineRule="exact"/>
        <w:rPr>
          <w:rFonts w:ascii="Arial" w:cs="Arial" w:eastAsia="Arial" w:hAnsi="Arial"/>
          <w:sz w:val="18"/>
          <w:szCs w:val="18"/>
          <w:color w:val="auto"/>
        </w:rPr>
      </w:pPr>
    </w:p>
    <w:p>
      <w:pPr>
        <w:ind w:left="160" w:hanging="152"/>
        <w:spacing w:after="0"/>
        <w:tabs>
          <w:tab w:leader="none" w:pos="1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adequately protect our intellectual property;</w:t>
      </w:r>
    </w:p>
    <w:p>
      <w:pPr>
        <w:spacing w:after="0" w:line="9" w:lineRule="exact"/>
        <w:rPr>
          <w:rFonts w:ascii="Arial" w:cs="Arial" w:eastAsia="Arial" w:hAnsi="Arial"/>
          <w:sz w:val="18"/>
          <w:szCs w:val="18"/>
          <w:color w:val="auto"/>
        </w:rPr>
      </w:pPr>
    </w:p>
    <w:p>
      <w:pPr>
        <w:ind w:left="160" w:hanging="152"/>
        <w:spacing w:after="0"/>
        <w:tabs>
          <w:tab w:leader="none" w:pos="1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significant amount of indebtedness and our ability to generate sufficient cash flow to satisfy our debt obligations;</w:t>
      </w:r>
    </w:p>
    <w:p>
      <w:pPr>
        <w:spacing w:after="0" w:line="9" w:lineRule="exact"/>
        <w:rPr>
          <w:rFonts w:ascii="Arial" w:cs="Arial" w:eastAsia="Arial" w:hAnsi="Arial"/>
          <w:sz w:val="18"/>
          <w:szCs w:val="18"/>
          <w:color w:val="auto"/>
        </w:rPr>
      </w:pPr>
    </w:p>
    <w:p>
      <w:pPr>
        <w:ind w:left="160" w:hanging="152"/>
        <w:spacing w:after="0"/>
        <w:tabs>
          <w:tab w:leader="none" w:pos="1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 change in interest rates as well as changes in benchmark rates and uncertainty related to the foregoing;</w:t>
      </w:r>
    </w:p>
    <w:p>
      <w:pPr>
        <w:spacing w:after="0" w:line="9" w:lineRule="exact"/>
        <w:rPr>
          <w:rFonts w:ascii="Arial" w:cs="Arial" w:eastAsia="Arial" w:hAnsi="Arial"/>
          <w:sz w:val="18"/>
          <w:szCs w:val="18"/>
          <w:color w:val="auto"/>
        </w:rPr>
      </w:pPr>
    </w:p>
    <w:p>
      <w:pPr>
        <w:ind w:left="160" w:hanging="152"/>
        <w:spacing w:after="0"/>
        <w:tabs>
          <w:tab w:leader="none" w:pos="1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restrictions in our credit agreement that limits our flexibility in operating our business;</w:t>
      </w:r>
    </w:p>
    <w:p>
      <w:pPr>
        <w:spacing w:after="0" w:line="9" w:lineRule="exact"/>
        <w:rPr>
          <w:rFonts w:ascii="Arial" w:cs="Arial" w:eastAsia="Arial" w:hAnsi="Arial"/>
          <w:sz w:val="18"/>
          <w:szCs w:val="18"/>
          <w:color w:val="auto"/>
        </w:rPr>
      </w:pPr>
    </w:p>
    <w:p>
      <w:pPr>
        <w:ind w:left="160" w:hanging="152"/>
        <w:spacing w:after="0"/>
        <w:tabs>
          <w:tab w:leader="none" w:pos="160" w:val="left"/>
        </w:tabs>
        <w:numPr>
          <w:ilvl w:val="0"/>
          <w:numId w:val="4"/>
        </w:numPr>
        <w:rPr>
          <w:rFonts w:ascii="Arial" w:cs="Arial" w:eastAsia="Arial" w:hAnsi="Arial"/>
          <w:sz w:val="18"/>
          <w:szCs w:val="18"/>
          <w:color w:val="auto"/>
        </w:rPr>
      </w:pPr>
      <w:r>
        <w:rPr>
          <w:rFonts w:ascii="Arial" w:cs="Arial" w:eastAsia="Arial" w:hAnsi="Arial"/>
          <w:sz w:val="18"/>
          <w:szCs w:val="18"/>
          <w:color w:val="auto"/>
        </w:rPr>
        <w:t>potential dilution to existing stockholders upon the conversion of our convertible notes; and</w:t>
      </w:r>
    </w:p>
    <w:p>
      <w:pPr>
        <w:spacing w:after="0" w:line="9" w:lineRule="exact"/>
        <w:rPr>
          <w:rFonts w:ascii="Arial" w:cs="Arial" w:eastAsia="Arial" w:hAnsi="Arial"/>
          <w:sz w:val="18"/>
          <w:szCs w:val="18"/>
          <w:color w:val="auto"/>
        </w:rPr>
      </w:pPr>
    </w:p>
    <w:p>
      <w:pPr>
        <w:ind w:left="180" w:hanging="172"/>
        <w:spacing w:after="0" w:line="260" w:lineRule="auto"/>
        <w:tabs>
          <w:tab w:leader="none" w:pos="175" w:val="left"/>
        </w:tabs>
        <w:numPr>
          <w:ilvl w:val="0"/>
          <w:numId w:val="4"/>
        </w:numPr>
        <w:rPr>
          <w:rFonts w:ascii="Arial" w:cs="Arial" w:eastAsia="Arial" w:hAnsi="Arial"/>
          <w:sz w:val="18"/>
          <w:szCs w:val="18"/>
          <w:color w:val="auto"/>
        </w:rPr>
      </w:pPr>
      <w:r>
        <w:rPr>
          <w:rFonts w:ascii="Arial" w:cs="Arial" w:eastAsia="Arial" w:hAnsi="Arial"/>
          <w:sz w:val="18"/>
          <w:szCs w:val="18"/>
          <w:color w:val="auto"/>
        </w:rPr>
        <w:t>risks related to owning our common stock, including our ability to comply with requirements to design and implement and maintain effective internal controls.</w:t>
      </w:r>
    </w:p>
    <w:p>
      <w:pPr>
        <w:spacing w:after="0" w:line="7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caution you that the risks, uncertainties and other factors referenced above may not contain all of the risks, uncertainties and other factors that are important to you. In addition, we cannot assure you that we will realize the results, benefits or developments that we expect or anticipate or, even if substantially realized, that they will result in the consequences or affect us or our business in the way expected. There can be no assurance that (i) we have correctly measured or identified all of the factors affecting our business or the extent of these factors’ likely impact, (ii) the available information with respect to these factors on which such analysis is based is complete or accurate, (iii) such analysis is correct or (iv) our strategy, which is based in part on this analysis, will be successful. All forward-looking statements in this Form 10-Q apply only as of the date of this Form 10-Q or as of the date they were made and, except as required by applicable law, we undertake no obligation to publicly update or revise any forward-looking statement, whether as a result of new information, future developments or otherwise.</w:t>
      </w:r>
    </w:p>
    <w:p>
      <w:pPr>
        <w:spacing w:after="0" w:line="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All references to “we,” “us,” “our,” or the “Company” in this Form 10-Q mean National Vision Holdings, Inc. and its subsidiaries, unless the context otherwise requires. References to “eye care practitioners” in this Form 10-Q mean optometrists and ophthalmologists and references to “vision care professionals” mean optometrists (including optometrists employed by us or by professional corporations owned by eye care practitioners with which we have arrangements) and opticians.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Website Disclosure</w:t>
      </w:r>
    </w:p>
    <w:p>
      <w:pPr>
        <w:spacing w:after="0" w:line="12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use our website www.nationalvision.com as a channel of distribution of Company information. Financial and other important information regarding the Company is routinely accessible through and posted on our website. Accordingly, investors should monitor our website, in addition to following our press releases, SEC filings and public conference calls and webcasts. In addition, you may automatically receive e-mail alerts and other information about National Vision Holdings, Inc. when you enroll your e-mail address by visiting the “Email Alerts” page of the Investor Resources section of our website at www.nationalvision.com/investors. The contents of our website are not, however, a part of this Form 10-Q.</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4" w:name="page5"/>
    <w:bookmarkEnd w:id="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 (Unaudited)</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National Vision Holdings,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July 3, 2021 and January 2,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Except Par Value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8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ASSETS</w:t>
            </w:r>
          </w:p>
        </w:tc>
        <w:tc>
          <w:tcPr>
            <w:tcW w:w="380" w:type="dxa"/>
            <w:vAlign w:val="bottom"/>
          </w:tcPr>
          <w:p>
            <w:pPr>
              <w:spacing w:after="0"/>
              <w:rPr>
                <w:sz w:val="17"/>
                <w:szCs w:val="17"/>
                <w:color w:val="auto"/>
              </w:rPr>
            </w:pPr>
          </w:p>
        </w:tc>
        <w:tc>
          <w:tcPr>
            <w:tcW w:w="1900" w:type="dxa"/>
            <w:vAlign w:val="bottom"/>
            <w:gridSpan w:val="2"/>
          </w:tcPr>
          <w:p>
            <w:pPr>
              <w:jc w:val="center"/>
              <w:ind w:right="500"/>
              <w:spacing w:after="0"/>
              <w:rPr>
                <w:sz w:val="20"/>
                <w:szCs w:val="20"/>
                <w:color w:val="auto"/>
              </w:rPr>
            </w:pPr>
            <w:r>
              <w:rPr>
                <w:rFonts w:ascii="Arial" w:cs="Arial" w:eastAsia="Arial" w:hAnsi="Arial"/>
                <w:sz w:val="18"/>
                <w:szCs w:val="18"/>
                <w:color w:val="auto"/>
                <w:w w:val="97"/>
              </w:rPr>
              <w:t>As of</w:t>
            </w:r>
          </w:p>
        </w:tc>
        <w:tc>
          <w:tcPr>
            <w:tcW w:w="300" w:type="dxa"/>
            <w:vAlign w:val="bottom"/>
          </w:tcPr>
          <w:p>
            <w:pPr>
              <w:spacing w:after="0"/>
              <w:rPr>
                <w:sz w:val="17"/>
                <w:szCs w:val="17"/>
                <w:color w:val="auto"/>
              </w:rPr>
            </w:pPr>
          </w:p>
        </w:tc>
        <w:tc>
          <w:tcPr>
            <w:tcW w:w="1860" w:type="dxa"/>
            <w:vAlign w:val="bottom"/>
          </w:tcPr>
          <w:p>
            <w:pPr>
              <w:jc w:val="right"/>
              <w:ind w:right="790"/>
              <w:spacing w:after="0"/>
              <w:rPr>
                <w:sz w:val="20"/>
                <w:szCs w:val="20"/>
                <w:color w:val="auto"/>
              </w:rPr>
            </w:pPr>
            <w:r>
              <w:rPr>
                <w:rFonts w:ascii="Arial" w:cs="Arial" w:eastAsia="Arial" w:hAnsi="Arial"/>
                <w:sz w:val="18"/>
                <w:szCs w:val="18"/>
                <w:color w:val="auto"/>
              </w:rPr>
              <w:t>As of</w:t>
            </w:r>
          </w:p>
        </w:tc>
        <w:tc>
          <w:tcPr>
            <w:tcW w:w="0" w:type="dxa"/>
            <w:vAlign w:val="bottom"/>
          </w:tcPr>
          <w:p>
            <w:pPr>
              <w:spacing w:after="0"/>
              <w:rPr>
                <w:sz w:val="1"/>
                <w:szCs w:val="1"/>
                <w:color w:val="auto"/>
              </w:rPr>
            </w:pPr>
          </w:p>
        </w:tc>
      </w:tr>
      <w:tr>
        <w:trPr>
          <w:trHeight w:val="229"/>
        </w:trPr>
        <w:tc>
          <w:tcPr>
            <w:tcW w:w="6800" w:type="dxa"/>
            <w:vAlign w:val="bottom"/>
            <w:vMerge w:val="continue"/>
          </w:tcPr>
          <w:p>
            <w:pPr>
              <w:spacing w:after="0"/>
              <w:rPr>
                <w:sz w:val="19"/>
                <w:szCs w:val="19"/>
                <w:color w:val="auto"/>
              </w:rPr>
            </w:pPr>
          </w:p>
        </w:tc>
        <w:tc>
          <w:tcPr>
            <w:tcW w:w="380" w:type="dxa"/>
            <w:vAlign w:val="bottom"/>
          </w:tcPr>
          <w:p>
            <w:pPr>
              <w:spacing w:after="0"/>
              <w:rPr>
                <w:sz w:val="19"/>
                <w:szCs w:val="19"/>
                <w:color w:val="auto"/>
              </w:rPr>
            </w:pPr>
          </w:p>
        </w:tc>
        <w:tc>
          <w:tcPr>
            <w:tcW w:w="1900" w:type="dxa"/>
            <w:vAlign w:val="bottom"/>
            <w:gridSpan w:val="2"/>
          </w:tcPr>
          <w:p>
            <w:pPr>
              <w:jc w:val="center"/>
              <w:ind w:right="500"/>
              <w:spacing w:after="0"/>
              <w:rPr>
                <w:sz w:val="20"/>
                <w:szCs w:val="20"/>
                <w:color w:val="auto"/>
              </w:rPr>
            </w:pPr>
            <w:r>
              <w:rPr>
                <w:rFonts w:ascii="Arial" w:cs="Arial" w:eastAsia="Arial" w:hAnsi="Arial"/>
                <w:sz w:val="18"/>
                <w:szCs w:val="18"/>
                <w:color w:val="auto"/>
                <w:w w:val="90"/>
              </w:rPr>
              <w:t>July 3, 2021</w:t>
            </w:r>
          </w:p>
        </w:tc>
        <w:tc>
          <w:tcPr>
            <w:tcW w:w="300" w:type="dxa"/>
            <w:vAlign w:val="bottom"/>
          </w:tcPr>
          <w:p>
            <w:pPr>
              <w:spacing w:after="0"/>
              <w:rPr>
                <w:sz w:val="19"/>
                <w:szCs w:val="19"/>
                <w:color w:val="auto"/>
              </w:rPr>
            </w:pPr>
          </w:p>
        </w:tc>
        <w:tc>
          <w:tcPr>
            <w:tcW w:w="1860" w:type="dxa"/>
            <w:vAlign w:val="bottom"/>
          </w:tcPr>
          <w:p>
            <w:pPr>
              <w:jc w:val="right"/>
              <w:ind w:right="410"/>
              <w:spacing w:after="0"/>
              <w:rPr>
                <w:sz w:val="20"/>
                <w:szCs w:val="20"/>
                <w:color w:val="auto"/>
              </w:rPr>
            </w:pPr>
            <w:r>
              <w:rPr>
                <w:rFonts w:ascii="Arial" w:cs="Arial" w:eastAsia="Arial" w:hAnsi="Arial"/>
                <w:sz w:val="18"/>
                <w:szCs w:val="18"/>
                <w:color w:val="auto"/>
              </w:rPr>
              <w:t>January 2, 2021</w:t>
            </w:r>
          </w:p>
        </w:tc>
        <w:tc>
          <w:tcPr>
            <w:tcW w:w="0" w:type="dxa"/>
            <w:vAlign w:val="bottom"/>
          </w:tcPr>
          <w:p>
            <w:pPr>
              <w:spacing w:after="0"/>
              <w:rPr>
                <w:sz w:val="1"/>
                <w:szCs w:val="1"/>
                <w:color w:val="auto"/>
              </w:rPr>
            </w:pPr>
          </w:p>
        </w:tc>
      </w:tr>
      <w:tr>
        <w:trPr>
          <w:trHeight w:val="209"/>
        </w:trPr>
        <w:tc>
          <w:tcPr>
            <w:tcW w:w="68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Current assets:</w:t>
            </w:r>
          </w:p>
        </w:tc>
        <w:tc>
          <w:tcPr>
            <w:tcW w:w="380" w:type="dxa"/>
            <w:vAlign w:val="bottom"/>
            <w:tcBorders>
              <w:top w:val="single" w:sz="8" w:color="auto"/>
            </w:tcBorders>
            <w:shd w:val="clear" w:color="auto" w:fill="CCEEFF"/>
          </w:tcPr>
          <w:p>
            <w:pPr>
              <w:spacing w:after="0"/>
              <w:rPr>
                <w:sz w:val="18"/>
                <w:szCs w:val="18"/>
                <w:color w:val="auto"/>
              </w:rPr>
            </w:pPr>
          </w:p>
        </w:tc>
        <w:tc>
          <w:tcPr>
            <w:tcW w:w="17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8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800" w:type="dxa"/>
            <w:vAlign w:val="bottom"/>
          </w:tcPr>
          <w:p>
            <w:pPr>
              <w:ind w:left="220"/>
              <w:spacing w:after="0"/>
              <w:rPr>
                <w:sz w:val="20"/>
                <w:szCs w:val="20"/>
                <w:color w:val="auto"/>
              </w:rPr>
            </w:pPr>
            <w:r>
              <w:rPr>
                <w:rFonts w:ascii="Arial" w:cs="Arial" w:eastAsia="Arial" w:hAnsi="Arial"/>
                <w:sz w:val="18"/>
                <w:szCs w:val="18"/>
                <w:color w:val="auto"/>
              </w:rPr>
              <w:t>Cash and cash equivalents</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780" w:type="dxa"/>
            <w:vAlign w:val="bottom"/>
          </w:tcPr>
          <w:p>
            <w:pPr>
              <w:jc w:val="right"/>
              <w:spacing w:after="0"/>
              <w:rPr>
                <w:sz w:val="20"/>
                <w:szCs w:val="20"/>
                <w:color w:val="auto"/>
              </w:rPr>
            </w:pPr>
            <w:r>
              <w:rPr>
                <w:rFonts w:ascii="Arial" w:cs="Arial" w:eastAsia="Arial" w:hAnsi="Arial"/>
                <w:sz w:val="18"/>
                <w:szCs w:val="18"/>
                <w:color w:val="auto"/>
              </w:rPr>
              <w:t>408,301</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860" w:type="dxa"/>
            <w:vAlign w:val="bottom"/>
          </w:tcPr>
          <w:p>
            <w:pPr>
              <w:jc w:val="right"/>
              <w:spacing w:after="0"/>
              <w:rPr>
                <w:sz w:val="20"/>
                <w:szCs w:val="20"/>
                <w:color w:val="auto"/>
              </w:rPr>
            </w:pPr>
            <w:r>
              <w:rPr>
                <w:rFonts w:ascii="Arial" w:cs="Arial" w:eastAsia="Arial" w:hAnsi="Arial"/>
                <w:sz w:val="18"/>
                <w:szCs w:val="18"/>
                <w:color w:val="auto"/>
              </w:rPr>
              <w:t>373,903</w:t>
            </w:r>
          </w:p>
        </w:tc>
        <w:tc>
          <w:tcPr>
            <w:tcW w:w="0" w:type="dxa"/>
            <w:vAlign w:val="bottom"/>
          </w:tcPr>
          <w:p>
            <w:pPr>
              <w:spacing w:after="0"/>
              <w:rPr>
                <w:sz w:val="1"/>
                <w:szCs w:val="1"/>
                <w:color w:val="auto"/>
              </w:rPr>
            </w:pPr>
          </w:p>
        </w:tc>
      </w:tr>
      <w:tr>
        <w:trPr>
          <w:trHeight w:val="229"/>
        </w:trPr>
        <w:tc>
          <w:tcPr>
            <w:tcW w:w="68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Accounts receivable, net</w:t>
            </w:r>
          </w:p>
        </w:tc>
        <w:tc>
          <w:tcPr>
            <w:tcW w:w="3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54,733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57,989</w:t>
            </w:r>
          </w:p>
        </w:tc>
        <w:tc>
          <w:tcPr>
            <w:tcW w:w="0" w:type="dxa"/>
            <w:vAlign w:val="bottom"/>
          </w:tcPr>
          <w:p>
            <w:pPr>
              <w:spacing w:after="0"/>
              <w:rPr>
                <w:sz w:val="1"/>
                <w:szCs w:val="1"/>
                <w:color w:val="auto"/>
              </w:rPr>
            </w:pPr>
          </w:p>
        </w:tc>
      </w:tr>
      <w:tr>
        <w:trPr>
          <w:trHeight w:val="229"/>
        </w:trPr>
        <w:tc>
          <w:tcPr>
            <w:tcW w:w="6800" w:type="dxa"/>
            <w:vAlign w:val="bottom"/>
          </w:tcPr>
          <w:p>
            <w:pPr>
              <w:ind w:left="220"/>
              <w:spacing w:after="0"/>
              <w:rPr>
                <w:sz w:val="20"/>
                <w:szCs w:val="20"/>
                <w:color w:val="auto"/>
              </w:rPr>
            </w:pPr>
            <w:r>
              <w:rPr>
                <w:rFonts w:ascii="Arial" w:cs="Arial" w:eastAsia="Arial" w:hAnsi="Arial"/>
                <w:sz w:val="18"/>
                <w:szCs w:val="18"/>
                <w:color w:val="auto"/>
              </w:rPr>
              <w:t>Inventories</w:t>
            </w:r>
          </w:p>
        </w:tc>
        <w:tc>
          <w:tcPr>
            <w:tcW w:w="3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120,863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111,274</w:t>
            </w:r>
          </w:p>
        </w:tc>
        <w:tc>
          <w:tcPr>
            <w:tcW w:w="0" w:type="dxa"/>
            <w:vAlign w:val="bottom"/>
          </w:tcPr>
          <w:p>
            <w:pPr>
              <w:spacing w:after="0"/>
              <w:rPr>
                <w:sz w:val="1"/>
                <w:szCs w:val="1"/>
                <w:color w:val="auto"/>
              </w:rPr>
            </w:pPr>
          </w:p>
        </w:tc>
      </w:tr>
      <w:tr>
        <w:trPr>
          <w:trHeight w:val="230"/>
        </w:trPr>
        <w:tc>
          <w:tcPr>
            <w:tcW w:w="68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Prepaid expenses and other current assets</w:t>
            </w:r>
          </w:p>
        </w:tc>
        <w:tc>
          <w:tcPr>
            <w:tcW w:w="38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24,466</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23,484</w:t>
            </w:r>
          </w:p>
        </w:tc>
        <w:tc>
          <w:tcPr>
            <w:tcW w:w="0" w:type="dxa"/>
            <w:vAlign w:val="bottom"/>
          </w:tcPr>
          <w:p>
            <w:pPr>
              <w:spacing w:after="0"/>
              <w:rPr>
                <w:sz w:val="1"/>
                <w:szCs w:val="1"/>
                <w:color w:val="auto"/>
              </w:rPr>
            </w:pPr>
          </w:p>
        </w:tc>
      </w:tr>
      <w:tr>
        <w:trPr>
          <w:trHeight w:val="223"/>
        </w:trPr>
        <w:tc>
          <w:tcPr>
            <w:tcW w:w="6800" w:type="dxa"/>
            <w:vAlign w:val="bottom"/>
          </w:tcPr>
          <w:p>
            <w:pPr>
              <w:ind w:left="480"/>
              <w:spacing w:after="0"/>
              <w:rPr>
                <w:sz w:val="20"/>
                <w:szCs w:val="20"/>
                <w:color w:val="auto"/>
              </w:rPr>
            </w:pPr>
            <w:r>
              <w:rPr>
                <w:rFonts w:ascii="Arial" w:cs="Arial" w:eastAsia="Arial" w:hAnsi="Arial"/>
                <w:sz w:val="18"/>
                <w:szCs w:val="18"/>
                <w:color w:val="auto"/>
              </w:rPr>
              <w:t>Total current assets</w:t>
            </w:r>
          </w:p>
        </w:tc>
        <w:tc>
          <w:tcPr>
            <w:tcW w:w="3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608,363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566,650</w:t>
            </w:r>
          </w:p>
        </w:tc>
        <w:tc>
          <w:tcPr>
            <w:tcW w:w="0" w:type="dxa"/>
            <w:vAlign w:val="bottom"/>
          </w:tcPr>
          <w:p>
            <w:pPr>
              <w:spacing w:after="0"/>
              <w:rPr>
                <w:sz w:val="1"/>
                <w:szCs w:val="1"/>
                <w:color w:val="auto"/>
              </w:rPr>
            </w:pPr>
          </w:p>
        </w:tc>
      </w:tr>
      <w:tr>
        <w:trPr>
          <w:trHeight w:val="216"/>
        </w:trPr>
        <w:tc>
          <w:tcPr>
            <w:tcW w:w="68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800" w:type="dxa"/>
            <w:vAlign w:val="bottom"/>
          </w:tcPr>
          <w:p>
            <w:pPr>
              <w:ind w:left="20"/>
              <w:spacing w:after="0"/>
              <w:rPr>
                <w:sz w:val="20"/>
                <w:szCs w:val="20"/>
                <w:color w:val="auto"/>
              </w:rPr>
            </w:pPr>
            <w:r>
              <w:rPr>
                <w:rFonts w:ascii="Arial" w:cs="Arial" w:eastAsia="Arial" w:hAnsi="Arial"/>
                <w:sz w:val="18"/>
                <w:szCs w:val="18"/>
                <w:b w:val="1"/>
                <w:bCs w:val="1"/>
                <w:color w:val="auto"/>
              </w:rPr>
              <w:t>Property and equipment, net</w:t>
            </w:r>
          </w:p>
        </w:tc>
        <w:tc>
          <w:tcPr>
            <w:tcW w:w="3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335,504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341,293</w:t>
            </w:r>
          </w:p>
        </w:tc>
        <w:tc>
          <w:tcPr>
            <w:tcW w:w="0" w:type="dxa"/>
            <w:vAlign w:val="bottom"/>
          </w:tcPr>
          <w:p>
            <w:pPr>
              <w:spacing w:after="0"/>
              <w:rPr>
                <w:sz w:val="1"/>
                <w:szCs w:val="1"/>
                <w:color w:val="auto"/>
              </w:rPr>
            </w:pPr>
          </w:p>
        </w:tc>
      </w:tr>
      <w:tr>
        <w:trPr>
          <w:trHeight w:val="229"/>
        </w:trPr>
        <w:tc>
          <w:tcPr>
            <w:tcW w:w="68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Other assets:</w:t>
            </w:r>
          </w:p>
        </w:tc>
        <w:tc>
          <w:tcPr>
            <w:tcW w:w="38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00" w:type="dxa"/>
            <w:vAlign w:val="bottom"/>
          </w:tcPr>
          <w:p>
            <w:pPr>
              <w:ind w:left="220"/>
              <w:spacing w:after="0"/>
              <w:rPr>
                <w:sz w:val="20"/>
                <w:szCs w:val="20"/>
                <w:color w:val="auto"/>
              </w:rPr>
            </w:pPr>
            <w:r>
              <w:rPr>
                <w:rFonts w:ascii="Arial" w:cs="Arial" w:eastAsia="Arial" w:hAnsi="Arial"/>
                <w:sz w:val="18"/>
                <w:szCs w:val="18"/>
                <w:color w:val="auto"/>
              </w:rPr>
              <w:t>Goodwill</w:t>
            </w:r>
          </w:p>
        </w:tc>
        <w:tc>
          <w:tcPr>
            <w:tcW w:w="3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777,613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777,613</w:t>
            </w:r>
          </w:p>
        </w:tc>
        <w:tc>
          <w:tcPr>
            <w:tcW w:w="0" w:type="dxa"/>
            <w:vAlign w:val="bottom"/>
          </w:tcPr>
          <w:p>
            <w:pPr>
              <w:spacing w:after="0"/>
              <w:rPr>
                <w:sz w:val="1"/>
                <w:szCs w:val="1"/>
                <w:color w:val="auto"/>
              </w:rPr>
            </w:pPr>
          </w:p>
        </w:tc>
      </w:tr>
      <w:tr>
        <w:trPr>
          <w:trHeight w:val="229"/>
        </w:trPr>
        <w:tc>
          <w:tcPr>
            <w:tcW w:w="68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Trademarks and trade names</w:t>
            </w:r>
          </w:p>
        </w:tc>
        <w:tc>
          <w:tcPr>
            <w:tcW w:w="3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240,547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240,547</w:t>
            </w:r>
          </w:p>
        </w:tc>
        <w:tc>
          <w:tcPr>
            <w:tcW w:w="0" w:type="dxa"/>
            <w:vAlign w:val="bottom"/>
          </w:tcPr>
          <w:p>
            <w:pPr>
              <w:spacing w:after="0"/>
              <w:rPr>
                <w:sz w:val="1"/>
                <w:szCs w:val="1"/>
                <w:color w:val="auto"/>
              </w:rPr>
            </w:pPr>
          </w:p>
        </w:tc>
      </w:tr>
      <w:tr>
        <w:trPr>
          <w:trHeight w:val="229"/>
        </w:trPr>
        <w:tc>
          <w:tcPr>
            <w:tcW w:w="6800" w:type="dxa"/>
            <w:vAlign w:val="bottom"/>
          </w:tcPr>
          <w:p>
            <w:pPr>
              <w:ind w:left="220"/>
              <w:spacing w:after="0"/>
              <w:rPr>
                <w:sz w:val="20"/>
                <w:szCs w:val="20"/>
                <w:color w:val="auto"/>
              </w:rPr>
            </w:pPr>
            <w:r>
              <w:rPr>
                <w:rFonts w:ascii="Arial" w:cs="Arial" w:eastAsia="Arial" w:hAnsi="Arial"/>
                <w:sz w:val="18"/>
                <w:szCs w:val="18"/>
                <w:color w:val="auto"/>
              </w:rPr>
              <w:t>Other intangible assets, net</w:t>
            </w:r>
          </w:p>
        </w:tc>
        <w:tc>
          <w:tcPr>
            <w:tcW w:w="3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45,766</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49,511</w:t>
            </w:r>
          </w:p>
        </w:tc>
        <w:tc>
          <w:tcPr>
            <w:tcW w:w="0" w:type="dxa"/>
            <w:vAlign w:val="bottom"/>
          </w:tcPr>
          <w:p>
            <w:pPr>
              <w:spacing w:after="0"/>
              <w:rPr>
                <w:sz w:val="1"/>
                <w:szCs w:val="1"/>
                <w:color w:val="auto"/>
              </w:rPr>
            </w:pPr>
          </w:p>
        </w:tc>
      </w:tr>
      <w:tr>
        <w:trPr>
          <w:trHeight w:val="230"/>
        </w:trPr>
        <w:tc>
          <w:tcPr>
            <w:tcW w:w="68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Right of use assets</w:t>
            </w:r>
          </w:p>
        </w:tc>
        <w:tc>
          <w:tcPr>
            <w:tcW w:w="3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343,708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340,141</w:t>
            </w:r>
          </w:p>
        </w:tc>
        <w:tc>
          <w:tcPr>
            <w:tcW w:w="0" w:type="dxa"/>
            <w:vAlign w:val="bottom"/>
          </w:tcPr>
          <w:p>
            <w:pPr>
              <w:spacing w:after="0"/>
              <w:rPr>
                <w:sz w:val="1"/>
                <w:szCs w:val="1"/>
                <w:color w:val="auto"/>
              </w:rPr>
            </w:pPr>
          </w:p>
        </w:tc>
      </w:tr>
      <w:tr>
        <w:trPr>
          <w:trHeight w:val="229"/>
        </w:trPr>
        <w:tc>
          <w:tcPr>
            <w:tcW w:w="68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Other assets</w:t>
            </w:r>
          </w:p>
        </w:tc>
        <w:tc>
          <w:tcPr>
            <w:tcW w:w="38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17,715</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17,743</w:t>
            </w:r>
          </w:p>
        </w:tc>
        <w:tc>
          <w:tcPr>
            <w:tcW w:w="0" w:type="dxa"/>
            <w:vAlign w:val="bottom"/>
          </w:tcPr>
          <w:p>
            <w:pPr>
              <w:spacing w:after="0"/>
              <w:rPr>
                <w:sz w:val="1"/>
                <w:szCs w:val="1"/>
                <w:color w:val="auto"/>
              </w:rPr>
            </w:pPr>
          </w:p>
        </w:tc>
      </w:tr>
      <w:tr>
        <w:trPr>
          <w:trHeight w:val="223"/>
        </w:trPr>
        <w:tc>
          <w:tcPr>
            <w:tcW w:w="68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non-current assets</w:t>
            </w:r>
          </w:p>
        </w:tc>
        <w:tc>
          <w:tcPr>
            <w:tcW w:w="38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1,760,853</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1,766,848</w:t>
            </w:r>
          </w:p>
        </w:tc>
        <w:tc>
          <w:tcPr>
            <w:tcW w:w="0" w:type="dxa"/>
            <w:vAlign w:val="bottom"/>
          </w:tcPr>
          <w:p>
            <w:pPr>
              <w:spacing w:after="0"/>
              <w:rPr>
                <w:sz w:val="1"/>
                <w:szCs w:val="1"/>
                <w:color w:val="auto"/>
              </w:rPr>
            </w:pPr>
          </w:p>
        </w:tc>
      </w:tr>
      <w:tr>
        <w:trPr>
          <w:trHeight w:val="223"/>
        </w:trPr>
        <w:tc>
          <w:tcPr>
            <w:tcW w:w="6800" w:type="dxa"/>
            <w:vAlign w:val="bottom"/>
          </w:tcPr>
          <w:p>
            <w:pPr>
              <w:ind w:left="20"/>
              <w:spacing w:after="0"/>
              <w:rPr>
                <w:sz w:val="20"/>
                <w:szCs w:val="20"/>
                <w:color w:val="auto"/>
              </w:rPr>
            </w:pPr>
            <w:r>
              <w:rPr>
                <w:rFonts w:ascii="Arial" w:cs="Arial" w:eastAsia="Arial" w:hAnsi="Arial"/>
                <w:sz w:val="18"/>
                <w:szCs w:val="18"/>
                <w:b w:val="1"/>
                <w:bCs w:val="1"/>
                <w:color w:val="auto"/>
              </w:rPr>
              <w:t>Total assets</w:t>
            </w: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2,369,216</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2,333,498</w:t>
            </w:r>
          </w:p>
        </w:tc>
        <w:tc>
          <w:tcPr>
            <w:tcW w:w="0" w:type="dxa"/>
            <w:vAlign w:val="bottom"/>
          </w:tcPr>
          <w:p>
            <w:pPr>
              <w:spacing w:after="0"/>
              <w:rPr>
                <w:sz w:val="1"/>
                <w:szCs w:val="1"/>
                <w:color w:val="auto"/>
              </w:rPr>
            </w:pPr>
          </w:p>
        </w:tc>
      </w:tr>
      <w:tr>
        <w:trPr>
          <w:trHeight w:val="20"/>
        </w:trPr>
        <w:tc>
          <w:tcPr>
            <w:tcW w:w="68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80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LIABILITIES AND STOCKHOLDERS’ EQUITY</w:t>
            </w:r>
          </w:p>
        </w:tc>
        <w:tc>
          <w:tcPr>
            <w:tcW w:w="380" w:type="dxa"/>
            <w:vAlign w:val="bottom"/>
            <w:shd w:val="clear" w:color="auto" w:fill="CCEEFF"/>
          </w:tcPr>
          <w:p>
            <w:pPr>
              <w:spacing w:after="0"/>
              <w:rPr>
                <w:sz w:val="17"/>
                <w:szCs w:val="17"/>
                <w:color w:val="auto"/>
              </w:rPr>
            </w:pPr>
          </w:p>
        </w:tc>
        <w:tc>
          <w:tcPr>
            <w:tcW w:w="1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800" w:type="dxa"/>
            <w:vAlign w:val="bottom"/>
          </w:tcPr>
          <w:p>
            <w:pPr>
              <w:ind w:left="20"/>
              <w:spacing w:after="0"/>
              <w:rPr>
                <w:sz w:val="20"/>
                <w:szCs w:val="20"/>
                <w:color w:val="auto"/>
              </w:rPr>
            </w:pPr>
            <w:r>
              <w:rPr>
                <w:rFonts w:ascii="Arial" w:cs="Arial" w:eastAsia="Arial" w:hAnsi="Arial"/>
                <w:sz w:val="18"/>
                <w:szCs w:val="18"/>
                <w:b w:val="1"/>
                <w:bCs w:val="1"/>
                <w:color w:val="auto"/>
              </w:rPr>
              <w:t>Current liabilities:</w:t>
            </w:r>
          </w:p>
        </w:tc>
        <w:tc>
          <w:tcPr>
            <w:tcW w:w="38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Accounts payable</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77,677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64,861</w:t>
            </w:r>
          </w:p>
        </w:tc>
        <w:tc>
          <w:tcPr>
            <w:tcW w:w="0" w:type="dxa"/>
            <w:vAlign w:val="bottom"/>
          </w:tcPr>
          <w:p>
            <w:pPr>
              <w:spacing w:after="0"/>
              <w:rPr>
                <w:sz w:val="1"/>
                <w:szCs w:val="1"/>
                <w:color w:val="auto"/>
              </w:rPr>
            </w:pPr>
          </w:p>
        </w:tc>
      </w:tr>
      <w:tr>
        <w:trPr>
          <w:trHeight w:val="230"/>
        </w:trPr>
        <w:tc>
          <w:tcPr>
            <w:tcW w:w="6800" w:type="dxa"/>
            <w:vAlign w:val="bottom"/>
          </w:tcPr>
          <w:p>
            <w:pPr>
              <w:ind w:left="220"/>
              <w:spacing w:after="0"/>
              <w:rPr>
                <w:sz w:val="20"/>
                <w:szCs w:val="20"/>
                <w:color w:val="auto"/>
              </w:rPr>
            </w:pPr>
            <w:r>
              <w:rPr>
                <w:rFonts w:ascii="Arial" w:cs="Arial" w:eastAsia="Arial" w:hAnsi="Arial"/>
                <w:sz w:val="18"/>
                <w:szCs w:val="18"/>
                <w:color w:val="auto"/>
              </w:rPr>
              <w:t>Other payables and accrued expenses</w:t>
            </w:r>
          </w:p>
        </w:tc>
        <w:tc>
          <w:tcPr>
            <w:tcW w:w="3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116,508</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110,309</w:t>
            </w:r>
          </w:p>
        </w:tc>
        <w:tc>
          <w:tcPr>
            <w:tcW w:w="0" w:type="dxa"/>
            <w:vAlign w:val="bottom"/>
          </w:tcPr>
          <w:p>
            <w:pPr>
              <w:spacing w:after="0"/>
              <w:rPr>
                <w:sz w:val="1"/>
                <w:szCs w:val="1"/>
                <w:color w:val="auto"/>
              </w:rPr>
            </w:pPr>
          </w:p>
        </w:tc>
      </w:tr>
      <w:tr>
        <w:trPr>
          <w:trHeight w:val="229"/>
        </w:trPr>
        <w:tc>
          <w:tcPr>
            <w:tcW w:w="68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Unearned revenue</w:t>
            </w:r>
          </w:p>
        </w:tc>
        <w:tc>
          <w:tcPr>
            <w:tcW w:w="3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39,071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32,657</w:t>
            </w:r>
          </w:p>
        </w:tc>
        <w:tc>
          <w:tcPr>
            <w:tcW w:w="0" w:type="dxa"/>
            <w:vAlign w:val="bottom"/>
          </w:tcPr>
          <w:p>
            <w:pPr>
              <w:spacing w:after="0"/>
              <w:rPr>
                <w:sz w:val="1"/>
                <w:szCs w:val="1"/>
                <w:color w:val="auto"/>
              </w:rPr>
            </w:pPr>
          </w:p>
        </w:tc>
      </w:tr>
      <w:tr>
        <w:trPr>
          <w:trHeight w:val="230"/>
        </w:trPr>
        <w:tc>
          <w:tcPr>
            <w:tcW w:w="6800" w:type="dxa"/>
            <w:vAlign w:val="bottom"/>
          </w:tcPr>
          <w:p>
            <w:pPr>
              <w:ind w:left="220"/>
              <w:spacing w:after="0"/>
              <w:rPr>
                <w:sz w:val="20"/>
                <w:szCs w:val="20"/>
                <w:color w:val="auto"/>
              </w:rPr>
            </w:pPr>
            <w:r>
              <w:rPr>
                <w:rFonts w:ascii="Arial" w:cs="Arial" w:eastAsia="Arial" w:hAnsi="Arial"/>
                <w:sz w:val="18"/>
                <w:szCs w:val="18"/>
                <w:color w:val="auto"/>
              </w:rPr>
              <w:t>Deferred revenue</w:t>
            </w:r>
          </w:p>
        </w:tc>
        <w:tc>
          <w:tcPr>
            <w:tcW w:w="3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68,612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58,899</w:t>
            </w:r>
          </w:p>
        </w:tc>
        <w:tc>
          <w:tcPr>
            <w:tcW w:w="0" w:type="dxa"/>
            <w:vAlign w:val="bottom"/>
          </w:tcPr>
          <w:p>
            <w:pPr>
              <w:spacing w:after="0"/>
              <w:rPr>
                <w:sz w:val="1"/>
                <w:szCs w:val="1"/>
                <w:color w:val="auto"/>
              </w:rPr>
            </w:pPr>
          </w:p>
        </w:tc>
      </w:tr>
      <w:tr>
        <w:trPr>
          <w:trHeight w:val="230"/>
        </w:trPr>
        <w:tc>
          <w:tcPr>
            <w:tcW w:w="68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Current maturities of long-term debt and finance lease obligations</w:t>
            </w:r>
          </w:p>
        </w:tc>
        <w:tc>
          <w:tcPr>
            <w:tcW w:w="3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3,598</w:t>
            </w:r>
          </w:p>
        </w:tc>
        <w:tc>
          <w:tcPr>
            <w:tcW w:w="0" w:type="dxa"/>
            <w:vAlign w:val="bottom"/>
          </w:tcPr>
          <w:p>
            <w:pPr>
              <w:spacing w:after="0"/>
              <w:rPr>
                <w:sz w:val="1"/>
                <w:szCs w:val="1"/>
                <w:color w:val="auto"/>
              </w:rPr>
            </w:pPr>
          </w:p>
        </w:tc>
      </w:tr>
      <w:tr>
        <w:trPr>
          <w:trHeight w:val="230"/>
        </w:trPr>
        <w:tc>
          <w:tcPr>
            <w:tcW w:w="68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Current operating lease obligations</w:t>
            </w:r>
          </w:p>
        </w:tc>
        <w:tc>
          <w:tcPr>
            <w:tcW w:w="38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64,330</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58,356</w:t>
            </w:r>
          </w:p>
        </w:tc>
        <w:tc>
          <w:tcPr>
            <w:tcW w:w="0" w:type="dxa"/>
            <w:vAlign w:val="bottom"/>
          </w:tcPr>
          <w:p>
            <w:pPr>
              <w:spacing w:after="0"/>
              <w:rPr>
                <w:sz w:val="1"/>
                <w:szCs w:val="1"/>
                <w:color w:val="auto"/>
              </w:rPr>
            </w:pPr>
          </w:p>
        </w:tc>
      </w:tr>
      <w:tr>
        <w:trPr>
          <w:trHeight w:val="223"/>
        </w:trPr>
        <w:tc>
          <w:tcPr>
            <w:tcW w:w="68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Total current liabilities</w:t>
            </w:r>
          </w:p>
        </w:tc>
        <w:tc>
          <w:tcPr>
            <w:tcW w:w="3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370,483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328,680</w:t>
            </w:r>
          </w:p>
        </w:tc>
        <w:tc>
          <w:tcPr>
            <w:tcW w:w="0" w:type="dxa"/>
            <w:vAlign w:val="bottom"/>
          </w:tcPr>
          <w:p>
            <w:pPr>
              <w:spacing w:after="0"/>
              <w:rPr>
                <w:sz w:val="1"/>
                <w:szCs w:val="1"/>
                <w:color w:val="auto"/>
              </w:rPr>
            </w:pPr>
          </w:p>
        </w:tc>
      </w:tr>
      <w:tr>
        <w:trPr>
          <w:trHeight w:val="216"/>
        </w:trPr>
        <w:tc>
          <w:tcPr>
            <w:tcW w:w="68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8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w w:val="92"/>
              </w:rPr>
              <w:t>Long-term debt and finance lease obligations, less current portion and debt discount</w:t>
            </w:r>
          </w:p>
        </w:tc>
        <w:tc>
          <w:tcPr>
            <w:tcW w:w="3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616,160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651,763</w:t>
            </w:r>
          </w:p>
        </w:tc>
        <w:tc>
          <w:tcPr>
            <w:tcW w:w="0" w:type="dxa"/>
            <w:vAlign w:val="bottom"/>
          </w:tcPr>
          <w:p>
            <w:pPr>
              <w:spacing w:after="0"/>
              <w:rPr>
                <w:sz w:val="1"/>
                <w:szCs w:val="1"/>
                <w:color w:val="auto"/>
              </w:rPr>
            </w:pPr>
          </w:p>
        </w:tc>
      </w:tr>
      <w:tr>
        <w:trPr>
          <w:trHeight w:val="230"/>
        </w:trPr>
        <w:tc>
          <w:tcPr>
            <w:tcW w:w="6800" w:type="dxa"/>
            <w:vAlign w:val="bottom"/>
          </w:tcPr>
          <w:p>
            <w:pPr>
              <w:ind w:left="20"/>
              <w:spacing w:after="0"/>
              <w:rPr>
                <w:sz w:val="20"/>
                <w:szCs w:val="20"/>
                <w:color w:val="auto"/>
              </w:rPr>
            </w:pPr>
            <w:r>
              <w:rPr>
                <w:rFonts w:ascii="Arial" w:cs="Arial" w:eastAsia="Arial" w:hAnsi="Arial"/>
                <w:sz w:val="18"/>
                <w:szCs w:val="18"/>
                <w:b w:val="1"/>
                <w:bCs w:val="1"/>
                <w:color w:val="auto"/>
              </w:rPr>
              <w:t>Non-current operating lease obligations</w:t>
            </w:r>
          </w:p>
        </w:tc>
        <w:tc>
          <w:tcPr>
            <w:tcW w:w="3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326,478</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327,371</w:t>
            </w:r>
          </w:p>
        </w:tc>
        <w:tc>
          <w:tcPr>
            <w:tcW w:w="0" w:type="dxa"/>
            <w:vAlign w:val="bottom"/>
          </w:tcPr>
          <w:p>
            <w:pPr>
              <w:spacing w:after="0"/>
              <w:rPr>
                <w:sz w:val="1"/>
                <w:szCs w:val="1"/>
                <w:color w:val="auto"/>
              </w:rPr>
            </w:pPr>
          </w:p>
        </w:tc>
      </w:tr>
      <w:tr>
        <w:trPr>
          <w:trHeight w:val="229"/>
        </w:trPr>
        <w:tc>
          <w:tcPr>
            <w:tcW w:w="68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Other non-current liabilities:</w:t>
            </w:r>
          </w:p>
        </w:tc>
        <w:tc>
          <w:tcPr>
            <w:tcW w:w="38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00" w:type="dxa"/>
            <w:vAlign w:val="bottom"/>
          </w:tcPr>
          <w:p>
            <w:pPr>
              <w:ind w:left="220"/>
              <w:spacing w:after="0"/>
              <w:rPr>
                <w:sz w:val="20"/>
                <w:szCs w:val="20"/>
                <w:color w:val="auto"/>
              </w:rPr>
            </w:pPr>
            <w:r>
              <w:rPr>
                <w:rFonts w:ascii="Arial" w:cs="Arial" w:eastAsia="Arial" w:hAnsi="Arial"/>
                <w:sz w:val="18"/>
                <w:szCs w:val="18"/>
                <w:color w:val="auto"/>
              </w:rPr>
              <w:t>Deferred revenue</w:t>
            </w:r>
          </w:p>
        </w:tc>
        <w:tc>
          <w:tcPr>
            <w:tcW w:w="3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23,483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20,828</w:t>
            </w:r>
          </w:p>
        </w:tc>
        <w:tc>
          <w:tcPr>
            <w:tcW w:w="0" w:type="dxa"/>
            <w:vAlign w:val="bottom"/>
          </w:tcPr>
          <w:p>
            <w:pPr>
              <w:spacing w:after="0"/>
              <w:rPr>
                <w:sz w:val="1"/>
                <w:szCs w:val="1"/>
                <w:color w:val="auto"/>
              </w:rPr>
            </w:pPr>
          </w:p>
        </w:tc>
      </w:tr>
      <w:tr>
        <w:trPr>
          <w:trHeight w:val="230"/>
        </w:trPr>
        <w:tc>
          <w:tcPr>
            <w:tcW w:w="68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liabilities</w:t>
            </w:r>
          </w:p>
        </w:tc>
        <w:tc>
          <w:tcPr>
            <w:tcW w:w="3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14,272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17,415</w:t>
            </w:r>
          </w:p>
        </w:tc>
        <w:tc>
          <w:tcPr>
            <w:tcW w:w="0" w:type="dxa"/>
            <w:vAlign w:val="bottom"/>
          </w:tcPr>
          <w:p>
            <w:pPr>
              <w:spacing w:after="0"/>
              <w:rPr>
                <w:sz w:val="1"/>
                <w:szCs w:val="1"/>
                <w:color w:val="auto"/>
              </w:rPr>
            </w:pPr>
          </w:p>
        </w:tc>
      </w:tr>
      <w:tr>
        <w:trPr>
          <w:trHeight w:val="230"/>
        </w:trPr>
        <w:tc>
          <w:tcPr>
            <w:tcW w:w="68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Deferred income taxes, net</w:t>
            </w:r>
          </w:p>
        </w:tc>
        <w:tc>
          <w:tcPr>
            <w:tcW w:w="38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80,003</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80,939</w:t>
            </w:r>
          </w:p>
        </w:tc>
        <w:tc>
          <w:tcPr>
            <w:tcW w:w="0" w:type="dxa"/>
            <w:vAlign w:val="bottom"/>
          </w:tcPr>
          <w:p>
            <w:pPr>
              <w:spacing w:after="0"/>
              <w:rPr>
                <w:sz w:val="1"/>
                <w:szCs w:val="1"/>
                <w:color w:val="auto"/>
              </w:rPr>
            </w:pPr>
          </w:p>
        </w:tc>
      </w:tr>
      <w:tr>
        <w:trPr>
          <w:trHeight w:val="223"/>
        </w:trPr>
        <w:tc>
          <w:tcPr>
            <w:tcW w:w="68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Total other non-current liabilities</w:t>
            </w:r>
          </w:p>
        </w:tc>
        <w:tc>
          <w:tcPr>
            <w:tcW w:w="3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117,758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119,182</w:t>
            </w:r>
          </w:p>
        </w:tc>
        <w:tc>
          <w:tcPr>
            <w:tcW w:w="0" w:type="dxa"/>
            <w:vAlign w:val="bottom"/>
          </w:tcPr>
          <w:p>
            <w:pPr>
              <w:spacing w:after="0"/>
              <w:rPr>
                <w:sz w:val="1"/>
                <w:szCs w:val="1"/>
                <w:color w:val="auto"/>
              </w:rPr>
            </w:pPr>
          </w:p>
        </w:tc>
      </w:tr>
      <w:tr>
        <w:trPr>
          <w:trHeight w:val="230"/>
        </w:trPr>
        <w:tc>
          <w:tcPr>
            <w:tcW w:w="6800" w:type="dxa"/>
            <w:vAlign w:val="bottom"/>
          </w:tcPr>
          <w:p>
            <w:pPr>
              <w:ind w:left="20"/>
              <w:spacing w:after="0"/>
              <w:rPr>
                <w:sz w:val="20"/>
                <w:szCs w:val="20"/>
                <w:color w:val="auto"/>
              </w:rPr>
            </w:pPr>
            <w:r>
              <w:rPr>
                <w:rFonts w:ascii="Arial" w:cs="Arial" w:eastAsia="Arial" w:hAnsi="Arial"/>
                <w:sz w:val="18"/>
                <w:szCs w:val="18"/>
                <w:b w:val="1"/>
                <w:bCs w:val="1"/>
                <w:color w:val="auto"/>
              </w:rPr>
              <w:t>Commitments and contingencies (See Note 9)</w:t>
            </w:r>
          </w:p>
        </w:tc>
        <w:tc>
          <w:tcPr>
            <w:tcW w:w="38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8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Stockholders’ equity:</w:t>
            </w:r>
          </w:p>
        </w:tc>
        <w:tc>
          <w:tcPr>
            <w:tcW w:w="38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6800" w:type="dxa"/>
            <w:vAlign w:val="bottom"/>
          </w:tcPr>
          <w:p>
            <w:pPr>
              <w:ind w:left="220"/>
              <w:spacing w:after="0" w:line="176" w:lineRule="exact"/>
              <w:rPr>
                <w:sz w:val="20"/>
                <w:szCs w:val="20"/>
                <w:color w:val="auto"/>
              </w:rPr>
            </w:pPr>
            <w:r>
              <w:rPr>
                <w:rFonts w:ascii="Arial" w:cs="Arial" w:eastAsia="Arial" w:hAnsi="Arial"/>
                <w:sz w:val="18"/>
                <w:szCs w:val="18"/>
                <w:color w:val="auto"/>
                <w:w w:val="94"/>
              </w:rPr>
              <w:t>Common stock, $0.01 par value; 200,000 shares authorized; 82,828 and 82,183 shares</w:t>
            </w:r>
          </w:p>
        </w:tc>
        <w:tc>
          <w:tcPr>
            <w:tcW w:w="38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800" w:type="dxa"/>
            <w:vAlign w:val="bottom"/>
          </w:tcPr>
          <w:p>
            <w:pPr>
              <w:ind w:left="220"/>
              <w:spacing w:after="0" w:line="176" w:lineRule="exact"/>
              <w:rPr>
                <w:sz w:val="20"/>
                <w:szCs w:val="20"/>
                <w:color w:val="auto"/>
              </w:rPr>
            </w:pPr>
            <w:r>
              <w:rPr>
                <w:rFonts w:ascii="Arial" w:cs="Arial" w:eastAsia="Arial" w:hAnsi="Arial"/>
                <w:sz w:val="18"/>
                <w:szCs w:val="18"/>
                <w:color w:val="auto"/>
                <w:w w:val="94"/>
              </w:rPr>
              <w:t>issued as of July 3, 2021 and January 2, 2021, respectively; 81,855 and 81,239 shares</w:t>
            </w:r>
          </w:p>
        </w:tc>
        <w:tc>
          <w:tcPr>
            <w:tcW w:w="380" w:type="dxa"/>
            <w:vAlign w:val="bottom"/>
          </w:tcPr>
          <w:p>
            <w:pPr>
              <w:spacing w:after="0"/>
              <w:rPr>
                <w:sz w:val="15"/>
                <w:szCs w:val="15"/>
                <w:color w:val="auto"/>
              </w:rPr>
            </w:pPr>
          </w:p>
        </w:tc>
        <w:tc>
          <w:tcPr>
            <w:tcW w:w="1780" w:type="dxa"/>
            <w:vAlign w:val="bottom"/>
            <w:vMerge w:val="restart"/>
          </w:tcPr>
          <w:p>
            <w:pPr>
              <w:jc w:val="right"/>
              <w:spacing w:after="0"/>
              <w:rPr>
                <w:sz w:val="20"/>
                <w:szCs w:val="20"/>
                <w:color w:val="auto"/>
              </w:rPr>
            </w:pPr>
            <w:r>
              <w:rPr>
                <w:rFonts w:ascii="Arial" w:cs="Arial" w:eastAsia="Arial" w:hAnsi="Arial"/>
                <w:sz w:val="18"/>
                <w:szCs w:val="18"/>
                <w:color w:val="auto"/>
              </w:rPr>
              <w:t>828</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860" w:type="dxa"/>
            <w:vAlign w:val="bottom"/>
            <w:vMerge w:val="restart"/>
          </w:tcPr>
          <w:p>
            <w:pPr>
              <w:jc w:val="right"/>
              <w:spacing w:after="0"/>
              <w:rPr>
                <w:sz w:val="20"/>
                <w:szCs w:val="20"/>
                <w:color w:val="auto"/>
              </w:rPr>
            </w:pPr>
            <w:r>
              <w:rPr>
                <w:rFonts w:ascii="Arial" w:cs="Arial" w:eastAsia="Arial" w:hAnsi="Arial"/>
                <w:sz w:val="18"/>
                <w:szCs w:val="18"/>
                <w:color w:val="auto"/>
              </w:rPr>
              <w:t>821</w:t>
            </w:r>
          </w:p>
        </w:tc>
        <w:tc>
          <w:tcPr>
            <w:tcW w:w="0" w:type="dxa"/>
            <w:vAlign w:val="bottom"/>
          </w:tcPr>
          <w:p>
            <w:pPr>
              <w:spacing w:after="0"/>
              <w:rPr>
                <w:sz w:val="1"/>
                <w:szCs w:val="1"/>
                <w:color w:val="auto"/>
              </w:rPr>
            </w:pPr>
          </w:p>
        </w:tc>
      </w:tr>
      <w:tr>
        <w:trPr>
          <w:trHeight w:val="230"/>
        </w:trPr>
        <w:tc>
          <w:tcPr>
            <w:tcW w:w="6800" w:type="dxa"/>
            <w:vAlign w:val="bottom"/>
          </w:tcPr>
          <w:p>
            <w:pPr>
              <w:ind w:left="220"/>
              <w:spacing w:after="0"/>
              <w:rPr>
                <w:sz w:val="20"/>
                <w:szCs w:val="20"/>
                <w:color w:val="auto"/>
              </w:rPr>
            </w:pPr>
            <w:r>
              <w:rPr>
                <w:rFonts w:ascii="Arial" w:cs="Arial" w:eastAsia="Arial" w:hAnsi="Arial"/>
                <w:sz w:val="18"/>
                <w:szCs w:val="18"/>
                <w:color w:val="auto"/>
              </w:rPr>
              <w:t>outstanding as of July 3, 2021 and January 2, 2021, respectively</w:t>
            </w:r>
          </w:p>
        </w:tc>
        <w:tc>
          <w:tcPr>
            <w:tcW w:w="380" w:type="dxa"/>
            <w:vAlign w:val="bottom"/>
          </w:tcPr>
          <w:p>
            <w:pPr>
              <w:spacing w:after="0"/>
              <w:rPr>
                <w:sz w:val="19"/>
                <w:szCs w:val="19"/>
                <w:color w:val="auto"/>
              </w:rPr>
            </w:pPr>
          </w:p>
        </w:tc>
        <w:tc>
          <w:tcPr>
            <w:tcW w:w="17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8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Additional paid-in capital</w:t>
            </w:r>
          </w:p>
        </w:tc>
        <w:tc>
          <w:tcPr>
            <w:tcW w:w="3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739,380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795,697</w:t>
            </w:r>
          </w:p>
        </w:tc>
        <w:tc>
          <w:tcPr>
            <w:tcW w:w="0" w:type="dxa"/>
            <w:vAlign w:val="bottom"/>
          </w:tcPr>
          <w:p>
            <w:pPr>
              <w:spacing w:after="0"/>
              <w:rPr>
                <w:sz w:val="1"/>
                <w:szCs w:val="1"/>
                <w:color w:val="auto"/>
              </w:rPr>
            </w:pPr>
          </w:p>
        </w:tc>
      </w:tr>
      <w:tr>
        <w:trPr>
          <w:trHeight w:val="230"/>
        </w:trPr>
        <w:tc>
          <w:tcPr>
            <w:tcW w:w="6800" w:type="dxa"/>
            <w:vAlign w:val="bottom"/>
          </w:tcPr>
          <w:p>
            <w:pPr>
              <w:ind w:left="220"/>
              <w:spacing w:after="0"/>
              <w:rPr>
                <w:sz w:val="20"/>
                <w:szCs w:val="20"/>
                <w:color w:val="auto"/>
              </w:rPr>
            </w:pPr>
            <w:r>
              <w:rPr>
                <w:rFonts w:ascii="Arial" w:cs="Arial" w:eastAsia="Arial" w:hAnsi="Arial"/>
                <w:sz w:val="18"/>
                <w:szCs w:val="18"/>
                <w:color w:val="auto"/>
              </w:rPr>
              <w:t>Accumulated other comprehensive loss</w:t>
            </w:r>
          </w:p>
        </w:tc>
        <w:tc>
          <w:tcPr>
            <w:tcW w:w="3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(3,093)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(4,400)</w:t>
            </w:r>
          </w:p>
        </w:tc>
        <w:tc>
          <w:tcPr>
            <w:tcW w:w="0" w:type="dxa"/>
            <w:vAlign w:val="bottom"/>
          </w:tcPr>
          <w:p>
            <w:pPr>
              <w:spacing w:after="0"/>
              <w:rPr>
                <w:sz w:val="1"/>
                <w:szCs w:val="1"/>
                <w:color w:val="auto"/>
              </w:rPr>
            </w:pPr>
          </w:p>
        </w:tc>
      </w:tr>
      <w:tr>
        <w:trPr>
          <w:trHeight w:val="229"/>
        </w:trPr>
        <w:tc>
          <w:tcPr>
            <w:tcW w:w="68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Retained earnings</w:t>
            </w:r>
          </w:p>
        </w:tc>
        <w:tc>
          <w:tcPr>
            <w:tcW w:w="3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231,184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142,880</w:t>
            </w:r>
          </w:p>
        </w:tc>
        <w:tc>
          <w:tcPr>
            <w:tcW w:w="0" w:type="dxa"/>
            <w:vAlign w:val="bottom"/>
          </w:tcPr>
          <w:p>
            <w:pPr>
              <w:spacing w:after="0"/>
              <w:rPr>
                <w:sz w:val="1"/>
                <w:szCs w:val="1"/>
                <w:color w:val="auto"/>
              </w:rPr>
            </w:pPr>
          </w:p>
        </w:tc>
      </w:tr>
      <w:tr>
        <w:trPr>
          <w:trHeight w:val="176"/>
        </w:trPr>
        <w:tc>
          <w:tcPr>
            <w:tcW w:w="6800" w:type="dxa"/>
            <w:vAlign w:val="bottom"/>
          </w:tcPr>
          <w:p>
            <w:pPr>
              <w:ind w:left="220"/>
              <w:spacing w:after="0" w:line="176" w:lineRule="exact"/>
              <w:rPr>
                <w:sz w:val="20"/>
                <w:szCs w:val="20"/>
                <w:color w:val="auto"/>
              </w:rPr>
            </w:pPr>
            <w:r>
              <w:rPr>
                <w:rFonts w:ascii="Arial" w:cs="Arial" w:eastAsia="Arial" w:hAnsi="Arial"/>
                <w:sz w:val="18"/>
                <w:szCs w:val="18"/>
                <w:color w:val="auto"/>
                <w:w w:val="97"/>
              </w:rPr>
              <w:t>Treasury stock, at cost; 973 and 944 shares as of July 3, 2021 and January 2, 2021,</w:t>
            </w:r>
          </w:p>
        </w:tc>
        <w:tc>
          <w:tcPr>
            <w:tcW w:w="380" w:type="dxa"/>
            <w:vAlign w:val="bottom"/>
          </w:tcPr>
          <w:p>
            <w:pPr>
              <w:spacing w:after="0"/>
              <w:rPr>
                <w:sz w:val="15"/>
                <w:szCs w:val="15"/>
                <w:color w:val="auto"/>
              </w:rPr>
            </w:pPr>
          </w:p>
        </w:tc>
        <w:tc>
          <w:tcPr>
            <w:tcW w:w="1780" w:type="dxa"/>
            <w:vAlign w:val="bottom"/>
            <w:vMerge w:val="restart"/>
          </w:tcPr>
          <w:p>
            <w:pPr>
              <w:jc w:val="right"/>
              <w:spacing w:after="0"/>
              <w:rPr>
                <w:sz w:val="20"/>
                <w:szCs w:val="20"/>
                <w:color w:val="auto"/>
              </w:rPr>
            </w:pPr>
            <w:r>
              <w:rPr>
                <w:rFonts w:ascii="Arial" w:cs="Arial" w:eastAsia="Arial" w:hAnsi="Arial"/>
                <w:sz w:val="18"/>
                <w:szCs w:val="18"/>
                <w:color w:val="auto"/>
              </w:rPr>
              <w:t>(29,962)</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860" w:type="dxa"/>
            <w:vAlign w:val="bottom"/>
            <w:vMerge w:val="restart"/>
          </w:tcPr>
          <w:p>
            <w:pPr>
              <w:jc w:val="right"/>
              <w:spacing w:after="0"/>
              <w:rPr>
                <w:sz w:val="20"/>
                <w:szCs w:val="20"/>
                <w:color w:val="auto"/>
              </w:rPr>
            </w:pPr>
            <w:r>
              <w:rPr>
                <w:rFonts w:ascii="Arial" w:cs="Arial" w:eastAsia="Arial" w:hAnsi="Arial"/>
                <w:sz w:val="18"/>
                <w:szCs w:val="18"/>
                <w:color w:val="auto"/>
              </w:rPr>
              <w:t>(28,496)</w:t>
            </w:r>
          </w:p>
        </w:tc>
        <w:tc>
          <w:tcPr>
            <w:tcW w:w="0" w:type="dxa"/>
            <w:vAlign w:val="bottom"/>
          </w:tcPr>
          <w:p>
            <w:pPr>
              <w:spacing w:after="0"/>
              <w:rPr>
                <w:sz w:val="1"/>
                <w:szCs w:val="1"/>
                <w:color w:val="auto"/>
              </w:rPr>
            </w:pPr>
          </w:p>
        </w:tc>
      </w:tr>
      <w:tr>
        <w:trPr>
          <w:trHeight w:val="229"/>
        </w:trPr>
        <w:tc>
          <w:tcPr>
            <w:tcW w:w="68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respectively</w:t>
            </w:r>
          </w:p>
        </w:tc>
        <w:tc>
          <w:tcPr>
            <w:tcW w:w="38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8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Total stockholders’ equity</w:t>
            </w:r>
          </w:p>
        </w:tc>
        <w:tc>
          <w:tcPr>
            <w:tcW w:w="38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938,337</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906,502</w:t>
            </w:r>
          </w:p>
        </w:tc>
        <w:tc>
          <w:tcPr>
            <w:tcW w:w="0" w:type="dxa"/>
            <w:vAlign w:val="bottom"/>
          </w:tcPr>
          <w:p>
            <w:pPr>
              <w:spacing w:after="0"/>
              <w:rPr>
                <w:sz w:val="1"/>
                <w:szCs w:val="1"/>
                <w:color w:val="auto"/>
              </w:rPr>
            </w:pPr>
          </w:p>
        </w:tc>
      </w:tr>
      <w:tr>
        <w:trPr>
          <w:trHeight w:val="223"/>
        </w:trPr>
        <w:tc>
          <w:tcPr>
            <w:tcW w:w="6800" w:type="dxa"/>
            <w:vAlign w:val="bottom"/>
          </w:tcPr>
          <w:p>
            <w:pPr>
              <w:ind w:left="20"/>
              <w:spacing w:after="0"/>
              <w:rPr>
                <w:sz w:val="20"/>
                <w:szCs w:val="20"/>
                <w:color w:val="auto"/>
              </w:rPr>
            </w:pPr>
            <w:r>
              <w:rPr>
                <w:rFonts w:ascii="Arial" w:cs="Arial" w:eastAsia="Arial" w:hAnsi="Arial"/>
                <w:sz w:val="18"/>
                <w:szCs w:val="18"/>
                <w:b w:val="1"/>
                <w:bCs w:val="1"/>
                <w:color w:val="auto"/>
              </w:rPr>
              <w:t>Total liabilities and stockholders’ equity</w:t>
            </w: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2,369,216</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2,333,498</w:t>
            </w:r>
          </w:p>
        </w:tc>
        <w:tc>
          <w:tcPr>
            <w:tcW w:w="0" w:type="dxa"/>
            <w:vAlign w:val="bottom"/>
          </w:tcPr>
          <w:p>
            <w:pPr>
              <w:spacing w:after="0"/>
              <w:rPr>
                <w:sz w:val="1"/>
                <w:szCs w:val="1"/>
                <w:color w:val="auto"/>
              </w:rPr>
            </w:pPr>
          </w:p>
        </w:tc>
      </w:tr>
      <w:tr>
        <w:trPr>
          <w:trHeight w:val="20"/>
        </w:trPr>
        <w:tc>
          <w:tcPr>
            <w:tcW w:w="68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ectPr>
          <w:pgSz w:w="11900" w:h="16838" w:orient="portrait"/>
          <w:cols w:equalWidth="0" w:num="1">
            <w:col w:w="11240"/>
          </w:cols>
          <w:pgMar w:left="320" w:top="125" w:right="339" w:bottom="1440" w:gutter="0" w:footer="0" w:header="0"/>
        </w:sect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5" w:name="page6"/>
    <w:bookmarkEnd w:id="5"/>
    <w:tbl>
      <w:tblPr>
        <w:tblLayout w:type="fixed"/>
        <w:tblInd w:w="0" w:type="dxa"/>
        <w:tblCellMar>
          <w:top w:w="0" w:type="dxa"/>
          <w:left w:w="0" w:type="dxa"/>
          <w:bottom w:w="0" w:type="dxa"/>
          <w:right w:w="0" w:type="dxa"/>
        </w:tblCellMar>
      </w:tblPr>
      <w:tr>
        <w:trPr>
          <w:trHeight w:val="207"/>
        </w:trPr>
        <w:tc>
          <w:tcPr>
            <w:tcW w:w="3640" w:type="dxa"/>
            <w:vAlign w:val="bottom"/>
            <w:gridSpan w:val="3"/>
          </w:tcPr>
          <w:p>
            <w:pPr>
              <w:spacing w:after="0"/>
              <w:rPr>
                <w:rFonts w:ascii="Arial" w:cs="Arial" w:eastAsia="Arial" w:hAnsi="Arial"/>
                <w:sz w:val="18"/>
                <w:szCs w:val="18"/>
                <w:color w:val="0000FF"/>
              </w:rPr>
            </w:pPr>
            <w:hyperlink w:anchor="page1">
              <w:r>
                <w:rPr>
                  <w:rFonts w:ascii="Arial" w:cs="Arial" w:eastAsia="Arial" w:hAnsi="Arial"/>
                  <w:sz w:val="18"/>
                  <w:szCs w:val="18"/>
                  <w:color w:val="0000FF"/>
                </w:rPr>
                <w:t>Table of Contents</w:t>
              </w:r>
            </w:hyperlink>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12"/>
        </w:trPr>
        <w:tc>
          <w:tcPr>
            <w:tcW w:w="40" w:type="dxa"/>
            <w:vAlign w:val="bottom"/>
            <w:tcBorders>
              <w:top w:val="single" w:sz="8" w:color="0000FF"/>
            </w:tcBorders>
          </w:tcPr>
          <w:p>
            <w:pPr>
              <w:spacing w:after="0"/>
              <w:rPr>
                <w:sz w:val="24"/>
                <w:szCs w:val="24"/>
                <w:color w:val="auto"/>
              </w:rPr>
            </w:pPr>
          </w:p>
        </w:tc>
        <w:tc>
          <w:tcPr>
            <w:tcW w:w="1240" w:type="dxa"/>
            <w:vAlign w:val="bottom"/>
            <w:tcBorders>
              <w:top w:val="single" w:sz="8" w:color="0000FF"/>
            </w:tcBorders>
          </w:tcPr>
          <w:p>
            <w:pPr>
              <w:spacing w:after="0"/>
              <w:rPr>
                <w:sz w:val="24"/>
                <w:szCs w:val="24"/>
                <w:color w:val="auto"/>
              </w:rPr>
            </w:pPr>
          </w:p>
        </w:tc>
        <w:tc>
          <w:tcPr>
            <w:tcW w:w="2360" w:type="dxa"/>
            <w:vAlign w:val="bottom"/>
          </w:tcPr>
          <w:p>
            <w:pPr>
              <w:spacing w:after="0"/>
              <w:rPr>
                <w:sz w:val="24"/>
                <w:szCs w:val="24"/>
                <w:color w:val="auto"/>
              </w:rPr>
            </w:pPr>
          </w:p>
        </w:tc>
        <w:tc>
          <w:tcPr>
            <w:tcW w:w="4260" w:type="dxa"/>
            <w:vAlign w:val="bottom"/>
            <w:gridSpan w:val="7"/>
          </w:tcPr>
          <w:p>
            <w:pPr>
              <w:jc w:val="center"/>
              <w:ind w:right="280"/>
              <w:spacing w:after="0"/>
              <w:rPr>
                <w:sz w:val="20"/>
                <w:szCs w:val="20"/>
                <w:color w:val="auto"/>
              </w:rPr>
            </w:pPr>
            <w:r>
              <w:rPr>
                <w:rFonts w:ascii="Arial" w:cs="Arial" w:eastAsia="Arial" w:hAnsi="Arial"/>
                <w:sz w:val="18"/>
                <w:szCs w:val="18"/>
                <w:b w:val="1"/>
                <w:bCs w:val="1"/>
                <w:color w:val="auto"/>
                <w:w w:val="90"/>
              </w:rPr>
              <w:t>National Vision Holdings, Inc. and Subsidiaries</w:t>
            </w:r>
          </w:p>
        </w:tc>
        <w:tc>
          <w:tcPr>
            <w:tcW w:w="3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340" w:type="dxa"/>
            <w:vAlign w:val="bottom"/>
            <w:gridSpan w:val="11"/>
          </w:tcPr>
          <w:p>
            <w:pPr>
              <w:jc w:val="center"/>
              <w:ind w:left="250"/>
              <w:spacing w:after="0"/>
              <w:rPr>
                <w:sz w:val="20"/>
                <w:szCs w:val="20"/>
                <w:color w:val="auto"/>
              </w:rPr>
            </w:pPr>
            <w:r>
              <w:rPr>
                <w:rFonts w:ascii="Arial" w:cs="Arial" w:eastAsia="Arial" w:hAnsi="Arial"/>
                <w:sz w:val="18"/>
                <w:szCs w:val="18"/>
                <w:b w:val="1"/>
                <w:bCs w:val="1"/>
                <w:color w:val="auto"/>
                <w:w w:val="88"/>
              </w:rPr>
              <w:t>Condensed Consolidated Statements of Operations and Comprehensive Income</w:t>
            </w:r>
          </w:p>
        </w:tc>
        <w:tc>
          <w:tcPr>
            <w:tcW w:w="2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6980" w:type="dxa"/>
            <w:vAlign w:val="bottom"/>
            <w:gridSpan w:val="9"/>
          </w:tcPr>
          <w:p>
            <w:pPr>
              <w:jc w:val="center"/>
              <w:ind w:left="1610"/>
              <w:spacing w:after="0"/>
              <w:rPr>
                <w:sz w:val="20"/>
                <w:szCs w:val="20"/>
                <w:color w:val="auto"/>
              </w:rPr>
            </w:pPr>
            <w:r>
              <w:rPr>
                <w:rFonts w:ascii="Arial" w:cs="Arial" w:eastAsia="Arial" w:hAnsi="Arial"/>
                <w:sz w:val="18"/>
                <w:szCs w:val="18"/>
                <w:b w:val="1"/>
                <w:bCs w:val="1"/>
                <w:color w:val="auto"/>
                <w:w w:val="90"/>
              </w:rPr>
              <w:t>For the Three and Six Months Ended July 3, 2021 and June 27, 2020</w:t>
            </w: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4260" w:type="dxa"/>
            <w:vAlign w:val="bottom"/>
            <w:gridSpan w:val="7"/>
          </w:tcPr>
          <w:p>
            <w:pPr>
              <w:jc w:val="center"/>
              <w:ind w:right="280"/>
              <w:spacing w:after="0"/>
              <w:rPr>
                <w:sz w:val="20"/>
                <w:szCs w:val="20"/>
                <w:color w:val="auto"/>
              </w:rPr>
            </w:pPr>
            <w:r>
              <w:rPr>
                <w:rFonts w:ascii="Arial" w:cs="Arial" w:eastAsia="Arial" w:hAnsi="Arial"/>
                <w:sz w:val="18"/>
                <w:szCs w:val="18"/>
                <w:i w:val="1"/>
                <w:iCs w:val="1"/>
                <w:color w:val="auto"/>
                <w:w w:val="89"/>
              </w:rPr>
              <w:t>In Thousands, Except Earnings Per Share</w:t>
            </w:r>
          </w:p>
        </w:tc>
        <w:tc>
          <w:tcPr>
            <w:tcW w:w="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gridSpan w:val="2"/>
          </w:tcPr>
          <w:p>
            <w:pPr>
              <w:jc w:val="center"/>
              <w:ind w:left="230"/>
              <w:spacing w:after="0"/>
              <w:rPr>
                <w:sz w:val="20"/>
                <w:szCs w:val="20"/>
                <w:color w:val="auto"/>
              </w:rPr>
            </w:pPr>
            <w:r>
              <w:rPr>
                <w:rFonts w:ascii="Arial" w:cs="Arial" w:eastAsia="Arial" w:hAnsi="Arial"/>
                <w:sz w:val="18"/>
                <w:szCs w:val="18"/>
                <w:b w:val="1"/>
                <w:bCs w:val="1"/>
                <w:color w:val="auto"/>
                <w:w w:val="91"/>
              </w:rPr>
              <w:t>(Unaudited)</w:t>
            </w:r>
          </w:p>
        </w:tc>
        <w:tc>
          <w:tcPr>
            <w:tcW w:w="2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180" w:type="dxa"/>
            <w:vAlign w:val="bottom"/>
            <w:gridSpan w:val="5"/>
          </w:tcPr>
          <w:p>
            <w:pPr>
              <w:ind w:left="660"/>
              <w:spacing w:after="0"/>
              <w:rPr>
                <w:sz w:val="20"/>
                <w:szCs w:val="20"/>
                <w:color w:val="auto"/>
              </w:rPr>
            </w:pPr>
            <w:r>
              <w:rPr>
                <w:rFonts w:ascii="Arial" w:cs="Arial" w:eastAsia="Arial" w:hAnsi="Arial"/>
                <w:sz w:val="18"/>
                <w:szCs w:val="18"/>
                <w:color w:val="auto"/>
              </w:rPr>
              <w:t>Three Months Ended</w:t>
            </w:r>
          </w:p>
        </w:tc>
        <w:tc>
          <w:tcPr>
            <w:tcW w:w="360" w:type="dxa"/>
            <w:vAlign w:val="bottom"/>
          </w:tcPr>
          <w:p>
            <w:pPr>
              <w:spacing w:after="0"/>
              <w:rPr>
                <w:sz w:val="24"/>
                <w:szCs w:val="24"/>
                <w:color w:val="auto"/>
              </w:rPr>
            </w:pPr>
          </w:p>
        </w:tc>
        <w:tc>
          <w:tcPr>
            <w:tcW w:w="2960" w:type="dxa"/>
            <w:vAlign w:val="bottom"/>
            <w:gridSpan w:val="4"/>
          </w:tcPr>
          <w:p>
            <w:pPr>
              <w:jc w:val="right"/>
              <w:ind w:right="910"/>
              <w:spacing w:after="0"/>
              <w:rPr>
                <w:sz w:val="20"/>
                <w:szCs w:val="20"/>
                <w:color w:val="auto"/>
              </w:rPr>
            </w:pPr>
            <w:r>
              <w:rPr>
                <w:rFonts w:ascii="Arial" w:cs="Arial" w:eastAsia="Arial" w:hAnsi="Arial"/>
                <w:sz w:val="18"/>
                <w:szCs w:val="18"/>
                <w:color w:val="auto"/>
              </w:rPr>
              <w:t>Six Months Ended</w:t>
            </w: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480" w:type="dxa"/>
            <w:vAlign w:val="bottom"/>
            <w:tcBorders>
              <w:top w:val="single" w:sz="8" w:color="auto"/>
            </w:tcBorders>
            <w:gridSpan w:val="2"/>
          </w:tcPr>
          <w:p>
            <w:pPr>
              <w:ind w:left="140"/>
              <w:spacing w:after="0"/>
              <w:rPr>
                <w:sz w:val="20"/>
                <w:szCs w:val="20"/>
                <w:color w:val="auto"/>
              </w:rPr>
            </w:pPr>
            <w:r>
              <w:rPr>
                <w:rFonts w:ascii="Arial" w:cs="Arial" w:eastAsia="Arial" w:hAnsi="Arial"/>
                <w:sz w:val="18"/>
                <w:szCs w:val="18"/>
                <w:color w:val="auto"/>
              </w:rPr>
              <w:t>July 3, 2021</w:t>
            </w:r>
          </w:p>
        </w:tc>
        <w:tc>
          <w:tcPr>
            <w:tcW w:w="200" w:type="dxa"/>
            <w:vAlign w:val="bottom"/>
            <w:tcBorders>
              <w:top w:val="single" w:sz="8" w:color="auto"/>
            </w:tcBorders>
          </w:tcPr>
          <w:p>
            <w:pPr>
              <w:spacing w:after="0"/>
              <w:rPr>
                <w:sz w:val="19"/>
                <w:szCs w:val="19"/>
                <w:color w:val="auto"/>
              </w:rPr>
            </w:pPr>
          </w:p>
        </w:tc>
        <w:tc>
          <w:tcPr>
            <w:tcW w:w="140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4"/>
              </w:rPr>
              <w:t>June 27, 2020</w:t>
            </w: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July 3, 2021</w:t>
            </w:r>
          </w:p>
        </w:tc>
        <w:tc>
          <w:tcPr>
            <w:tcW w:w="200" w:type="dxa"/>
            <w:vAlign w:val="bottom"/>
            <w:tcBorders>
              <w:top w:val="single" w:sz="8" w:color="auto"/>
            </w:tcBorders>
          </w:tcPr>
          <w:p>
            <w:pPr>
              <w:spacing w:after="0"/>
              <w:rPr>
                <w:sz w:val="19"/>
                <w:szCs w:val="19"/>
                <w:color w:val="auto"/>
              </w:rPr>
            </w:pPr>
          </w:p>
        </w:tc>
        <w:tc>
          <w:tcPr>
            <w:tcW w:w="140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4"/>
              </w:rPr>
              <w:t>June 27, 2020</w:t>
            </w: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360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Revenue:</w:t>
            </w:r>
          </w:p>
        </w:tc>
        <w:tc>
          <w:tcPr>
            <w:tcW w:w="8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3600" w:type="dxa"/>
            <w:vAlign w:val="bottom"/>
            <w:gridSpan w:val="2"/>
          </w:tcPr>
          <w:p>
            <w:pPr>
              <w:ind w:left="200"/>
              <w:spacing w:after="0"/>
              <w:rPr>
                <w:sz w:val="20"/>
                <w:szCs w:val="20"/>
                <w:color w:val="auto"/>
              </w:rPr>
            </w:pPr>
            <w:r>
              <w:rPr>
                <w:rFonts w:ascii="Arial" w:cs="Arial" w:eastAsia="Arial" w:hAnsi="Arial"/>
                <w:sz w:val="18"/>
                <w:szCs w:val="18"/>
                <w:color w:val="auto"/>
              </w:rPr>
              <w:t>Net product sales</w:t>
            </w:r>
          </w:p>
        </w:tc>
        <w:tc>
          <w:tcPr>
            <w:tcW w:w="108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458,206</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209,707</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901,273</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602,548</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36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Net sales of services and plans</w:t>
            </w:r>
          </w:p>
        </w:tc>
        <w:tc>
          <w:tcPr>
            <w:tcW w:w="86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91,283</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50,300</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182,396</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127,163</w:t>
            </w: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3600" w:type="dxa"/>
            <w:vAlign w:val="bottom"/>
            <w:gridSpan w:val="2"/>
          </w:tcPr>
          <w:p>
            <w:pPr>
              <w:ind w:left="340"/>
              <w:spacing w:after="0"/>
              <w:rPr>
                <w:sz w:val="20"/>
                <w:szCs w:val="20"/>
                <w:color w:val="auto"/>
              </w:rPr>
            </w:pPr>
            <w:r>
              <w:rPr>
                <w:rFonts w:ascii="Arial" w:cs="Arial" w:eastAsia="Arial" w:hAnsi="Arial"/>
                <w:sz w:val="18"/>
                <w:szCs w:val="18"/>
                <w:color w:val="auto"/>
              </w:rPr>
              <w:t>Total net revenue</w:t>
            </w: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549,489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260,007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1,083,669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729,711</w:t>
            </w: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4680" w:type="dxa"/>
            <w:vAlign w:val="bottom"/>
            <w:gridSpan w:val="4"/>
            <w:shd w:val="clear" w:color="auto" w:fill="CCEEFF"/>
          </w:tcPr>
          <w:p>
            <w:pPr>
              <w:spacing w:after="0" w:line="176" w:lineRule="exact"/>
              <w:rPr>
                <w:sz w:val="20"/>
                <w:szCs w:val="20"/>
                <w:color w:val="auto"/>
              </w:rPr>
            </w:pPr>
            <w:r>
              <w:rPr>
                <w:rFonts w:ascii="Arial" w:cs="Arial" w:eastAsia="Arial" w:hAnsi="Arial"/>
                <w:sz w:val="18"/>
                <w:szCs w:val="18"/>
                <w:b w:val="1"/>
                <w:bCs w:val="1"/>
                <w:color w:val="auto"/>
                <w:w w:val="92"/>
              </w:rPr>
              <w:t>Costs applicable to revenue (exclusive of depreciation and</w:t>
            </w:r>
          </w:p>
        </w:tc>
        <w:tc>
          <w:tcPr>
            <w:tcW w:w="1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36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amortization):</w:t>
            </w:r>
          </w:p>
        </w:tc>
        <w:tc>
          <w:tcPr>
            <w:tcW w:w="8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3600" w:type="dxa"/>
            <w:vAlign w:val="bottom"/>
            <w:gridSpan w:val="2"/>
          </w:tcPr>
          <w:p>
            <w:pPr>
              <w:ind w:left="200"/>
              <w:spacing w:after="0"/>
              <w:rPr>
                <w:sz w:val="20"/>
                <w:szCs w:val="20"/>
                <w:color w:val="auto"/>
              </w:rPr>
            </w:pPr>
            <w:r>
              <w:rPr>
                <w:rFonts w:ascii="Arial" w:cs="Arial" w:eastAsia="Arial" w:hAnsi="Arial"/>
                <w:sz w:val="18"/>
                <w:szCs w:val="18"/>
                <w:color w:val="auto"/>
              </w:rPr>
              <w:t>Products</w:t>
            </w: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167,028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97,635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326,719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254,005</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36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Services and plans</w:t>
            </w:r>
          </w:p>
        </w:tc>
        <w:tc>
          <w:tcPr>
            <w:tcW w:w="86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68,918</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43,145</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133,917</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105,329</w:t>
            </w: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3600" w:type="dxa"/>
            <w:vAlign w:val="bottom"/>
            <w:gridSpan w:val="2"/>
          </w:tcPr>
          <w:p>
            <w:pPr>
              <w:ind w:left="340"/>
              <w:spacing w:after="0"/>
              <w:rPr>
                <w:sz w:val="20"/>
                <w:szCs w:val="20"/>
                <w:color w:val="auto"/>
              </w:rPr>
            </w:pPr>
            <w:r>
              <w:rPr>
                <w:rFonts w:ascii="Arial" w:cs="Arial" w:eastAsia="Arial" w:hAnsi="Arial"/>
                <w:sz w:val="18"/>
                <w:szCs w:val="18"/>
                <w:color w:val="auto"/>
              </w:rPr>
              <w:t>Total costs applicable to revenue</w:t>
            </w: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235,946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140,780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460,636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359,334</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36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8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3600" w:type="dxa"/>
            <w:vAlign w:val="bottom"/>
            <w:gridSpan w:val="2"/>
          </w:tcPr>
          <w:p>
            <w:pPr>
              <w:ind w:left="200"/>
              <w:spacing w:after="0"/>
              <w:rPr>
                <w:sz w:val="20"/>
                <w:szCs w:val="20"/>
                <w:color w:val="auto"/>
              </w:rPr>
            </w:pPr>
            <w:r>
              <w:rPr>
                <w:rFonts w:ascii="Arial" w:cs="Arial" w:eastAsia="Arial" w:hAnsi="Arial"/>
                <w:sz w:val="18"/>
                <w:szCs w:val="18"/>
                <w:color w:val="auto"/>
                <w:w w:val="94"/>
              </w:rPr>
              <w:t>Selling, general and administrative expenses</w:t>
            </w: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234,235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136,582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457,828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330,323</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36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Depreciation and amortization</w:t>
            </w:r>
          </w:p>
        </w:tc>
        <w:tc>
          <w:tcPr>
            <w:tcW w:w="8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24,025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21,924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47,580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46,734</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3600" w:type="dxa"/>
            <w:vAlign w:val="bottom"/>
            <w:gridSpan w:val="2"/>
          </w:tcPr>
          <w:p>
            <w:pPr>
              <w:ind w:left="200"/>
              <w:spacing w:after="0"/>
              <w:rPr>
                <w:sz w:val="20"/>
                <w:szCs w:val="20"/>
                <w:color w:val="auto"/>
              </w:rPr>
            </w:pPr>
            <w:r>
              <w:rPr>
                <w:rFonts w:ascii="Arial" w:cs="Arial" w:eastAsia="Arial" w:hAnsi="Arial"/>
                <w:sz w:val="18"/>
                <w:szCs w:val="18"/>
                <w:color w:val="auto"/>
              </w:rPr>
              <w:t>Asset impairment</w:t>
            </w: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519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2,411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1,478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13,766</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36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Litigation settlement</w:t>
            </w:r>
          </w:p>
        </w:tc>
        <w:tc>
          <w:tcPr>
            <w:tcW w:w="8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4,395</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3600" w:type="dxa"/>
            <w:vAlign w:val="bottom"/>
            <w:tcBorders>
              <w:bottom w:val="single" w:sz="8" w:color="CCEEFF"/>
            </w:tcBorders>
            <w:gridSpan w:val="2"/>
          </w:tcPr>
          <w:p>
            <w:pPr>
              <w:ind w:left="200"/>
              <w:spacing w:after="0"/>
              <w:rPr>
                <w:sz w:val="20"/>
                <w:szCs w:val="20"/>
                <w:color w:val="auto"/>
              </w:rPr>
            </w:pPr>
            <w:r>
              <w:rPr>
                <w:rFonts w:ascii="Arial" w:cs="Arial" w:eastAsia="Arial" w:hAnsi="Arial"/>
                <w:sz w:val="18"/>
                <w:szCs w:val="18"/>
                <w:color w:val="auto"/>
              </w:rPr>
              <w:t>Other expense (income), net</w:t>
            </w:r>
          </w:p>
        </w:tc>
        <w:tc>
          <w:tcPr>
            <w:tcW w:w="86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36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Total operating expenses</w:t>
            </w:r>
          </w:p>
        </w:tc>
        <w:tc>
          <w:tcPr>
            <w:tcW w:w="86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258,714</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160,825</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506,756</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395,060</w:t>
            </w: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3600" w:type="dxa"/>
            <w:vAlign w:val="bottom"/>
            <w:gridSpan w:val="2"/>
          </w:tcPr>
          <w:p>
            <w:pPr>
              <w:spacing w:after="0"/>
              <w:rPr>
                <w:sz w:val="20"/>
                <w:szCs w:val="20"/>
                <w:color w:val="auto"/>
              </w:rPr>
            </w:pPr>
            <w:r>
              <w:rPr>
                <w:rFonts w:ascii="Arial" w:cs="Arial" w:eastAsia="Arial" w:hAnsi="Arial"/>
                <w:sz w:val="18"/>
                <w:szCs w:val="18"/>
                <w:color w:val="auto"/>
              </w:rPr>
              <w:t>Income (loss) from operations</w:t>
            </w: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54,829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(41,598)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116,277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(24,683)</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36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Interest expense, net</w:t>
            </w:r>
          </w:p>
        </w:tc>
        <w:tc>
          <w:tcPr>
            <w:tcW w:w="8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10,096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15,502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16,426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22,957</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3600" w:type="dxa"/>
            <w:vAlign w:val="bottom"/>
            <w:tcBorders>
              <w:bottom w:val="single" w:sz="8" w:color="CCEEFF"/>
            </w:tcBorders>
            <w:gridSpan w:val="2"/>
          </w:tcPr>
          <w:p>
            <w:pPr>
              <w:ind w:left="200"/>
              <w:spacing w:after="0"/>
              <w:rPr>
                <w:sz w:val="20"/>
                <w:szCs w:val="20"/>
                <w:color w:val="auto"/>
              </w:rPr>
            </w:pPr>
            <w:r>
              <w:rPr>
                <w:rFonts w:ascii="Arial" w:cs="Arial" w:eastAsia="Arial" w:hAnsi="Arial"/>
                <w:sz w:val="18"/>
                <w:szCs w:val="18"/>
                <w:color w:val="auto"/>
              </w:rPr>
              <w:t>Debt issuance costs</w:t>
            </w:r>
          </w:p>
        </w:tc>
        <w:tc>
          <w:tcPr>
            <w:tcW w:w="86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3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Earnings (loss) before income taxes</w:t>
            </w:r>
          </w:p>
        </w:tc>
        <w:tc>
          <w:tcPr>
            <w:tcW w:w="8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44,641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(57,236)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99,759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(47,776)</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360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Income tax provision (benefit)</w:t>
            </w:r>
          </w:p>
        </w:tc>
        <w:tc>
          <w:tcPr>
            <w:tcW w:w="86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7,040</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(13,403)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18,726</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(13,685)</w:t>
            </w:r>
          </w:p>
        </w:tc>
        <w:tc>
          <w:tcPr>
            <w:tcW w:w="0" w:type="dxa"/>
            <w:vAlign w:val="bottom"/>
          </w:tcPr>
          <w:p>
            <w:pPr>
              <w:spacing w:after="0"/>
              <w:rPr>
                <w:sz w:val="1"/>
                <w:szCs w:val="1"/>
                <w:color w:val="auto"/>
              </w:rPr>
            </w:pPr>
          </w:p>
        </w:tc>
      </w:tr>
      <w:tr>
        <w:trPr>
          <w:trHeight w:val="248"/>
        </w:trPr>
        <w:tc>
          <w:tcPr>
            <w:tcW w:w="40" w:type="dxa"/>
            <w:vAlign w:val="bottom"/>
          </w:tcPr>
          <w:p>
            <w:pPr>
              <w:spacing w:after="0"/>
              <w:rPr>
                <w:sz w:val="21"/>
                <w:szCs w:val="21"/>
                <w:color w:val="auto"/>
              </w:rPr>
            </w:pPr>
          </w:p>
        </w:tc>
        <w:tc>
          <w:tcPr>
            <w:tcW w:w="36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8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37,601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(43,833)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81,033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(34,091)</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600" w:type="dxa"/>
            <w:vAlign w:val="bottom"/>
            <w:tcBorders>
              <w:top w:val="single" w:sz="8" w:color="CCEEFF"/>
            </w:tcBorders>
            <w:gridSpan w:val="2"/>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36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Earnings (loss) per share:</w:t>
            </w:r>
          </w:p>
        </w:tc>
        <w:tc>
          <w:tcPr>
            <w:tcW w:w="8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3600" w:type="dxa"/>
            <w:vAlign w:val="bottom"/>
            <w:gridSpan w:val="2"/>
          </w:tcPr>
          <w:p>
            <w:pPr>
              <w:ind w:left="200"/>
              <w:spacing w:after="0"/>
              <w:rPr>
                <w:sz w:val="20"/>
                <w:szCs w:val="20"/>
                <w:color w:val="auto"/>
              </w:rPr>
            </w:pPr>
            <w:r>
              <w:rPr>
                <w:rFonts w:ascii="Arial" w:cs="Arial" w:eastAsia="Arial" w:hAnsi="Arial"/>
                <w:sz w:val="18"/>
                <w:szCs w:val="18"/>
                <w:color w:val="auto"/>
              </w:rPr>
              <w:t>Basic</w:t>
            </w:r>
          </w:p>
        </w:tc>
        <w:tc>
          <w:tcPr>
            <w:tcW w:w="108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0.46</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(0.55)</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0.99</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(0.42)</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36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Diluted</w:t>
            </w:r>
          </w:p>
        </w:tc>
        <w:tc>
          <w:tcPr>
            <w:tcW w:w="10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(0.42)</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3600" w:type="dxa"/>
            <w:vAlign w:val="bottom"/>
            <w:gridSpan w:val="2"/>
          </w:tcPr>
          <w:p>
            <w:pPr>
              <w:spacing w:after="0"/>
              <w:rPr>
                <w:sz w:val="20"/>
                <w:szCs w:val="20"/>
                <w:color w:val="auto"/>
              </w:rPr>
            </w:pPr>
            <w:r>
              <w:rPr>
                <w:rFonts w:ascii="Arial" w:cs="Arial" w:eastAsia="Arial" w:hAnsi="Arial"/>
                <w:sz w:val="18"/>
                <w:szCs w:val="18"/>
                <w:b w:val="1"/>
                <w:bCs w:val="1"/>
                <w:color w:val="auto"/>
              </w:rPr>
              <w:t>Weighted average shares outstanding:</w:t>
            </w: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36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Basic</w:t>
            </w:r>
          </w:p>
        </w:tc>
        <w:tc>
          <w:tcPr>
            <w:tcW w:w="8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81,601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80,325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81,457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80,226</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3600" w:type="dxa"/>
            <w:vAlign w:val="bottom"/>
            <w:gridSpan w:val="2"/>
          </w:tcPr>
          <w:p>
            <w:pPr>
              <w:ind w:left="200"/>
              <w:spacing w:after="0"/>
              <w:rPr>
                <w:sz w:val="20"/>
                <w:szCs w:val="20"/>
                <w:color w:val="auto"/>
              </w:rPr>
            </w:pPr>
            <w:r>
              <w:rPr>
                <w:rFonts w:ascii="Arial" w:cs="Arial" w:eastAsia="Arial" w:hAnsi="Arial"/>
                <w:sz w:val="18"/>
                <w:szCs w:val="18"/>
                <w:color w:val="auto"/>
              </w:rPr>
              <w:t>Diluted</w:t>
            </w: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96,082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80,325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96,044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80,226</w:t>
            </w: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3600" w:type="dxa"/>
            <w:vAlign w:val="bottom"/>
            <w:gridSpan w:val="2"/>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3600" w:type="dxa"/>
            <w:vAlign w:val="bottom"/>
            <w:gridSpan w:val="2"/>
          </w:tcPr>
          <w:p>
            <w:pPr>
              <w:spacing w:after="0"/>
              <w:rPr>
                <w:sz w:val="20"/>
                <w:szCs w:val="20"/>
                <w:color w:val="auto"/>
              </w:rPr>
            </w:pPr>
            <w:r>
              <w:rPr>
                <w:rFonts w:ascii="Arial" w:cs="Arial" w:eastAsia="Arial" w:hAnsi="Arial"/>
                <w:sz w:val="18"/>
                <w:szCs w:val="18"/>
                <w:b w:val="1"/>
                <w:bCs w:val="1"/>
                <w:color w:val="auto"/>
              </w:rPr>
              <w:t>Comprehensive income (loss):</w:t>
            </w: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36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Net income (loss)</w:t>
            </w:r>
          </w:p>
        </w:tc>
        <w:tc>
          <w:tcPr>
            <w:tcW w:w="10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37,601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(43,833)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81,033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(34,091)</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3600" w:type="dxa"/>
            <w:vAlign w:val="bottom"/>
            <w:gridSpan w:val="2"/>
          </w:tcPr>
          <w:p>
            <w:pPr>
              <w:ind w:left="200"/>
              <w:spacing w:after="0"/>
              <w:rPr>
                <w:sz w:val="20"/>
                <w:szCs w:val="20"/>
                <w:color w:val="auto"/>
              </w:rPr>
            </w:pPr>
            <w:r>
              <w:rPr>
                <w:rFonts w:ascii="Arial" w:cs="Arial" w:eastAsia="Arial" w:hAnsi="Arial"/>
                <w:sz w:val="18"/>
                <w:szCs w:val="18"/>
                <w:color w:val="auto"/>
                <w:w w:val="95"/>
              </w:rPr>
              <w:t>Unrealized gain (loss) on hedge instruments</w:t>
            </w: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2,959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4,111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4,609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(4,747)</w:t>
            </w: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4680" w:type="dxa"/>
            <w:vAlign w:val="bottom"/>
            <w:gridSpan w:val="4"/>
            <w:shd w:val="clear" w:color="auto" w:fill="CCEEFF"/>
          </w:tcPr>
          <w:p>
            <w:pPr>
              <w:ind w:left="200"/>
              <w:spacing w:after="0" w:line="176" w:lineRule="exact"/>
              <w:rPr>
                <w:sz w:val="20"/>
                <w:szCs w:val="20"/>
                <w:color w:val="auto"/>
              </w:rPr>
            </w:pPr>
            <w:r>
              <w:rPr>
                <w:rFonts w:ascii="Arial" w:cs="Arial" w:eastAsia="Arial" w:hAnsi="Arial"/>
                <w:sz w:val="18"/>
                <w:szCs w:val="18"/>
                <w:color w:val="auto"/>
                <w:w w:val="98"/>
              </w:rPr>
              <w:t>Tax provision (benefit) of unrealized gain (loss) on hedge</w:t>
            </w:r>
          </w:p>
        </w:tc>
        <w:tc>
          <w:tcPr>
            <w:tcW w:w="13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756</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1,050</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3,302</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(1,206)</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36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instruments</w:t>
            </w:r>
          </w:p>
        </w:tc>
        <w:tc>
          <w:tcPr>
            <w:tcW w:w="86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3600" w:type="dxa"/>
            <w:vAlign w:val="bottom"/>
            <w:gridSpan w:val="2"/>
          </w:tcPr>
          <w:p>
            <w:pPr>
              <w:spacing w:after="0"/>
              <w:rPr>
                <w:sz w:val="20"/>
                <w:szCs w:val="20"/>
                <w:color w:val="auto"/>
              </w:rPr>
            </w:pPr>
            <w:r>
              <w:rPr>
                <w:rFonts w:ascii="Arial" w:cs="Arial" w:eastAsia="Arial" w:hAnsi="Arial"/>
                <w:sz w:val="18"/>
                <w:szCs w:val="18"/>
                <w:color w:val="auto"/>
              </w:rPr>
              <w:t>Comprehensive income (loss)</w:t>
            </w:r>
          </w:p>
        </w:tc>
        <w:tc>
          <w:tcPr>
            <w:tcW w:w="86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39,804</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(40,772)</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82,340</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(37,632)</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 w:right="35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07"/>
        </w:trPr>
        <w:tc>
          <w:tcPr>
            <w:tcW w:w="3100" w:type="dxa"/>
            <w:vAlign w:val="bottom"/>
            <w:gridSpan w:val="2"/>
          </w:tcPr>
          <w:p>
            <w:pPr>
              <w:spacing w:after="0"/>
              <w:rPr>
                <w:rFonts w:ascii="Arial" w:cs="Arial" w:eastAsia="Arial" w:hAnsi="Arial"/>
                <w:sz w:val="18"/>
                <w:szCs w:val="18"/>
                <w:color w:val="0000FF"/>
              </w:rPr>
            </w:pPr>
            <w:hyperlink w:anchor="page1">
              <w:r>
                <w:rPr>
                  <w:rFonts w:ascii="Arial" w:cs="Arial" w:eastAsia="Arial" w:hAnsi="Arial"/>
                  <w:sz w:val="18"/>
                  <w:szCs w:val="18"/>
                  <w:color w:val="0000FF"/>
                </w:rPr>
                <w:t>Table of Contents</w:t>
              </w:r>
            </w:hyperlink>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8"/>
        </w:trPr>
        <w:tc>
          <w:tcPr>
            <w:tcW w:w="1280" w:type="dxa"/>
            <w:vAlign w:val="bottom"/>
            <w:tcBorders>
              <w:top w:val="single" w:sz="8" w:color="0000FF"/>
            </w:tcBorders>
          </w:tcPr>
          <w:p>
            <w:pPr>
              <w:spacing w:after="0"/>
              <w:rPr>
                <w:sz w:val="24"/>
                <w:szCs w:val="24"/>
                <w:color w:val="auto"/>
              </w:rPr>
            </w:pPr>
          </w:p>
        </w:tc>
        <w:tc>
          <w:tcPr>
            <w:tcW w:w="1820" w:type="dxa"/>
            <w:vAlign w:val="bottom"/>
          </w:tcPr>
          <w:p>
            <w:pPr>
              <w:spacing w:after="0"/>
              <w:rPr>
                <w:sz w:val="24"/>
                <w:szCs w:val="24"/>
                <w:color w:val="auto"/>
              </w:rPr>
            </w:pPr>
          </w:p>
        </w:tc>
        <w:tc>
          <w:tcPr>
            <w:tcW w:w="4580" w:type="dxa"/>
            <w:vAlign w:val="bottom"/>
            <w:gridSpan w:val="7"/>
          </w:tcPr>
          <w:p>
            <w:pPr>
              <w:jc w:val="center"/>
              <w:ind w:left="390"/>
              <w:spacing w:after="0"/>
              <w:rPr>
                <w:sz w:val="20"/>
                <w:szCs w:val="20"/>
                <w:color w:val="auto"/>
              </w:rPr>
            </w:pPr>
            <w:r>
              <w:rPr>
                <w:rFonts w:ascii="Arial" w:cs="Arial" w:eastAsia="Arial" w:hAnsi="Arial"/>
                <w:sz w:val="18"/>
                <w:szCs w:val="18"/>
                <w:b w:val="1"/>
                <w:bCs w:val="1"/>
                <w:color w:val="auto"/>
                <w:w w:val="90"/>
              </w:rPr>
              <w:t>National Vision Holdings, Inc. and Subsidiaries</w:t>
            </w: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5620" w:type="dxa"/>
            <w:vAlign w:val="bottom"/>
            <w:gridSpan w:val="9"/>
          </w:tcPr>
          <w:p>
            <w:pPr>
              <w:jc w:val="center"/>
              <w:ind w:right="470"/>
              <w:spacing w:after="0"/>
              <w:rPr>
                <w:sz w:val="20"/>
                <w:szCs w:val="20"/>
                <w:color w:val="auto"/>
              </w:rPr>
            </w:pPr>
            <w:r>
              <w:rPr>
                <w:rFonts w:ascii="Arial" w:cs="Arial" w:eastAsia="Arial" w:hAnsi="Arial"/>
                <w:sz w:val="18"/>
                <w:szCs w:val="18"/>
                <w:b w:val="1"/>
                <w:bCs w:val="1"/>
                <w:color w:val="auto"/>
                <w:w w:val="88"/>
              </w:rPr>
              <w:t>Condensed Consolidated Statements of Stockholders’ Equity</w:t>
            </w: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128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4580" w:type="dxa"/>
            <w:vAlign w:val="bottom"/>
            <w:gridSpan w:val="7"/>
          </w:tcPr>
          <w:p>
            <w:pPr>
              <w:jc w:val="center"/>
              <w:ind w:left="390"/>
              <w:spacing w:after="0"/>
              <w:rPr>
                <w:sz w:val="20"/>
                <w:szCs w:val="20"/>
                <w:color w:val="auto"/>
              </w:rPr>
            </w:pPr>
            <w:r>
              <w:rPr>
                <w:rFonts w:ascii="Arial" w:cs="Arial" w:eastAsia="Arial" w:hAnsi="Arial"/>
                <w:sz w:val="18"/>
                <w:szCs w:val="18"/>
                <w:b w:val="1"/>
                <w:bCs w:val="1"/>
                <w:color w:val="auto"/>
                <w:w w:val="91"/>
              </w:rPr>
              <w:t>For the Three and Six Months Ended July 3, 2021</w:t>
            </w: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12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i w:val="1"/>
                <w:iCs w:val="1"/>
                <w:color w:val="auto"/>
                <w:w w:val="89"/>
              </w:rPr>
              <w:t>In Thousands</w:t>
            </w: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28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center"/>
              <w:spacing w:after="0"/>
              <w:rPr>
                <w:sz w:val="20"/>
                <w:szCs w:val="20"/>
                <w:color w:val="auto"/>
              </w:rPr>
            </w:pPr>
            <w:r>
              <w:rPr>
                <w:rFonts w:ascii="Arial" w:cs="Arial" w:eastAsia="Arial" w:hAnsi="Arial"/>
                <w:sz w:val="18"/>
                <w:szCs w:val="18"/>
                <w:b w:val="1"/>
                <w:bCs w:val="1"/>
                <w:color w:val="auto"/>
                <w:w w:val="91"/>
              </w:rPr>
              <w:t>(Unaudited)</w:t>
            </w:r>
          </w:p>
        </w:tc>
        <w:tc>
          <w:tcPr>
            <w:tcW w:w="1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12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gridSpan w:val="5"/>
          </w:tcPr>
          <w:p>
            <w:pPr>
              <w:jc w:val="right"/>
              <w:spacing w:after="0"/>
              <w:rPr>
                <w:sz w:val="20"/>
                <w:szCs w:val="20"/>
                <w:color w:val="auto"/>
              </w:rPr>
            </w:pPr>
            <w:r>
              <w:rPr>
                <w:rFonts w:ascii="Arial" w:cs="Arial" w:eastAsia="Arial" w:hAnsi="Arial"/>
                <w:sz w:val="18"/>
                <w:szCs w:val="18"/>
                <w:color w:val="auto"/>
              </w:rPr>
              <w:t>Three and Six Months Ended July 3, 2021</w:t>
            </w:r>
          </w:p>
        </w:tc>
        <w:tc>
          <w:tcPr>
            <w:tcW w:w="1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8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880" w:type="dxa"/>
            <w:vAlign w:val="bottom"/>
            <w:gridSpan w:val="3"/>
          </w:tcPr>
          <w:p>
            <w:pPr>
              <w:jc w:val="right"/>
              <w:ind w:right="290"/>
              <w:spacing w:after="0" w:line="196" w:lineRule="exact"/>
              <w:rPr>
                <w:sz w:val="20"/>
                <w:szCs w:val="20"/>
                <w:color w:val="auto"/>
              </w:rPr>
            </w:pPr>
            <w:r>
              <w:rPr>
                <w:rFonts w:ascii="Arial" w:cs="Arial" w:eastAsia="Arial" w:hAnsi="Arial"/>
                <w:sz w:val="18"/>
                <w:szCs w:val="18"/>
                <w:color w:val="auto"/>
              </w:rPr>
              <w:t>Common Stock</w:t>
            </w: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jc w:val="center"/>
              <w:ind w:right="70"/>
              <w:spacing w:after="0" w:line="196" w:lineRule="exact"/>
              <w:rPr>
                <w:sz w:val="20"/>
                <w:szCs w:val="20"/>
                <w:color w:val="auto"/>
              </w:rPr>
            </w:pPr>
            <w:r>
              <w:rPr>
                <w:rFonts w:ascii="Arial" w:cs="Arial" w:eastAsia="Arial" w:hAnsi="Arial"/>
                <w:sz w:val="18"/>
                <w:szCs w:val="18"/>
                <w:color w:val="auto"/>
                <w:w w:val="92"/>
              </w:rPr>
              <w:t>Accumulated</w:t>
            </w: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1280" w:type="dxa"/>
            <w:vAlign w:val="bottom"/>
          </w:tcPr>
          <w:p>
            <w:pPr>
              <w:spacing w:after="0"/>
              <w:rPr>
                <w:sz w:val="4"/>
                <w:szCs w:val="4"/>
                <w:color w:val="auto"/>
              </w:rPr>
            </w:pPr>
          </w:p>
        </w:tc>
        <w:tc>
          <w:tcPr>
            <w:tcW w:w="1820" w:type="dxa"/>
            <w:vAlign w:val="bottom"/>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1000" w:type="dxa"/>
            <w:vAlign w:val="bottom"/>
            <w:vMerge w:val="restart"/>
          </w:tcPr>
          <w:p>
            <w:pPr>
              <w:jc w:val="center"/>
              <w:ind w:right="90"/>
              <w:spacing w:after="0" w:line="149" w:lineRule="exact"/>
              <w:rPr>
                <w:sz w:val="20"/>
                <w:szCs w:val="20"/>
                <w:color w:val="auto"/>
              </w:rPr>
            </w:pPr>
            <w:r>
              <w:rPr>
                <w:rFonts w:ascii="Arial" w:cs="Arial" w:eastAsia="Arial" w:hAnsi="Arial"/>
                <w:sz w:val="17"/>
                <w:szCs w:val="17"/>
                <w:color w:val="auto"/>
              </w:rPr>
              <w:t>Additional</w:t>
            </w:r>
          </w:p>
        </w:tc>
        <w:tc>
          <w:tcPr>
            <w:tcW w:w="160" w:type="dxa"/>
            <w:vAlign w:val="bottom"/>
          </w:tcPr>
          <w:p>
            <w:pPr>
              <w:spacing w:after="0"/>
              <w:rPr>
                <w:sz w:val="4"/>
                <w:szCs w:val="4"/>
                <w:color w:val="auto"/>
              </w:rPr>
            </w:pPr>
          </w:p>
        </w:tc>
        <w:tc>
          <w:tcPr>
            <w:tcW w:w="1400" w:type="dxa"/>
            <w:vAlign w:val="bottom"/>
            <w:vMerge w:val="restart"/>
          </w:tcPr>
          <w:p>
            <w:pPr>
              <w:jc w:val="center"/>
              <w:ind w:right="70"/>
              <w:spacing w:after="0" w:line="149" w:lineRule="exact"/>
              <w:rPr>
                <w:sz w:val="20"/>
                <w:szCs w:val="20"/>
                <w:color w:val="auto"/>
              </w:rPr>
            </w:pPr>
            <w:r>
              <w:rPr>
                <w:rFonts w:ascii="Arial" w:cs="Arial" w:eastAsia="Arial" w:hAnsi="Arial"/>
                <w:sz w:val="17"/>
                <w:szCs w:val="17"/>
                <w:color w:val="auto"/>
                <w:w w:val="93"/>
              </w:rPr>
              <w:t>Other</w:t>
            </w:r>
          </w:p>
        </w:tc>
        <w:tc>
          <w:tcPr>
            <w:tcW w:w="160" w:type="dxa"/>
            <w:vAlign w:val="bottom"/>
          </w:tcPr>
          <w:p>
            <w:pPr>
              <w:spacing w:after="0"/>
              <w:rPr>
                <w:sz w:val="4"/>
                <w:szCs w:val="4"/>
                <w:color w:val="auto"/>
              </w:rPr>
            </w:pPr>
          </w:p>
        </w:tc>
        <w:tc>
          <w:tcPr>
            <w:tcW w:w="880" w:type="dxa"/>
            <w:vAlign w:val="bottom"/>
            <w:vMerge w:val="restart"/>
          </w:tcPr>
          <w:p>
            <w:pPr>
              <w:jc w:val="right"/>
              <w:ind w:right="110"/>
              <w:spacing w:after="0"/>
              <w:rPr>
                <w:sz w:val="20"/>
                <w:szCs w:val="20"/>
                <w:color w:val="auto"/>
              </w:rPr>
            </w:pPr>
            <w:r>
              <w:rPr>
                <w:rFonts w:ascii="Arial" w:cs="Arial" w:eastAsia="Arial" w:hAnsi="Arial"/>
                <w:sz w:val="18"/>
                <w:szCs w:val="18"/>
                <w:color w:val="auto"/>
                <w:w w:val="91"/>
              </w:rPr>
              <w:t>Retained</w:t>
            </w:r>
          </w:p>
        </w:tc>
        <w:tc>
          <w:tcPr>
            <w:tcW w:w="180" w:type="dxa"/>
            <w:vAlign w:val="bottom"/>
          </w:tcPr>
          <w:p>
            <w:pPr>
              <w:spacing w:after="0"/>
              <w:rPr>
                <w:sz w:val="4"/>
                <w:szCs w:val="4"/>
                <w:color w:val="auto"/>
              </w:rPr>
            </w:pPr>
          </w:p>
        </w:tc>
        <w:tc>
          <w:tcPr>
            <w:tcW w:w="900" w:type="dxa"/>
            <w:vAlign w:val="bottom"/>
            <w:vMerge w:val="restart"/>
          </w:tcPr>
          <w:p>
            <w:pPr>
              <w:jc w:val="right"/>
              <w:ind w:right="110"/>
              <w:spacing w:after="0"/>
              <w:rPr>
                <w:sz w:val="20"/>
                <w:szCs w:val="20"/>
                <w:color w:val="auto"/>
              </w:rPr>
            </w:pPr>
            <w:r>
              <w:rPr>
                <w:rFonts w:ascii="Arial" w:cs="Arial" w:eastAsia="Arial" w:hAnsi="Arial"/>
                <w:sz w:val="18"/>
                <w:szCs w:val="18"/>
                <w:color w:val="auto"/>
                <w:w w:val="95"/>
              </w:rPr>
              <w:t>Treasury</w:t>
            </w:r>
          </w:p>
        </w:tc>
        <w:tc>
          <w:tcPr>
            <w:tcW w:w="160" w:type="dxa"/>
            <w:vAlign w:val="bottom"/>
          </w:tcPr>
          <w:p>
            <w:pPr>
              <w:spacing w:after="0"/>
              <w:rPr>
                <w:sz w:val="4"/>
                <w:szCs w:val="4"/>
                <w:color w:val="auto"/>
              </w:rPr>
            </w:pPr>
          </w:p>
        </w:tc>
        <w:tc>
          <w:tcPr>
            <w:tcW w:w="1280" w:type="dxa"/>
            <w:vAlign w:val="bottom"/>
            <w:vMerge w:val="restart"/>
          </w:tcPr>
          <w:p>
            <w:pPr>
              <w:jc w:val="center"/>
              <w:ind w:right="110"/>
              <w:spacing w:after="0" w:line="149" w:lineRule="exact"/>
              <w:rPr>
                <w:sz w:val="20"/>
                <w:szCs w:val="20"/>
                <w:color w:val="auto"/>
              </w:rPr>
            </w:pPr>
            <w:r>
              <w:rPr>
                <w:rFonts w:ascii="Arial" w:cs="Arial" w:eastAsia="Arial" w:hAnsi="Arial"/>
                <w:sz w:val="17"/>
                <w:szCs w:val="17"/>
                <w:color w:val="auto"/>
                <w:w w:val="95"/>
              </w:rPr>
              <w:t>Total</w:t>
            </w:r>
          </w:p>
        </w:tc>
        <w:tc>
          <w:tcPr>
            <w:tcW w:w="0" w:type="dxa"/>
            <w:vAlign w:val="bottom"/>
          </w:tcPr>
          <w:p>
            <w:pPr>
              <w:spacing w:after="0"/>
              <w:rPr>
                <w:sz w:val="1"/>
                <w:szCs w:val="1"/>
                <w:color w:val="auto"/>
              </w:rPr>
            </w:pPr>
          </w:p>
        </w:tc>
      </w:tr>
      <w:tr>
        <w:trPr>
          <w:trHeight w:val="74"/>
        </w:trPr>
        <w:tc>
          <w:tcPr>
            <w:tcW w:w="1280" w:type="dxa"/>
            <w:vAlign w:val="bottom"/>
          </w:tcPr>
          <w:p>
            <w:pPr>
              <w:spacing w:after="0"/>
              <w:rPr>
                <w:sz w:val="6"/>
                <w:szCs w:val="6"/>
                <w:color w:val="auto"/>
              </w:rPr>
            </w:pPr>
          </w:p>
        </w:tc>
        <w:tc>
          <w:tcPr>
            <w:tcW w:w="1820" w:type="dxa"/>
            <w:vAlign w:val="bottom"/>
          </w:tcPr>
          <w:p>
            <w:pPr>
              <w:spacing w:after="0"/>
              <w:rPr>
                <w:sz w:val="6"/>
                <w:szCs w:val="6"/>
                <w:color w:val="auto"/>
              </w:rPr>
            </w:pPr>
          </w:p>
        </w:tc>
        <w:tc>
          <w:tcPr>
            <w:tcW w:w="94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140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88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90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6"/>
        </w:trPr>
        <w:tc>
          <w:tcPr>
            <w:tcW w:w="128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940" w:type="dxa"/>
            <w:vAlign w:val="bottom"/>
            <w:vMerge w:val="restart"/>
          </w:tcPr>
          <w:p>
            <w:pPr>
              <w:jc w:val="right"/>
              <w:ind w:right="130"/>
              <w:spacing w:after="0"/>
              <w:rPr>
                <w:sz w:val="20"/>
                <w:szCs w:val="20"/>
                <w:color w:val="auto"/>
              </w:rPr>
            </w:pPr>
            <w:r>
              <w:rPr>
                <w:rFonts w:ascii="Arial" w:cs="Arial" w:eastAsia="Arial" w:hAnsi="Arial"/>
                <w:sz w:val="18"/>
                <w:szCs w:val="18"/>
                <w:color w:val="auto"/>
              </w:rPr>
              <w:t>Shares</w:t>
            </w:r>
          </w:p>
        </w:tc>
        <w:tc>
          <w:tcPr>
            <w:tcW w:w="140" w:type="dxa"/>
            <w:vAlign w:val="bottom"/>
          </w:tcPr>
          <w:p>
            <w:pPr>
              <w:spacing w:after="0"/>
              <w:rPr>
                <w:sz w:val="15"/>
                <w:szCs w:val="15"/>
                <w:color w:val="auto"/>
              </w:rPr>
            </w:pPr>
          </w:p>
        </w:tc>
        <w:tc>
          <w:tcPr>
            <w:tcW w:w="800" w:type="dxa"/>
            <w:vAlign w:val="bottom"/>
            <w:vMerge w:val="restart"/>
          </w:tcPr>
          <w:p>
            <w:pPr>
              <w:jc w:val="right"/>
              <w:ind w:right="70"/>
              <w:spacing w:after="0"/>
              <w:rPr>
                <w:sz w:val="20"/>
                <w:szCs w:val="20"/>
                <w:color w:val="auto"/>
              </w:rPr>
            </w:pPr>
            <w:r>
              <w:rPr>
                <w:rFonts w:ascii="Arial" w:cs="Arial" w:eastAsia="Arial" w:hAnsi="Arial"/>
                <w:sz w:val="18"/>
                <w:szCs w:val="18"/>
                <w:color w:val="auto"/>
                <w:w w:val="99"/>
              </w:rPr>
              <w:t>Amount</w:t>
            </w:r>
          </w:p>
        </w:tc>
        <w:tc>
          <w:tcPr>
            <w:tcW w:w="140" w:type="dxa"/>
            <w:vAlign w:val="bottom"/>
          </w:tcPr>
          <w:p>
            <w:pPr>
              <w:spacing w:after="0"/>
              <w:rPr>
                <w:sz w:val="15"/>
                <w:szCs w:val="15"/>
                <w:color w:val="auto"/>
              </w:rPr>
            </w:pPr>
          </w:p>
        </w:tc>
        <w:tc>
          <w:tcPr>
            <w:tcW w:w="1000" w:type="dxa"/>
            <w:vAlign w:val="bottom"/>
          </w:tcPr>
          <w:p>
            <w:pPr>
              <w:jc w:val="center"/>
              <w:ind w:right="90"/>
              <w:spacing w:after="0" w:line="176" w:lineRule="exact"/>
              <w:rPr>
                <w:sz w:val="20"/>
                <w:szCs w:val="20"/>
                <w:color w:val="auto"/>
              </w:rPr>
            </w:pPr>
            <w:r>
              <w:rPr>
                <w:rFonts w:ascii="Arial" w:cs="Arial" w:eastAsia="Arial" w:hAnsi="Arial"/>
                <w:sz w:val="18"/>
                <w:szCs w:val="18"/>
                <w:color w:val="auto"/>
                <w:w w:val="94"/>
              </w:rPr>
              <w:t>Paid-In</w:t>
            </w:r>
          </w:p>
        </w:tc>
        <w:tc>
          <w:tcPr>
            <w:tcW w:w="160" w:type="dxa"/>
            <w:vAlign w:val="bottom"/>
          </w:tcPr>
          <w:p>
            <w:pPr>
              <w:spacing w:after="0"/>
              <w:rPr>
                <w:sz w:val="15"/>
                <w:szCs w:val="15"/>
                <w:color w:val="auto"/>
              </w:rPr>
            </w:pPr>
          </w:p>
        </w:tc>
        <w:tc>
          <w:tcPr>
            <w:tcW w:w="1400" w:type="dxa"/>
            <w:vAlign w:val="bottom"/>
          </w:tcPr>
          <w:p>
            <w:pPr>
              <w:jc w:val="center"/>
              <w:ind w:right="110"/>
              <w:spacing w:after="0" w:line="176" w:lineRule="exact"/>
              <w:rPr>
                <w:sz w:val="20"/>
                <w:szCs w:val="20"/>
                <w:color w:val="auto"/>
              </w:rPr>
            </w:pPr>
            <w:r>
              <w:rPr>
                <w:rFonts w:ascii="Arial" w:cs="Arial" w:eastAsia="Arial" w:hAnsi="Arial"/>
                <w:sz w:val="18"/>
                <w:szCs w:val="18"/>
                <w:color w:val="auto"/>
                <w:w w:val="88"/>
              </w:rPr>
              <w:t>Comprehensive</w:t>
            </w:r>
          </w:p>
        </w:tc>
        <w:tc>
          <w:tcPr>
            <w:tcW w:w="16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tcPr>
          <w:p>
            <w:pPr>
              <w:jc w:val="center"/>
              <w:ind w:right="110"/>
              <w:spacing w:after="0" w:line="176" w:lineRule="exact"/>
              <w:rPr>
                <w:sz w:val="20"/>
                <w:szCs w:val="20"/>
                <w:color w:val="auto"/>
              </w:rPr>
            </w:pPr>
            <w:r>
              <w:rPr>
                <w:rFonts w:ascii="Arial" w:cs="Arial" w:eastAsia="Arial" w:hAnsi="Arial"/>
                <w:sz w:val="18"/>
                <w:szCs w:val="18"/>
                <w:color w:val="auto"/>
                <w:w w:val="89"/>
              </w:rPr>
              <w:t>Stockholders'</w:t>
            </w:r>
          </w:p>
        </w:tc>
        <w:tc>
          <w:tcPr>
            <w:tcW w:w="0" w:type="dxa"/>
            <w:vAlign w:val="bottom"/>
          </w:tcPr>
          <w:p>
            <w:pPr>
              <w:spacing w:after="0"/>
              <w:rPr>
                <w:sz w:val="1"/>
                <w:szCs w:val="1"/>
                <w:color w:val="auto"/>
              </w:rPr>
            </w:pPr>
          </w:p>
        </w:tc>
      </w:tr>
      <w:tr>
        <w:trPr>
          <w:trHeight w:val="229"/>
        </w:trPr>
        <w:tc>
          <w:tcPr>
            <w:tcW w:w="1280" w:type="dxa"/>
            <w:vAlign w:val="bottom"/>
            <w:tcBorders>
              <w:bottom w:val="single" w:sz="8" w:color="CCEEFF"/>
            </w:tcBorders>
          </w:tcPr>
          <w:p>
            <w:pPr>
              <w:spacing w:after="0"/>
              <w:rPr>
                <w:sz w:val="19"/>
                <w:szCs w:val="19"/>
                <w:color w:val="auto"/>
              </w:rPr>
            </w:pPr>
          </w:p>
        </w:tc>
        <w:tc>
          <w:tcPr>
            <w:tcW w:w="182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vMerge w:val="continue"/>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vMerge w:val="continue"/>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92"/>
              </w:rPr>
              <w:t>Capital</w:t>
            </w: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color w:val="auto"/>
                <w:w w:val="89"/>
              </w:rPr>
              <w:t>Loss</w:t>
            </w: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2"/>
              </w:rPr>
              <w:t>Earnings</w:t>
            </w: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Stock</w:t>
            </w: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95"/>
              </w:rPr>
              <w:t>Equity</w:t>
            </w:r>
          </w:p>
        </w:tc>
        <w:tc>
          <w:tcPr>
            <w:tcW w:w="0" w:type="dxa"/>
            <w:vAlign w:val="bottom"/>
          </w:tcPr>
          <w:p>
            <w:pPr>
              <w:spacing w:after="0"/>
              <w:rPr>
                <w:sz w:val="1"/>
                <w:szCs w:val="1"/>
                <w:color w:val="auto"/>
              </w:rPr>
            </w:pPr>
          </w:p>
        </w:tc>
      </w:tr>
      <w:tr>
        <w:trPr>
          <w:trHeight w:val="223"/>
        </w:trPr>
        <w:tc>
          <w:tcPr>
            <w:tcW w:w="31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Balances at January 2, 2021</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81,239</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795,697</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142,880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(28,496)</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906,502</w:t>
            </w:r>
          </w:p>
        </w:tc>
        <w:tc>
          <w:tcPr>
            <w:tcW w:w="0" w:type="dxa"/>
            <w:vAlign w:val="bottom"/>
          </w:tcPr>
          <w:p>
            <w:pPr>
              <w:spacing w:after="0"/>
              <w:rPr>
                <w:sz w:val="1"/>
                <w:szCs w:val="1"/>
                <w:color w:val="auto"/>
              </w:rPr>
            </w:pPr>
          </w:p>
        </w:tc>
      </w:tr>
      <w:tr>
        <w:trPr>
          <w:trHeight w:val="175"/>
        </w:trPr>
        <w:tc>
          <w:tcPr>
            <w:tcW w:w="3100" w:type="dxa"/>
            <w:vAlign w:val="bottom"/>
            <w:gridSpan w:val="2"/>
          </w:tcPr>
          <w:p>
            <w:pPr>
              <w:ind w:left="140"/>
              <w:spacing w:after="0" w:line="176" w:lineRule="exact"/>
              <w:rPr>
                <w:sz w:val="20"/>
                <w:szCs w:val="20"/>
                <w:color w:val="auto"/>
              </w:rPr>
            </w:pPr>
            <w:r>
              <w:rPr>
                <w:rFonts w:ascii="Arial" w:cs="Arial" w:eastAsia="Arial" w:hAnsi="Arial"/>
                <w:sz w:val="18"/>
                <w:szCs w:val="18"/>
                <w:color w:val="auto"/>
              </w:rPr>
              <w:t>Cumulative effect of change in</w:t>
            </w: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(71,385)</w:t>
            </w:r>
          </w:p>
        </w:tc>
        <w:tc>
          <w:tcPr>
            <w:tcW w:w="160" w:type="dxa"/>
            <w:vAlign w:val="bottom"/>
          </w:tcPr>
          <w:p>
            <w:pPr>
              <w:spacing w:after="0"/>
              <w:rPr>
                <w:sz w:val="15"/>
                <w:szCs w:val="15"/>
                <w:color w:val="auto"/>
              </w:rPr>
            </w:pPr>
          </w:p>
        </w:tc>
        <w:tc>
          <w:tcPr>
            <w:tcW w:w="14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7,271</w:t>
            </w:r>
          </w:p>
        </w:tc>
        <w:tc>
          <w:tcPr>
            <w:tcW w:w="18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5"/>
                <w:szCs w:val="15"/>
                <w:color w:val="auto"/>
              </w:rPr>
            </w:pPr>
          </w:p>
        </w:tc>
        <w:tc>
          <w:tcPr>
            <w:tcW w:w="1280" w:type="dxa"/>
            <w:vAlign w:val="bottom"/>
            <w:vMerge w:val="restart"/>
          </w:tcPr>
          <w:p>
            <w:pPr>
              <w:jc w:val="right"/>
              <w:spacing w:after="0"/>
              <w:rPr>
                <w:sz w:val="20"/>
                <w:szCs w:val="20"/>
                <w:color w:val="auto"/>
              </w:rPr>
            </w:pPr>
            <w:r>
              <w:rPr>
                <w:rFonts w:ascii="Arial" w:cs="Arial" w:eastAsia="Arial" w:hAnsi="Arial"/>
                <w:sz w:val="18"/>
                <w:szCs w:val="18"/>
                <w:color w:val="auto"/>
              </w:rPr>
              <w:t>(64,114)</w:t>
            </w:r>
          </w:p>
        </w:tc>
        <w:tc>
          <w:tcPr>
            <w:tcW w:w="0" w:type="dxa"/>
            <w:vAlign w:val="bottom"/>
          </w:tcPr>
          <w:p>
            <w:pPr>
              <w:spacing w:after="0"/>
              <w:rPr>
                <w:sz w:val="1"/>
                <w:szCs w:val="1"/>
                <w:color w:val="auto"/>
              </w:rPr>
            </w:pPr>
          </w:p>
        </w:tc>
      </w:tr>
      <w:tr>
        <w:trPr>
          <w:trHeight w:val="230"/>
        </w:trPr>
        <w:tc>
          <w:tcPr>
            <w:tcW w:w="310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accounting principle</w:t>
            </w:r>
          </w:p>
        </w:tc>
        <w:tc>
          <w:tcPr>
            <w:tcW w:w="940" w:type="dxa"/>
            <w:vAlign w:val="bottom"/>
            <w:tcBorders>
              <w:bottom w:val="single" w:sz="8" w:color="auto"/>
            </w:tcBorders>
            <w:vMerge w:val="continue"/>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vMerge w:val="continue"/>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vMerge w:val="continue"/>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vMerge w:val="continue"/>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vMerge w:val="continue"/>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vMerge w:val="continue"/>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1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1"/>
              </w:rPr>
              <w:t>Balances at January 3, 2021 - as adjusted</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81,239</w:t>
            </w: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821</w:t>
            </w: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724,312</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(4,400)</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150,151</w:t>
            </w: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(28,496)</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842,388</w:t>
            </w:r>
          </w:p>
        </w:tc>
        <w:tc>
          <w:tcPr>
            <w:tcW w:w="0" w:type="dxa"/>
            <w:vAlign w:val="bottom"/>
          </w:tcPr>
          <w:p>
            <w:pPr>
              <w:spacing w:after="0"/>
              <w:rPr>
                <w:sz w:val="1"/>
                <w:szCs w:val="1"/>
                <w:color w:val="auto"/>
              </w:rPr>
            </w:pPr>
          </w:p>
        </w:tc>
      </w:tr>
      <w:tr>
        <w:trPr>
          <w:trHeight w:val="230"/>
        </w:trPr>
        <w:tc>
          <w:tcPr>
            <w:tcW w:w="3100" w:type="dxa"/>
            <w:vAlign w:val="bottom"/>
            <w:gridSpan w:val="2"/>
          </w:tcPr>
          <w:p>
            <w:pPr>
              <w:ind w:left="140"/>
              <w:spacing w:after="0"/>
              <w:rPr>
                <w:sz w:val="20"/>
                <w:szCs w:val="20"/>
                <w:color w:val="auto"/>
              </w:rPr>
            </w:pPr>
            <w:r>
              <w:rPr>
                <w:rFonts w:ascii="Arial" w:cs="Arial" w:eastAsia="Arial" w:hAnsi="Arial"/>
                <w:sz w:val="18"/>
                <w:szCs w:val="18"/>
                <w:color w:val="auto"/>
              </w:rPr>
              <w:t>Issuance of common stock</w:t>
            </w:r>
          </w:p>
        </w:tc>
        <w:tc>
          <w:tcPr>
            <w:tcW w:w="940" w:type="dxa"/>
            <w:vAlign w:val="bottom"/>
          </w:tcPr>
          <w:p>
            <w:pPr>
              <w:jc w:val="right"/>
              <w:spacing w:after="0"/>
              <w:rPr>
                <w:sz w:val="20"/>
                <w:szCs w:val="20"/>
                <w:color w:val="auto"/>
              </w:rPr>
            </w:pPr>
            <w:r>
              <w:rPr>
                <w:rFonts w:ascii="Arial" w:cs="Arial" w:eastAsia="Arial" w:hAnsi="Arial"/>
                <w:sz w:val="18"/>
                <w:szCs w:val="18"/>
                <w:color w:val="auto"/>
              </w:rPr>
              <w:t>174</w:t>
            </w: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1,056</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1,058</w:t>
            </w:r>
          </w:p>
        </w:tc>
        <w:tc>
          <w:tcPr>
            <w:tcW w:w="0" w:type="dxa"/>
            <w:vAlign w:val="bottom"/>
          </w:tcPr>
          <w:p>
            <w:pPr>
              <w:spacing w:after="0"/>
              <w:rPr>
                <w:sz w:val="1"/>
                <w:szCs w:val="1"/>
                <w:color w:val="auto"/>
              </w:rPr>
            </w:pPr>
          </w:p>
        </w:tc>
      </w:tr>
      <w:tr>
        <w:trPr>
          <w:trHeight w:val="229"/>
        </w:trPr>
        <w:tc>
          <w:tcPr>
            <w:tcW w:w="31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Stock based compensation</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2,971</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2,971</w:t>
            </w:r>
          </w:p>
        </w:tc>
        <w:tc>
          <w:tcPr>
            <w:tcW w:w="0" w:type="dxa"/>
            <w:vAlign w:val="bottom"/>
          </w:tcPr>
          <w:p>
            <w:pPr>
              <w:spacing w:after="0"/>
              <w:rPr>
                <w:sz w:val="1"/>
                <w:szCs w:val="1"/>
                <w:color w:val="auto"/>
              </w:rPr>
            </w:pPr>
          </w:p>
        </w:tc>
      </w:tr>
      <w:tr>
        <w:trPr>
          <w:trHeight w:val="229"/>
        </w:trPr>
        <w:tc>
          <w:tcPr>
            <w:tcW w:w="3100" w:type="dxa"/>
            <w:vAlign w:val="bottom"/>
            <w:gridSpan w:val="2"/>
          </w:tcPr>
          <w:p>
            <w:pPr>
              <w:ind w:left="140"/>
              <w:spacing w:after="0"/>
              <w:rPr>
                <w:sz w:val="20"/>
                <w:szCs w:val="20"/>
                <w:color w:val="auto"/>
              </w:rPr>
            </w:pPr>
            <w:r>
              <w:rPr>
                <w:rFonts w:ascii="Arial" w:cs="Arial" w:eastAsia="Arial" w:hAnsi="Arial"/>
                <w:sz w:val="18"/>
                <w:szCs w:val="18"/>
                <w:color w:val="auto"/>
              </w:rPr>
              <w:t>Purchase of treasury stock</w:t>
            </w:r>
          </w:p>
        </w:tc>
        <w:tc>
          <w:tcPr>
            <w:tcW w:w="940" w:type="dxa"/>
            <w:vAlign w:val="bottom"/>
          </w:tcPr>
          <w:p>
            <w:pPr>
              <w:jc w:val="right"/>
              <w:spacing w:after="0"/>
              <w:rPr>
                <w:sz w:val="20"/>
                <w:szCs w:val="20"/>
                <w:color w:val="auto"/>
              </w:rPr>
            </w:pPr>
            <w:r>
              <w:rPr>
                <w:rFonts w:ascii="Arial" w:cs="Arial" w:eastAsia="Arial" w:hAnsi="Arial"/>
                <w:sz w:val="18"/>
                <w:szCs w:val="18"/>
                <w:color w:val="auto"/>
              </w:rPr>
              <w:t>(28)</w:t>
            </w: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(1,421)</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(1,421)</w:t>
            </w:r>
          </w:p>
        </w:tc>
        <w:tc>
          <w:tcPr>
            <w:tcW w:w="0" w:type="dxa"/>
            <w:vAlign w:val="bottom"/>
          </w:tcPr>
          <w:p>
            <w:pPr>
              <w:spacing w:after="0"/>
              <w:rPr>
                <w:sz w:val="1"/>
                <w:szCs w:val="1"/>
                <w:color w:val="auto"/>
              </w:rPr>
            </w:pPr>
          </w:p>
        </w:tc>
      </w:tr>
      <w:tr>
        <w:trPr>
          <w:trHeight w:val="176"/>
        </w:trPr>
        <w:tc>
          <w:tcPr>
            <w:tcW w:w="3100" w:type="dxa"/>
            <w:vAlign w:val="bottom"/>
            <w:gridSpan w:val="2"/>
            <w:shd w:val="clear" w:color="auto" w:fill="CCEEFF"/>
          </w:tcPr>
          <w:p>
            <w:pPr>
              <w:ind w:left="140"/>
              <w:spacing w:after="0" w:line="176" w:lineRule="exact"/>
              <w:rPr>
                <w:sz w:val="20"/>
                <w:szCs w:val="20"/>
                <w:color w:val="auto"/>
              </w:rPr>
            </w:pPr>
            <w:r>
              <w:rPr>
                <w:rFonts w:ascii="Arial" w:cs="Arial" w:eastAsia="Arial" w:hAnsi="Arial"/>
                <w:sz w:val="18"/>
                <w:szCs w:val="18"/>
                <w:color w:val="auto"/>
              </w:rPr>
              <w:t>Unrealized gain (loss) on hedge</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5"/>
                <w:szCs w:val="15"/>
                <w:color w:val="auto"/>
              </w:rPr>
            </w:pPr>
          </w:p>
        </w:tc>
        <w:tc>
          <w:tcPr>
            <w:tcW w:w="14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(896)</w:t>
            </w:r>
          </w:p>
        </w:tc>
        <w:tc>
          <w:tcPr>
            <w:tcW w:w="16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5"/>
                <w:szCs w:val="15"/>
                <w:color w:val="auto"/>
              </w:rPr>
            </w:pP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(896)</w:t>
            </w:r>
          </w:p>
        </w:tc>
        <w:tc>
          <w:tcPr>
            <w:tcW w:w="0" w:type="dxa"/>
            <w:vAlign w:val="bottom"/>
          </w:tcPr>
          <w:p>
            <w:pPr>
              <w:spacing w:after="0"/>
              <w:rPr>
                <w:sz w:val="1"/>
                <w:szCs w:val="1"/>
                <w:color w:val="auto"/>
              </w:rPr>
            </w:pPr>
          </w:p>
        </w:tc>
      </w:tr>
      <w:tr>
        <w:trPr>
          <w:trHeight w:val="229"/>
        </w:trPr>
        <w:tc>
          <w:tcPr>
            <w:tcW w:w="31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instruments, net of tax</w:t>
            </w:r>
          </w:p>
        </w:tc>
        <w:tc>
          <w:tcPr>
            <w:tcW w:w="940" w:type="dxa"/>
            <w:vAlign w:val="bottom"/>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0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Net income</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43,432</w:t>
            </w: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43,432</w:t>
            </w:r>
          </w:p>
        </w:tc>
        <w:tc>
          <w:tcPr>
            <w:tcW w:w="0" w:type="dxa"/>
            <w:vAlign w:val="bottom"/>
          </w:tcPr>
          <w:p>
            <w:pPr>
              <w:spacing w:after="0"/>
              <w:rPr>
                <w:sz w:val="1"/>
                <w:szCs w:val="1"/>
                <w:color w:val="auto"/>
              </w:rPr>
            </w:pPr>
          </w:p>
        </w:tc>
      </w:tr>
      <w:tr>
        <w:trPr>
          <w:trHeight w:val="223"/>
        </w:trPr>
        <w:tc>
          <w:tcPr>
            <w:tcW w:w="31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Balances at April 3, 2021</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81,385</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823</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728,339</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(5,296)</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193,583</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(29,917)</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887,532</w:t>
            </w:r>
          </w:p>
        </w:tc>
        <w:tc>
          <w:tcPr>
            <w:tcW w:w="0" w:type="dxa"/>
            <w:vAlign w:val="bottom"/>
          </w:tcPr>
          <w:p>
            <w:pPr>
              <w:spacing w:after="0"/>
              <w:rPr>
                <w:sz w:val="1"/>
                <w:szCs w:val="1"/>
                <w:color w:val="auto"/>
              </w:rPr>
            </w:pPr>
          </w:p>
        </w:tc>
      </w:tr>
      <w:tr>
        <w:trPr>
          <w:trHeight w:val="230"/>
        </w:trPr>
        <w:tc>
          <w:tcPr>
            <w:tcW w:w="3100" w:type="dxa"/>
            <w:vAlign w:val="bottom"/>
            <w:gridSpan w:val="2"/>
          </w:tcPr>
          <w:p>
            <w:pPr>
              <w:ind w:left="140"/>
              <w:spacing w:after="0"/>
              <w:rPr>
                <w:sz w:val="20"/>
                <w:szCs w:val="20"/>
                <w:color w:val="auto"/>
              </w:rPr>
            </w:pPr>
            <w:r>
              <w:rPr>
                <w:rFonts w:ascii="Arial" w:cs="Arial" w:eastAsia="Arial" w:hAnsi="Arial"/>
                <w:sz w:val="18"/>
                <w:szCs w:val="18"/>
                <w:color w:val="auto"/>
              </w:rPr>
              <w:t>Issuance of common stock</w:t>
            </w:r>
          </w:p>
        </w:tc>
        <w:tc>
          <w:tcPr>
            <w:tcW w:w="940" w:type="dxa"/>
            <w:vAlign w:val="bottom"/>
          </w:tcPr>
          <w:p>
            <w:pPr>
              <w:jc w:val="right"/>
              <w:spacing w:after="0"/>
              <w:rPr>
                <w:sz w:val="20"/>
                <w:szCs w:val="20"/>
                <w:color w:val="auto"/>
              </w:rPr>
            </w:pPr>
            <w:r>
              <w:rPr>
                <w:rFonts w:ascii="Arial" w:cs="Arial" w:eastAsia="Arial" w:hAnsi="Arial"/>
                <w:sz w:val="18"/>
                <w:szCs w:val="18"/>
                <w:color w:val="auto"/>
              </w:rPr>
              <w:t>471</w:t>
            </w: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w:t>
            </w: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3,863</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3,868</w:t>
            </w:r>
          </w:p>
        </w:tc>
        <w:tc>
          <w:tcPr>
            <w:tcW w:w="0" w:type="dxa"/>
            <w:vAlign w:val="bottom"/>
          </w:tcPr>
          <w:p>
            <w:pPr>
              <w:spacing w:after="0"/>
              <w:rPr>
                <w:sz w:val="1"/>
                <w:szCs w:val="1"/>
                <w:color w:val="auto"/>
              </w:rPr>
            </w:pPr>
          </w:p>
        </w:tc>
      </w:tr>
      <w:tr>
        <w:trPr>
          <w:trHeight w:val="229"/>
        </w:trPr>
        <w:tc>
          <w:tcPr>
            <w:tcW w:w="31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Stock based compensation</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7,178</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7,178</w:t>
            </w:r>
          </w:p>
        </w:tc>
        <w:tc>
          <w:tcPr>
            <w:tcW w:w="0" w:type="dxa"/>
            <w:vAlign w:val="bottom"/>
          </w:tcPr>
          <w:p>
            <w:pPr>
              <w:spacing w:after="0"/>
              <w:rPr>
                <w:sz w:val="1"/>
                <w:szCs w:val="1"/>
                <w:color w:val="auto"/>
              </w:rPr>
            </w:pPr>
          </w:p>
        </w:tc>
      </w:tr>
      <w:tr>
        <w:trPr>
          <w:trHeight w:val="229"/>
        </w:trPr>
        <w:tc>
          <w:tcPr>
            <w:tcW w:w="3100" w:type="dxa"/>
            <w:vAlign w:val="bottom"/>
            <w:gridSpan w:val="2"/>
          </w:tcPr>
          <w:p>
            <w:pPr>
              <w:ind w:left="140"/>
              <w:spacing w:after="0"/>
              <w:rPr>
                <w:sz w:val="20"/>
                <w:szCs w:val="20"/>
                <w:color w:val="auto"/>
              </w:rPr>
            </w:pPr>
            <w:r>
              <w:rPr>
                <w:rFonts w:ascii="Arial" w:cs="Arial" w:eastAsia="Arial" w:hAnsi="Arial"/>
                <w:sz w:val="18"/>
                <w:szCs w:val="18"/>
                <w:color w:val="auto"/>
              </w:rPr>
              <w:t>Purchase of treasury stock</w:t>
            </w:r>
          </w:p>
        </w:tc>
        <w:tc>
          <w:tcPr>
            <w:tcW w:w="940" w:type="dxa"/>
            <w:vAlign w:val="bottom"/>
          </w:tcPr>
          <w:p>
            <w:pPr>
              <w:jc w:val="right"/>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(45)</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176"/>
        </w:trPr>
        <w:tc>
          <w:tcPr>
            <w:tcW w:w="3100" w:type="dxa"/>
            <w:vAlign w:val="bottom"/>
            <w:gridSpan w:val="2"/>
            <w:shd w:val="clear" w:color="auto" w:fill="CCEEFF"/>
          </w:tcPr>
          <w:p>
            <w:pPr>
              <w:ind w:left="140"/>
              <w:spacing w:after="0" w:line="176" w:lineRule="exact"/>
              <w:rPr>
                <w:sz w:val="20"/>
                <w:szCs w:val="20"/>
                <w:color w:val="auto"/>
              </w:rPr>
            </w:pPr>
            <w:r>
              <w:rPr>
                <w:rFonts w:ascii="Arial" w:cs="Arial" w:eastAsia="Arial" w:hAnsi="Arial"/>
                <w:sz w:val="18"/>
                <w:szCs w:val="18"/>
                <w:color w:val="auto"/>
              </w:rPr>
              <w:t>Unrealized gain (loss) on hedge</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5"/>
                <w:szCs w:val="15"/>
                <w:color w:val="auto"/>
              </w:rPr>
            </w:pPr>
          </w:p>
        </w:tc>
        <w:tc>
          <w:tcPr>
            <w:tcW w:w="14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2,203</w:t>
            </w:r>
          </w:p>
        </w:tc>
        <w:tc>
          <w:tcPr>
            <w:tcW w:w="16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5"/>
                <w:szCs w:val="15"/>
                <w:color w:val="auto"/>
              </w:rPr>
            </w:pP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2,203</w:t>
            </w:r>
          </w:p>
        </w:tc>
        <w:tc>
          <w:tcPr>
            <w:tcW w:w="0" w:type="dxa"/>
            <w:vAlign w:val="bottom"/>
          </w:tcPr>
          <w:p>
            <w:pPr>
              <w:spacing w:after="0"/>
              <w:rPr>
                <w:sz w:val="1"/>
                <w:szCs w:val="1"/>
                <w:color w:val="auto"/>
              </w:rPr>
            </w:pPr>
          </w:p>
        </w:tc>
      </w:tr>
      <w:tr>
        <w:trPr>
          <w:trHeight w:val="229"/>
        </w:trPr>
        <w:tc>
          <w:tcPr>
            <w:tcW w:w="31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instruments, net of tax</w:t>
            </w:r>
          </w:p>
        </w:tc>
        <w:tc>
          <w:tcPr>
            <w:tcW w:w="940" w:type="dxa"/>
            <w:vAlign w:val="bottom"/>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0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Net income</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37,601</w:t>
            </w: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37,601</w:t>
            </w:r>
          </w:p>
        </w:tc>
        <w:tc>
          <w:tcPr>
            <w:tcW w:w="0" w:type="dxa"/>
            <w:vAlign w:val="bottom"/>
          </w:tcPr>
          <w:p>
            <w:pPr>
              <w:spacing w:after="0"/>
              <w:rPr>
                <w:sz w:val="1"/>
                <w:szCs w:val="1"/>
                <w:color w:val="auto"/>
              </w:rPr>
            </w:pPr>
          </w:p>
        </w:tc>
      </w:tr>
      <w:tr>
        <w:trPr>
          <w:trHeight w:val="248"/>
        </w:trPr>
        <w:tc>
          <w:tcPr>
            <w:tcW w:w="31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Balances at July 3, 2021</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81,855</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828</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739,380</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(3,093)</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231,184</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(29,962)</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938,337</w:t>
            </w:r>
          </w:p>
        </w:tc>
        <w:tc>
          <w:tcPr>
            <w:tcW w:w="0" w:type="dxa"/>
            <w:vAlign w:val="bottom"/>
          </w:tcPr>
          <w:p>
            <w:pPr>
              <w:spacing w:after="0"/>
              <w:rPr>
                <w:sz w:val="1"/>
                <w:szCs w:val="1"/>
                <w:color w:val="auto"/>
              </w:rPr>
            </w:pPr>
          </w:p>
        </w:tc>
      </w:tr>
      <w:tr>
        <w:trPr>
          <w:trHeight w:val="20"/>
        </w:trPr>
        <w:tc>
          <w:tcPr>
            <w:tcW w:w="1280" w:type="dxa"/>
            <w:vAlign w:val="bottom"/>
            <w:tcBorders>
              <w:top w:val="single" w:sz="8" w:color="CCEEFF"/>
            </w:tcBorders>
          </w:tcPr>
          <w:p>
            <w:pPr>
              <w:spacing w:after="0" w:line="20" w:lineRule="exact"/>
              <w:rPr>
                <w:sz w:val="1"/>
                <w:szCs w:val="1"/>
                <w:color w:val="auto"/>
              </w:rPr>
            </w:pPr>
          </w:p>
        </w:tc>
        <w:tc>
          <w:tcPr>
            <w:tcW w:w="18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0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bookmarkStart w:id="7" w:name="page8"/>
    <w:bookmarkEnd w:id="7"/>
    <w:tbl>
      <w:tblPr>
        <w:tblLayout w:type="fixed"/>
        <w:tblInd w:w="0" w:type="dxa"/>
        <w:tblCellMar>
          <w:top w:w="0" w:type="dxa"/>
          <w:left w:w="0" w:type="dxa"/>
          <w:bottom w:w="0" w:type="dxa"/>
          <w:right w:w="0" w:type="dxa"/>
        </w:tblCellMar>
      </w:tblPr>
      <w:tr>
        <w:trPr>
          <w:trHeight w:val="207"/>
        </w:trPr>
        <w:tc>
          <w:tcPr>
            <w:tcW w:w="3280" w:type="dxa"/>
            <w:vAlign w:val="bottom"/>
            <w:gridSpan w:val="2"/>
          </w:tcPr>
          <w:p>
            <w:pPr>
              <w:spacing w:after="0"/>
              <w:rPr>
                <w:rFonts w:ascii="Arial" w:cs="Arial" w:eastAsia="Arial" w:hAnsi="Arial"/>
                <w:sz w:val="18"/>
                <w:szCs w:val="18"/>
                <w:color w:val="0000FF"/>
              </w:rPr>
            </w:pPr>
            <w:hyperlink w:anchor="page1">
              <w:r>
                <w:rPr>
                  <w:rFonts w:ascii="Arial" w:cs="Arial" w:eastAsia="Arial" w:hAnsi="Arial"/>
                  <w:sz w:val="18"/>
                  <w:szCs w:val="18"/>
                  <w:color w:val="0000FF"/>
                </w:rPr>
                <w:t>Table of Contents</w:t>
              </w:r>
            </w:hyperlink>
          </w:p>
        </w:tc>
        <w:tc>
          <w:tcPr>
            <w:tcW w:w="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83"/>
        </w:trPr>
        <w:tc>
          <w:tcPr>
            <w:tcW w:w="1280" w:type="dxa"/>
            <w:vAlign w:val="bottom"/>
            <w:tcBorders>
              <w:top w:val="single" w:sz="8" w:color="0000FF"/>
            </w:tcBorders>
          </w:tcPr>
          <w:p>
            <w:pPr>
              <w:spacing w:after="0"/>
              <w:rPr>
                <w:sz w:val="24"/>
                <w:szCs w:val="24"/>
                <w:color w:val="auto"/>
              </w:rPr>
            </w:pPr>
          </w:p>
        </w:tc>
        <w:tc>
          <w:tcPr>
            <w:tcW w:w="2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560" w:type="dxa"/>
            <w:vAlign w:val="bottom"/>
            <w:gridSpan w:val="8"/>
          </w:tcPr>
          <w:p>
            <w:pPr>
              <w:jc w:val="center"/>
              <w:spacing w:after="0"/>
              <w:rPr>
                <w:sz w:val="20"/>
                <w:szCs w:val="20"/>
                <w:color w:val="auto"/>
              </w:rPr>
            </w:pPr>
            <w:r>
              <w:rPr>
                <w:rFonts w:ascii="Arial" w:cs="Arial" w:eastAsia="Arial" w:hAnsi="Arial"/>
                <w:sz w:val="18"/>
                <w:szCs w:val="18"/>
                <w:b w:val="1"/>
                <w:bCs w:val="1"/>
                <w:color w:val="auto"/>
                <w:w w:val="90"/>
              </w:rPr>
              <w:t>National Vision Holdings, Inc. and Subsidiaries</w:t>
            </w: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4740" w:type="dxa"/>
            <w:vAlign w:val="bottom"/>
            <w:gridSpan w:val="10"/>
          </w:tcPr>
          <w:p>
            <w:pPr>
              <w:jc w:val="center"/>
              <w:spacing w:after="0"/>
              <w:rPr>
                <w:sz w:val="20"/>
                <w:szCs w:val="20"/>
                <w:color w:val="auto"/>
              </w:rPr>
            </w:pPr>
            <w:r>
              <w:rPr>
                <w:rFonts w:ascii="Arial" w:cs="Arial" w:eastAsia="Arial" w:hAnsi="Arial"/>
                <w:sz w:val="18"/>
                <w:szCs w:val="18"/>
                <w:b w:val="1"/>
                <w:bCs w:val="1"/>
                <w:color w:val="auto"/>
                <w:w w:val="88"/>
              </w:rPr>
              <w:t>Condensed Consolidated Statements of Stockholders’ Equity</w:t>
            </w: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128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560" w:type="dxa"/>
            <w:vAlign w:val="bottom"/>
            <w:gridSpan w:val="8"/>
          </w:tcPr>
          <w:p>
            <w:pPr>
              <w:jc w:val="center"/>
              <w:spacing w:after="0"/>
              <w:rPr>
                <w:sz w:val="20"/>
                <w:szCs w:val="20"/>
                <w:color w:val="auto"/>
              </w:rPr>
            </w:pPr>
            <w:r>
              <w:rPr>
                <w:rFonts w:ascii="Arial" w:cs="Arial" w:eastAsia="Arial" w:hAnsi="Arial"/>
                <w:sz w:val="18"/>
                <w:szCs w:val="18"/>
                <w:b w:val="1"/>
                <w:bCs w:val="1"/>
                <w:color w:val="auto"/>
                <w:w w:val="90"/>
              </w:rPr>
              <w:t>For the Three and Six Months Ended June 27, 2020</w:t>
            </w: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128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180" w:type="dxa"/>
            <w:vAlign w:val="bottom"/>
            <w:gridSpan w:val="3"/>
          </w:tcPr>
          <w:p>
            <w:pPr>
              <w:jc w:val="center"/>
              <w:ind w:right="110"/>
              <w:spacing w:after="0"/>
              <w:rPr>
                <w:sz w:val="20"/>
                <w:szCs w:val="20"/>
                <w:color w:val="auto"/>
              </w:rPr>
            </w:pPr>
            <w:r>
              <w:rPr>
                <w:rFonts w:ascii="Arial" w:cs="Arial" w:eastAsia="Arial" w:hAnsi="Arial"/>
                <w:sz w:val="18"/>
                <w:szCs w:val="18"/>
                <w:i w:val="1"/>
                <w:iCs w:val="1"/>
                <w:color w:val="auto"/>
                <w:w w:val="89"/>
              </w:rPr>
              <w:t>In Thousands</w:t>
            </w: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28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180" w:type="dxa"/>
            <w:vAlign w:val="bottom"/>
            <w:gridSpan w:val="3"/>
          </w:tcPr>
          <w:p>
            <w:pPr>
              <w:jc w:val="center"/>
              <w:ind w:right="130"/>
              <w:spacing w:after="0"/>
              <w:rPr>
                <w:sz w:val="20"/>
                <w:szCs w:val="20"/>
                <w:color w:val="auto"/>
              </w:rPr>
            </w:pPr>
            <w:r>
              <w:rPr>
                <w:rFonts w:ascii="Arial" w:cs="Arial" w:eastAsia="Arial" w:hAnsi="Arial"/>
                <w:sz w:val="18"/>
                <w:szCs w:val="18"/>
                <w:b w:val="1"/>
                <w:bCs w:val="1"/>
                <w:color w:val="auto"/>
                <w:w w:val="91"/>
              </w:rPr>
              <w:t>(Unaudited)</w:t>
            </w:r>
          </w:p>
        </w:tc>
        <w:tc>
          <w:tcPr>
            <w:tcW w:w="1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8"/>
        </w:trPr>
        <w:tc>
          <w:tcPr>
            <w:tcW w:w="12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520" w:type="dxa"/>
            <w:vAlign w:val="bottom"/>
            <w:tcBorders>
              <w:bottom w:val="single" w:sz="8" w:color="auto"/>
            </w:tcBorders>
            <w:gridSpan w:val="5"/>
          </w:tcPr>
          <w:p>
            <w:pPr>
              <w:jc w:val="right"/>
              <w:spacing w:after="0"/>
              <w:rPr>
                <w:sz w:val="20"/>
                <w:szCs w:val="20"/>
                <w:color w:val="auto"/>
              </w:rPr>
            </w:pPr>
            <w:r>
              <w:rPr>
                <w:rFonts w:ascii="Arial" w:cs="Arial" w:eastAsia="Arial" w:hAnsi="Arial"/>
                <w:sz w:val="18"/>
                <w:szCs w:val="18"/>
                <w:color w:val="auto"/>
                <w:w w:val="99"/>
              </w:rPr>
              <w:t>Three and Six Months Ended June 27, 2020</w:t>
            </w:r>
          </w:p>
        </w:tc>
        <w:tc>
          <w:tcPr>
            <w:tcW w:w="1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128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20" w:type="dxa"/>
            <w:vAlign w:val="bottom"/>
            <w:gridSpan w:val="3"/>
          </w:tcPr>
          <w:p>
            <w:pPr>
              <w:jc w:val="right"/>
              <w:ind w:right="230"/>
              <w:spacing w:after="0"/>
              <w:rPr>
                <w:sz w:val="20"/>
                <w:szCs w:val="20"/>
                <w:color w:val="auto"/>
              </w:rPr>
            </w:pPr>
            <w:r>
              <w:rPr>
                <w:rFonts w:ascii="Arial" w:cs="Arial" w:eastAsia="Arial" w:hAnsi="Arial"/>
                <w:sz w:val="18"/>
                <w:szCs w:val="18"/>
                <w:color w:val="auto"/>
              </w:rPr>
              <w:t>Common Stock</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center"/>
              <w:ind w:right="30"/>
              <w:spacing w:after="0"/>
              <w:rPr>
                <w:sz w:val="20"/>
                <w:szCs w:val="20"/>
                <w:color w:val="auto"/>
              </w:rPr>
            </w:pPr>
            <w:r>
              <w:rPr>
                <w:rFonts w:ascii="Arial" w:cs="Arial" w:eastAsia="Arial" w:hAnsi="Arial"/>
                <w:sz w:val="18"/>
                <w:szCs w:val="18"/>
                <w:color w:val="auto"/>
                <w:w w:val="92"/>
              </w:rPr>
              <w:t>Accumulated</w:t>
            </w: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
        </w:trPr>
        <w:tc>
          <w:tcPr>
            <w:tcW w:w="1280" w:type="dxa"/>
            <w:vAlign w:val="bottom"/>
          </w:tcPr>
          <w:p>
            <w:pPr>
              <w:spacing w:after="0"/>
              <w:rPr>
                <w:sz w:val="3"/>
                <w:szCs w:val="3"/>
                <w:color w:val="auto"/>
              </w:rPr>
            </w:pPr>
          </w:p>
        </w:tc>
        <w:tc>
          <w:tcPr>
            <w:tcW w:w="2000" w:type="dxa"/>
            <w:vAlign w:val="bottom"/>
          </w:tcPr>
          <w:p>
            <w:pPr>
              <w:spacing w:after="0"/>
              <w:rPr>
                <w:sz w:val="3"/>
                <w:szCs w:val="3"/>
                <w:color w:val="auto"/>
              </w:rPr>
            </w:pPr>
          </w:p>
        </w:tc>
        <w:tc>
          <w:tcPr>
            <w:tcW w:w="40" w:type="dxa"/>
            <w:vAlign w:val="bottom"/>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980" w:type="dxa"/>
            <w:vAlign w:val="bottom"/>
            <w:vMerge w:val="restart"/>
          </w:tcPr>
          <w:p>
            <w:pPr>
              <w:jc w:val="center"/>
              <w:ind w:right="70"/>
              <w:spacing w:after="0" w:line="176" w:lineRule="exact"/>
              <w:rPr>
                <w:sz w:val="20"/>
                <w:szCs w:val="20"/>
                <w:color w:val="auto"/>
              </w:rPr>
            </w:pPr>
            <w:r>
              <w:rPr>
                <w:rFonts w:ascii="Arial" w:cs="Arial" w:eastAsia="Arial" w:hAnsi="Arial"/>
                <w:sz w:val="18"/>
                <w:szCs w:val="18"/>
                <w:color w:val="auto"/>
                <w:w w:val="98"/>
              </w:rPr>
              <w:t>Additional</w:t>
            </w:r>
          </w:p>
        </w:tc>
        <w:tc>
          <w:tcPr>
            <w:tcW w:w="160" w:type="dxa"/>
            <w:vAlign w:val="bottom"/>
          </w:tcPr>
          <w:p>
            <w:pPr>
              <w:spacing w:after="0"/>
              <w:rPr>
                <w:sz w:val="3"/>
                <w:szCs w:val="3"/>
                <w:color w:val="auto"/>
              </w:rPr>
            </w:pPr>
          </w:p>
        </w:tc>
        <w:tc>
          <w:tcPr>
            <w:tcW w:w="1400" w:type="dxa"/>
            <w:vAlign w:val="bottom"/>
            <w:vMerge w:val="restart"/>
          </w:tcPr>
          <w:p>
            <w:pPr>
              <w:jc w:val="center"/>
              <w:ind w:right="30"/>
              <w:spacing w:after="0" w:line="176" w:lineRule="exact"/>
              <w:rPr>
                <w:sz w:val="20"/>
                <w:szCs w:val="20"/>
                <w:color w:val="auto"/>
              </w:rPr>
            </w:pPr>
            <w:r>
              <w:rPr>
                <w:rFonts w:ascii="Arial" w:cs="Arial" w:eastAsia="Arial" w:hAnsi="Arial"/>
                <w:sz w:val="18"/>
                <w:szCs w:val="18"/>
                <w:color w:val="auto"/>
                <w:w w:val="88"/>
              </w:rPr>
              <w:t>Other</w:t>
            </w:r>
          </w:p>
        </w:tc>
        <w:tc>
          <w:tcPr>
            <w:tcW w:w="140" w:type="dxa"/>
            <w:vAlign w:val="bottom"/>
          </w:tcPr>
          <w:p>
            <w:pPr>
              <w:spacing w:after="0"/>
              <w:rPr>
                <w:sz w:val="3"/>
                <w:szCs w:val="3"/>
                <w:color w:val="auto"/>
              </w:rPr>
            </w:pPr>
          </w:p>
        </w:tc>
        <w:tc>
          <w:tcPr>
            <w:tcW w:w="840" w:type="dxa"/>
            <w:vAlign w:val="bottom"/>
            <w:vMerge w:val="restart"/>
          </w:tcPr>
          <w:p>
            <w:pPr>
              <w:jc w:val="right"/>
              <w:ind w:right="70"/>
              <w:spacing w:after="0"/>
              <w:rPr>
                <w:sz w:val="20"/>
                <w:szCs w:val="20"/>
                <w:color w:val="auto"/>
              </w:rPr>
            </w:pPr>
            <w:r>
              <w:rPr>
                <w:rFonts w:ascii="Arial" w:cs="Arial" w:eastAsia="Arial" w:hAnsi="Arial"/>
                <w:sz w:val="18"/>
                <w:szCs w:val="18"/>
                <w:color w:val="auto"/>
                <w:w w:val="91"/>
              </w:rPr>
              <w:t>Retained</w:t>
            </w:r>
          </w:p>
        </w:tc>
        <w:tc>
          <w:tcPr>
            <w:tcW w:w="120" w:type="dxa"/>
            <w:vAlign w:val="bottom"/>
          </w:tcPr>
          <w:p>
            <w:pPr>
              <w:spacing w:after="0"/>
              <w:rPr>
                <w:sz w:val="3"/>
                <w:szCs w:val="3"/>
                <w:color w:val="auto"/>
              </w:rPr>
            </w:pPr>
          </w:p>
        </w:tc>
        <w:tc>
          <w:tcPr>
            <w:tcW w:w="820" w:type="dxa"/>
            <w:vAlign w:val="bottom"/>
            <w:vMerge w:val="restart"/>
          </w:tcPr>
          <w:p>
            <w:pPr>
              <w:jc w:val="right"/>
              <w:ind w:right="70"/>
              <w:spacing w:after="0"/>
              <w:rPr>
                <w:sz w:val="20"/>
                <w:szCs w:val="20"/>
                <w:color w:val="auto"/>
              </w:rPr>
            </w:pPr>
            <w:r>
              <w:rPr>
                <w:rFonts w:ascii="Arial" w:cs="Arial" w:eastAsia="Arial" w:hAnsi="Arial"/>
                <w:sz w:val="18"/>
                <w:szCs w:val="18"/>
                <w:color w:val="auto"/>
                <w:w w:val="90"/>
              </w:rPr>
              <w:t>Treasury</w:t>
            </w:r>
          </w:p>
        </w:tc>
        <w:tc>
          <w:tcPr>
            <w:tcW w:w="160" w:type="dxa"/>
            <w:vAlign w:val="bottom"/>
          </w:tcPr>
          <w:p>
            <w:pPr>
              <w:spacing w:after="0"/>
              <w:rPr>
                <w:sz w:val="3"/>
                <w:szCs w:val="3"/>
                <w:color w:val="auto"/>
              </w:rPr>
            </w:pPr>
          </w:p>
        </w:tc>
        <w:tc>
          <w:tcPr>
            <w:tcW w:w="1280" w:type="dxa"/>
            <w:vAlign w:val="bottom"/>
            <w:vMerge w:val="restart"/>
          </w:tcPr>
          <w:p>
            <w:pPr>
              <w:jc w:val="center"/>
              <w:ind w:right="110"/>
              <w:spacing w:after="0" w:line="176" w:lineRule="exact"/>
              <w:rPr>
                <w:sz w:val="20"/>
                <w:szCs w:val="20"/>
                <w:color w:val="auto"/>
              </w:rPr>
            </w:pPr>
            <w:r>
              <w:rPr>
                <w:rFonts w:ascii="Arial" w:cs="Arial" w:eastAsia="Arial" w:hAnsi="Arial"/>
                <w:sz w:val="18"/>
                <w:szCs w:val="18"/>
                <w:color w:val="auto"/>
                <w:w w:val="89"/>
              </w:rPr>
              <w:t>Total</w:t>
            </w:r>
          </w:p>
        </w:tc>
        <w:tc>
          <w:tcPr>
            <w:tcW w:w="0" w:type="dxa"/>
            <w:vAlign w:val="bottom"/>
          </w:tcPr>
          <w:p>
            <w:pPr>
              <w:spacing w:after="0"/>
              <w:rPr>
                <w:sz w:val="1"/>
                <w:szCs w:val="1"/>
                <w:color w:val="auto"/>
              </w:rPr>
            </w:pPr>
          </w:p>
        </w:tc>
      </w:tr>
      <w:tr>
        <w:trPr>
          <w:trHeight w:val="115"/>
        </w:trPr>
        <w:tc>
          <w:tcPr>
            <w:tcW w:w="1280" w:type="dxa"/>
            <w:vAlign w:val="bottom"/>
          </w:tcPr>
          <w:p>
            <w:pPr>
              <w:spacing w:after="0"/>
              <w:rPr>
                <w:sz w:val="10"/>
                <w:szCs w:val="10"/>
                <w:color w:val="auto"/>
              </w:rPr>
            </w:pPr>
          </w:p>
        </w:tc>
        <w:tc>
          <w:tcPr>
            <w:tcW w:w="20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140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128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40" w:type="dxa"/>
            <w:vAlign w:val="bottom"/>
            <w:vMerge w:val="restart"/>
          </w:tcPr>
          <w:p>
            <w:pPr>
              <w:jc w:val="right"/>
              <w:ind w:right="150"/>
              <w:spacing w:after="0"/>
              <w:rPr>
                <w:sz w:val="20"/>
                <w:szCs w:val="20"/>
                <w:color w:val="auto"/>
              </w:rPr>
            </w:pPr>
            <w:r>
              <w:rPr>
                <w:rFonts w:ascii="Arial" w:cs="Arial" w:eastAsia="Arial" w:hAnsi="Arial"/>
                <w:sz w:val="18"/>
                <w:szCs w:val="18"/>
                <w:color w:val="auto"/>
              </w:rPr>
              <w:t>Shares</w:t>
            </w:r>
          </w:p>
        </w:tc>
        <w:tc>
          <w:tcPr>
            <w:tcW w:w="140" w:type="dxa"/>
            <w:vAlign w:val="bottom"/>
          </w:tcPr>
          <w:p>
            <w:pPr>
              <w:spacing w:after="0"/>
              <w:rPr>
                <w:sz w:val="15"/>
                <w:szCs w:val="15"/>
                <w:color w:val="auto"/>
              </w:rPr>
            </w:pPr>
          </w:p>
        </w:tc>
        <w:tc>
          <w:tcPr>
            <w:tcW w:w="740" w:type="dxa"/>
            <w:vAlign w:val="bottom"/>
            <w:vMerge w:val="restart"/>
          </w:tcPr>
          <w:p>
            <w:pPr>
              <w:jc w:val="right"/>
              <w:ind w:right="30"/>
              <w:spacing w:after="0"/>
              <w:rPr>
                <w:sz w:val="20"/>
                <w:szCs w:val="20"/>
                <w:color w:val="auto"/>
              </w:rPr>
            </w:pPr>
            <w:r>
              <w:rPr>
                <w:rFonts w:ascii="Arial" w:cs="Arial" w:eastAsia="Arial" w:hAnsi="Arial"/>
                <w:sz w:val="18"/>
                <w:szCs w:val="18"/>
                <w:color w:val="auto"/>
                <w:w w:val="96"/>
              </w:rPr>
              <w:t>Amount</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jc w:val="center"/>
              <w:ind w:right="70"/>
              <w:spacing w:after="0" w:line="176" w:lineRule="exact"/>
              <w:rPr>
                <w:sz w:val="20"/>
                <w:szCs w:val="20"/>
                <w:color w:val="auto"/>
              </w:rPr>
            </w:pPr>
            <w:r>
              <w:rPr>
                <w:rFonts w:ascii="Arial" w:cs="Arial" w:eastAsia="Arial" w:hAnsi="Arial"/>
                <w:sz w:val="18"/>
                <w:szCs w:val="18"/>
                <w:color w:val="auto"/>
                <w:w w:val="94"/>
              </w:rPr>
              <w:t>Paid-In</w:t>
            </w:r>
          </w:p>
        </w:tc>
        <w:tc>
          <w:tcPr>
            <w:tcW w:w="160" w:type="dxa"/>
            <w:vAlign w:val="bottom"/>
          </w:tcPr>
          <w:p>
            <w:pPr>
              <w:spacing w:after="0"/>
              <w:rPr>
                <w:sz w:val="15"/>
                <w:szCs w:val="15"/>
                <w:color w:val="auto"/>
              </w:rPr>
            </w:pPr>
          </w:p>
        </w:tc>
        <w:tc>
          <w:tcPr>
            <w:tcW w:w="1400" w:type="dxa"/>
            <w:vAlign w:val="bottom"/>
          </w:tcPr>
          <w:p>
            <w:pPr>
              <w:jc w:val="center"/>
              <w:ind w:right="90"/>
              <w:spacing w:after="0" w:line="176" w:lineRule="exact"/>
              <w:rPr>
                <w:sz w:val="20"/>
                <w:szCs w:val="20"/>
                <w:color w:val="auto"/>
              </w:rPr>
            </w:pPr>
            <w:r>
              <w:rPr>
                <w:rFonts w:ascii="Arial" w:cs="Arial" w:eastAsia="Arial" w:hAnsi="Arial"/>
                <w:sz w:val="18"/>
                <w:szCs w:val="18"/>
                <w:color w:val="auto"/>
                <w:w w:val="90"/>
              </w:rPr>
              <w:t>Comprehensive</w:t>
            </w:r>
          </w:p>
        </w:tc>
        <w:tc>
          <w:tcPr>
            <w:tcW w:w="14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tcPr>
          <w:p>
            <w:pPr>
              <w:jc w:val="center"/>
              <w:ind w:right="110"/>
              <w:spacing w:after="0" w:line="176" w:lineRule="exact"/>
              <w:rPr>
                <w:sz w:val="20"/>
                <w:szCs w:val="20"/>
                <w:color w:val="auto"/>
              </w:rPr>
            </w:pPr>
            <w:r>
              <w:rPr>
                <w:rFonts w:ascii="Arial" w:cs="Arial" w:eastAsia="Arial" w:hAnsi="Arial"/>
                <w:sz w:val="18"/>
                <w:szCs w:val="18"/>
                <w:color w:val="auto"/>
                <w:w w:val="89"/>
              </w:rPr>
              <w:t>Stockholders'</w:t>
            </w:r>
          </w:p>
        </w:tc>
        <w:tc>
          <w:tcPr>
            <w:tcW w:w="0" w:type="dxa"/>
            <w:vAlign w:val="bottom"/>
          </w:tcPr>
          <w:p>
            <w:pPr>
              <w:spacing w:after="0"/>
              <w:rPr>
                <w:sz w:val="1"/>
                <w:szCs w:val="1"/>
                <w:color w:val="auto"/>
              </w:rPr>
            </w:pPr>
          </w:p>
        </w:tc>
      </w:tr>
      <w:tr>
        <w:trPr>
          <w:trHeight w:val="230"/>
        </w:trPr>
        <w:tc>
          <w:tcPr>
            <w:tcW w:w="1280" w:type="dxa"/>
            <w:vAlign w:val="bottom"/>
            <w:tcBorders>
              <w:bottom w:val="single" w:sz="8" w:color="CCEEFF"/>
            </w:tcBorders>
          </w:tcPr>
          <w:p>
            <w:pPr>
              <w:spacing w:after="0"/>
              <w:rPr>
                <w:sz w:val="19"/>
                <w:szCs w:val="19"/>
                <w:color w:val="auto"/>
              </w:rPr>
            </w:pPr>
          </w:p>
        </w:tc>
        <w:tc>
          <w:tcPr>
            <w:tcW w:w="200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vMerge w:val="continue"/>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vMerge w:val="continue"/>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w w:val="92"/>
              </w:rPr>
              <w:t>Capital</w:t>
            </w: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89"/>
              </w:rPr>
              <w:t>Loss</w:t>
            </w: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2"/>
              </w:rPr>
              <w:t>Earnings</w:t>
            </w:r>
          </w:p>
        </w:tc>
        <w:tc>
          <w:tcPr>
            <w:tcW w:w="1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Stock</w:t>
            </w: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95"/>
              </w:rPr>
              <w:t>Equity</w:t>
            </w:r>
          </w:p>
        </w:tc>
        <w:tc>
          <w:tcPr>
            <w:tcW w:w="0" w:type="dxa"/>
            <w:vAlign w:val="bottom"/>
          </w:tcPr>
          <w:p>
            <w:pPr>
              <w:spacing w:after="0"/>
              <w:rPr>
                <w:sz w:val="1"/>
                <w:szCs w:val="1"/>
                <w:color w:val="auto"/>
              </w:rPr>
            </w:pPr>
          </w:p>
        </w:tc>
      </w:tr>
      <w:tr>
        <w:trPr>
          <w:trHeight w:val="223"/>
        </w:trPr>
        <w:tc>
          <w:tcPr>
            <w:tcW w:w="32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Balances at December 28, 2019</w:t>
            </w:r>
          </w:p>
        </w:tc>
        <w:tc>
          <w:tcPr>
            <w:tcW w:w="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79,678</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805</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700,121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(3,814)</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107,132</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(27,807)</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776,437</w:t>
            </w:r>
          </w:p>
        </w:tc>
        <w:tc>
          <w:tcPr>
            <w:tcW w:w="0" w:type="dxa"/>
            <w:vAlign w:val="bottom"/>
          </w:tcPr>
          <w:p>
            <w:pPr>
              <w:spacing w:after="0"/>
              <w:rPr>
                <w:sz w:val="1"/>
                <w:szCs w:val="1"/>
                <w:color w:val="auto"/>
              </w:rPr>
            </w:pPr>
          </w:p>
        </w:tc>
      </w:tr>
      <w:tr>
        <w:trPr>
          <w:trHeight w:val="176"/>
        </w:trPr>
        <w:tc>
          <w:tcPr>
            <w:tcW w:w="3280" w:type="dxa"/>
            <w:vAlign w:val="bottom"/>
            <w:gridSpan w:val="2"/>
          </w:tcPr>
          <w:p>
            <w:pPr>
              <w:ind w:left="140"/>
              <w:spacing w:after="0" w:line="176" w:lineRule="exact"/>
              <w:rPr>
                <w:sz w:val="20"/>
                <w:szCs w:val="20"/>
                <w:color w:val="auto"/>
              </w:rPr>
            </w:pPr>
            <w:r>
              <w:rPr>
                <w:rFonts w:ascii="Arial" w:cs="Arial" w:eastAsia="Arial" w:hAnsi="Arial"/>
                <w:sz w:val="18"/>
                <w:szCs w:val="18"/>
                <w:color w:val="auto"/>
                <w:w w:val="93"/>
              </w:rPr>
              <w:t>Cumulative effect of change in accounting</w:t>
            </w:r>
          </w:p>
        </w:tc>
        <w:tc>
          <w:tcPr>
            <w:tcW w:w="40" w:type="dxa"/>
            <w:vAlign w:val="bottom"/>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5"/>
                <w:szCs w:val="15"/>
                <w:color w:val="auto"/>
              </w:rPr>
            </w:pPr>
          </w:p>
        </w:tc>
        <w:tc>
          <w:tcPr>
            <w:tcW w:w="14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(529)</w:t>
            </w:r>
          </w:p>
        </w:tc>
        <w:tc>
          <w:tcPr>
            <w:tcW w:w="120" w:type="dxa"/>
            <w:vAlign w:val="bottom"/>
          </w:tcPr>
          <w:p>
            <w:pPr>
              <w:spacing w:after="0"/>
              <w:rPr>
                <w:sz w:val="15"/>
                <w:szCs w:val="15"/>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5"/>
                <w:szCs w:val="15"/>
                <w:color w:val="auto"/>
              </w:rPr>
            </w:pPr>
          </w:p>
        </w:tc>
        <w:tc>
          <w:tcPr>
            <w:tcW w:w="1280" w:type="dxa"/>
            <w:vAlign w:val="bottom"/>
            <w:vMerge w:val="restart"/>
          </w:tcPr>
          <w:p>
            <w:pPr>
              <w:jc w:val="right"/>
              <w:spacing w:after="0"/>
              <w:rPr>
                <w:sz w:val="20"/>
                <w:szCs w:val="20"/>
                <w:color w:val="auto"/>
              </w:rPr>
            </w:pPr>
            <w:r>
              <w:rPr>
                <w:rFonts w:ascii="Arial" w:cs="Arial" w:eastAsia="Arial" w:hAnsi="Arial"/>
                <w:sz w:val="18"/>
                <w:szCs w:val="18"/>
                <w:color w:val="auto"/>
              </w:rPr>
              <w:t>(529)</w:t>
            </w:r>
          </w:p>
        </w:tc>
        <w:tc>
          <w:tcPr>
            <w:tcW w:w="0" w:type="dxa"/>
            <w:vAlign w:val="bottom"/>
          </w:tcPr>
          <w:p>
            <w:pPr>
              <w:spacing w:after="0"/>
              <w:rPr>
                <w:sz w:val="1"/>
                <w:szCs w:val="1"/>
                <w:color w:val="auto"/>
              </w:rPr>
            </w:pPr>
          </w:p>
        </w:tc>
      </w:tr>
      <w:tr>
        <w:trPr>
          <w:trHeight w:val="229"/>
        </w:trPr>
        <w:tc>
          <w:tcPr>
            <w:tcW w:w="328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principle</w:t>
            </w:r>
          </w:p>
        </w:tc>
        <w:tc>
          <w:tcPr>
            <w:tcW w:w="4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vMerge w:val="continue"/>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vMerge w:val="continue"/>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vMerge w:val="continue"/>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vMerge w:val="continue"/>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vMerge w:val="continue"/>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2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88"/>
              </w:rPr>
              <w:t>Balances at December 29, 2019 - as adjusted</w:t>
            </w:r>
          </w:p>
        </w:tc>
        <w:tc>
          <w:tcPr>
            <w:tcW w:w="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79,678</w:t>
            </w: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805</w:t>
            </w: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700,121</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(3,814)</w:t>
            </w: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106,603</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(27,807)</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775,908</w:t>
            </w:r>
          </w:p>
        </w:tc>
        <w:tc>
          <w:tcPr>
            <w:tcW w:w="0" w:type="dxa"/>
            <w:vAlign w:val="bottom"/>
          </w:tcPr>
          <w:p>
            <w:pPr>
              <w:spacing w:after="0"/>
              <w:rPr>
                <w:sz w:val="1"/>
                <w:szCs w:val="1"/>
                <w:color w:val="auto"/>
              </w:rPr>
            </w:pPr>
          </w:p>
        </w:tc>
      </w:tr>
      <w:tr>
        <w:trPr>
          <w:trHeight w:val="229"/>
        </w:trPr>
        <w:tc>
          <w:tcPr>
            <w:tcW w:w="3280" w:type="dxa"/>
            <w:vAlign w:val="bottom"/>
            <w:gridSpan w:val="2"/>
          </w:tcPr>
          <w:p>
            <w:pPr>
              <w:ind w:left="140"/>
              <w:spacing w:after="0"/>
              <w:rPr>
                <w:sz w:val="20"/>
                <w:szCs w:val="20"/>
                <w:color w:val="auto"/>
              </w:rPr>
            </w:pPr>
            <w:r>
              <w:rPr>
                <w:rFonts w:ascii="Arial" w:cs="Arial" w:eastAsia="Arial" w:hAnsi="Arial"/>
                <w:sz w:val="18"/>
                <w:szCs w:val="18"/>
                <w:color w:val="auto"/>
              </w:rPr>
              <w:t>Issuance of common stock</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602</w:t>
            </w: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5,114</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5,120</w:t>
            </w:r>
          </w:p>
        </w:tc>
        <w:tc>
          <w:tcPr>
            <w:tcW w:w="0" w:type="dxa"/>
            <w:vAlign w:val="bottom"/>
          </w:tcPr>
          <w:p>
            <w:pPr>
              <w:spacing w:after="0"/>
              <w:rPr>
                <w:sz w:val="1"/>
                <w:szCs w:val="1"/>
                <w:color w:val="auto"/>
              </w:rPr>
            </w:pPr>
          </w:p>
        </w:tc>
      </w:tr>
      <w:tr>
        <w:trPr>
          <w:trHeight w:val="230"/>
        </w:trPr>
        <w:tc>
          <w:tcPr>
            <w:tcW w:w="32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Stock based compensation</w:t>
            </w:r>
          </w:p>
        </w:tc>
        <w:tc>
          <w:tcPr>
            <w:tcW w:w="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2,066</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2,066</w:t>
            </w:r>
          </w:p>
        </w:tc>
        <w:tc>
          <w:tcPr>
            <w:tcW w:w="0" w:type="dxa"/>
            <w:vAlign w:val="bottom"/>
          </w:tcPr>
          <w:p>
            <w:pPr>
              <w:spacing w:after="0"/>
              <w:rPr>
                <w:sz w:val="1"/>
                <w:szCs w:val="1"/>
                <w:color w:val="auto"/>
              </w:rPr>
            </w:pPr>
          </w:p>
        </w:tc>
      </w:tr>
      <w:tr>
        <w:trPr>
          <w:trHeight w:val="229"/>
        </w:trPr>
        <w:tc>
          <w:tcPr>
            <w:tcW w:w="3280" w:type="dxa"/>
            <w:vAlign w:val="bottom"/>
            <w:gridSpan w:val="2"/>
          </w:tcPr>
          <w:p>
            <w:pPr>
              <w:ind w:left="140"/>
              <w:spacing w:after="0"/>
              <w:rPr>
                <w:sz w:val="20"/>
                <w:szCs w:val="20"/>
                <w:color w:val="auto"/>
              </w:rPr>
            </w:pPr>
            <w:r>
              <w:rPr>
                <w:rFonts w:ascii="Arial" w:cs="Arial" w:eastAsia="Arial" w:hAnsi="Arial"/>
                <w:sz w:val="18"/>
                <w:szCs w:val="18"/>
                <w:color w:val="auto"/>
              </w:rPr>
              <w:t>Purchase of treasury stock</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(74)</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176"/>
        </w:trPr>
        <w:tc>
          <w:tcPr>
            <w:tcW w:w="3280" w:type="dxa"/>
            <w:vAlign w:val="bottom"/>
            <w:gridSpan w:val="2"/>
            <w:shd w:val="clear" w:color="auto" w:fill="CCEEFF"/>
          </w:tcPr>
          <w:p>
            <w:pPr>
              <w:ind w:left="140"/>
              <w:spacing w:after="0" w:line="176" w:lineRule="exact"/>
              <w:rPr>
                <w:sz w:val="20"/>
                <w:szCs w:val="20"/>
                <w:color w:val="auto"/>
              </w:rPr>
            </w:pPr>
            <w:r>
              <w:rPr>
                <w:rFonts w:ascii="Arial" w:cs="Arial" w:eastAsia="Arial" w:hAnsi="Arial"/>
                <w:sz w:val="18"/>
                <w:szCs w:val="18"/>
                <w:color w:val="auto"/>
              </w:rPr>
              <w:t>Unrealized gain (loss) on hedge</w:t>
            </w:r>
          </w:p>
        </w:tc>
        <w:tc>
          <w:tcPr>
            <w:tcW w:w="4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5"/>
                <w:szCs w:val="15"/>
                <w:color w:val="auto"/>
              </w:rPr>
            </w:pPr>
          </w:p>
        </w:tc>
        <w:tc>
          <w:tcPr>
            <w:tcW w:w="14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(6,602)</w:t>
            </w:r>
          </w:p>
        </w:tc>
        <w:tc>
          <w:tcPr>
            <w:tcW w:w="140" w:type="dxa"/>
            <w:vAlign w:val="bottom"/>
            <w:shd w:val="clear" w:color="auto" w:fill="CCEEFF"/>
          </w:tcPr>
          <w:p>
            <w:pPr>
              <w:spacing w:after="0"/>
              <w:rPr>
                <w:sz w:val="15"/>
                <w:szCs w:val="15"/>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5"/>
                <w:szCs w:val="15"/>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5"/>
                <w:szCs w:val="15"/>
                <w:color w:val="auto"/>
              </w:rPr>
            </w:pP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(6,602)</w:t>
            </w:r>
          </w:p>
        </w:tc>
        <w:tc>
          <w:tcPr>
            <w:tcW w:w="0" w:type="dxa"/>
            <w:vAlign w:val="bottom"/>
          </w:tcPr>
          <w:p>
            <w:pPr>
              <w:spacing w:after="0"/>
              <w:rPr>
                <w:sz w:val="1"/>
                <w:szCs w:val="1"/>
                <w:color w:val="auto"/>
              </w:rPr>
            </w:pPr>
          </w:p>
        </w:tc>
      </w:tr>
      <w:tr>
        <w:trPr>
          <w:trHeight w:val="229"/>
        </w:trPr>
        <w:tc>
          <w:tcPr>
            <w:tcW w:w="32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instruments, net of tax</w:t>
            </w:r>
          </w:p>
        </w:tc>
        <w:tc>
          <w:tcPr>
            <w:tcW w:w="40" w:type="dxa"/>
            <w:vAlign w:val="bottom"/>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vMerge w:val="continue"/>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28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Net income</w:t>
            </w:r>
          </w:p>
        </w:tc>
        <w:tc>
          <w:tcPr>
            <w:tcW w:w="4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9,742</w:t>
            </w:r>
          </w:p>
        </w:tc>
        <w:tc>
          <w:tcPr>
            <w:tcW w:w="1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9,742</w:t>
            </w:r>
          </w:p>
        </w:tc>
        <w:tc>
          <w:tcPr>
            <w:tcW w:w="0" w:type="dxa"/>
            <w:vAlign w:val="bottom"/>
          </w:tcPr>
          <w:p>
            <w:pPr>
              <w:spacing w:after="0"/>
              <w:rPr>
                <w:sz w:val="1"/>
                <w:szCs w:val="1"/>
                <w:color w:val="auto"/>
              </w:rPr>
            </w:pPr>
          </w:p>
        </w:tc>
      </w:tr>
      <w:tr>
        <w:trPr>
          <w:trHeight w:val="223"/>
        </w:trPr>
        <w:tc>
          <w:tcPr>
            <w:tcW w:w="32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Balances at March 28, 2020</w:t>
            </w:r>
          </w:p>
        </w:tc>
        <w:tc>
          <w:tcPr>
            <w:tcW w:w="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80,278</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811</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707,301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(10,416)</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116,345</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(27,881)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786,160</w:t>
            </w:r>
          </w:p>
        </w:tc>
        <w:tc>
          <w:tcPr>
            <w:tcW w:w="0" w:type="dxa"/>
            <w:vAlign w:val="bottom"/>
          </w:tcPr>
          <w:p>
            <w:pPr>
              <w:spacing w:after="0"/>
              <w:rPr>
                <w:sz w:val="1"/>
                <w:szCs w:val="1"/>
                <w:color w:val="auto"/>
              </w:rPr>
            </w:pPr>
          </w:p>
        </w:tc>
      </w:tr>
      <w:tr>
        <w:trPr>
          <w:trHeight w:val="229"/>
        </w:trPr>
        <w:tc>
          <w:tcPr>
            <w:tcW w:w="3280" w:type="dxa"/>
            <w:vAlign w:val="bottom"/>
            <w:gridSpan w:val="2"/>
          </w:tcPr>
          <w:p>
            <w:pPr>
              <w:ind w:left="140"/>
              <w:spacing w:after="0"/>
              <w:rPr>
                <w:sz w:val="20"/>
                <w:szCs w:val="20"/>
                <w:color w:val="auto"/>
              </w:rPr>
            </w:pPr>
            <w:r>
              <w:rPr>
                <w:rFonts w:ascii="Arial" w:cs="Arial" w:eastAsia="Arial" w:hAnsi="Arial"/>
                <w:sz w:val="18"/>
                <w:szCs w:val="18"/>
                <w:color w:val="auto"/>
              </w:rPr>
              <w:t>Issuance of common stock</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137</w:t>
            </w: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877</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878</w:t>
            </w:r>
          </w:p>
        </w:tc>
        <w:tc>
          <w:tcPr>
            <w:tcW w:w="0" w:type="dxa"/>
            <w:vAlign w:val="bottom"/>
          </w:tcPr>
          <w:p>
            <w:pPr>
              <w:spacing w:after="0"/>
              <w:rPr>
                <w:sz w:val="1"/>
                <w:szCs w:val="1"/>
                <w:color w:val="auto"/>
              </w:rPr>
            </w:pPr>
          </w:p>
        </w:tc>
      </w:tr>
      <w:tr>
        <w:trPr>
          <w:trHeight w:val="230"/>
        </w:trPr>
        <w:tc>
          <w:tcPr>
            <w:tcW w:w="32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Stock based compensation</w:t>
            </w:r>
          </w:p>
        </w:tc>
        <w:tc>
          <w:tcPr>
            <w:tcW w:w="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3,324</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3,324</w:t>
            </w:r>
          </w:p>
        </w:tc>
        <w:tc>
          <w:tcPr>
            <w:tcW w:w="0" w:type="dxa"/>
            <w:vAlign w:val="bottom"/>
          </w:tcPr>
          <w:p>
            <w:pPr>
              <w:spacing w:after="0"/>
              <w:rPr>
                <w:sz w:val="1"/>
                <w:szCs w:val="1"/>
                <w:color w:val="auto"/>
              </w:rPr>
            </w:pPr>
          </w:p>
        </w:tc>
      </w:tr>
      <w:tr>
        <w:trPr>
          <w:trHeight w:val="175"/>
        </w:trPr>
        <w:tc>
          <w:tcPr>
            <w:tcW w:w="3280" w:type="dxa"/>
            <w:vAlign w:val="bottom"/>
            <w:gridSpan w:val="2"/>
          </w:tcPr>
          <w:p>
            <w:pPr>
              <w:ind w:left="140"/>
              <w:spacing w:after="0" w:line="176" w:lineRule="exact"/>
              <w:rPr>
                <w:sz w:val="20"/>
                <w:szCs w:val="20"/>
                <w:color w:val="auto"/>
              </w:rPr>
            </w:pPr>
            <w:r>
              <w:rPr>
                <w:rFonts w:ascii="Arial" w:cs="Arial" w:eastAsia="Arial" w:hAnsi="Arial"/>
                <w:sz w:val="18"/>
                <w:szCs w:val="18"/>
                <w:color w:val="auto"/>
                <w:w w:val="98"/>
              </w:rPr>
              <w:t>Conversion option related to convertible</w:t>
            </w:r>
          </w:p>
        </w:tc>
        <w:tc>
          <w:tcPr>
            <w:tcW w:w="40" w:type="dxa"/>
            <w:vAlign w:val="bottom"/>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71,349</w:t>
            </w:r>
          </w:p>
        </w:tc>
        <w:tc>
          <w:tcPr>
            <w:tcW w:w="160" w:type="dxa"/>
            <w:vAlign w:val="bottom"/>
          </w:tcPr>
          <w:p>
            <w:pPr>
              <w:spacing w:after="0"/>
              <w:rPr>
                <w:sz w:val="15"/>
                <w:szCs w:val="15"/>
                <w:color w:val="auto"/>
              </w:rPr>
            </w:pPr>
          </w:p>
        </w:tc>
        <w:tc>
          <w:tcPr>
            <w:tcW w:w="14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5"/>
                <w:szCs w:val="15"/>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5"/>
                <w:szCs w:val="15"/>
                <w:color w:val="auto"/>
              </w:rPr>
            </w:pPr>
          </w:p>
        </w:tc>
        <w:tc>
          <w:tcPr>
            <w:tcW w:w="1280" w:type="dxa"/>
            <w:vAlign w:val="bottom"/>
            <w:vMerge w:val="restart"/>
          </w:tcPr>
          <w:p>
            <w:pPr>
              <w:jc w:val="right"/>
              <w:spacing w:after="0"/>
              <w:rPr>
                <w:sz w:val="20"/>
                <w:szCs w:val="20"/>
                <w:color w:val="auto"/>
              </w:rPr>
            </w:pPr>
            <w:r>
              <w:rPr>
                <w:rFonts w:ascii="Arial" w:cs="Arial" w:eastAsia="Arial" w:hAnsi="Arial"/>
                <w:sz w:val="18"/>
                <w:szCs w:val="18"/>
                <w:color w:val="auto"/>
              </w:rPr>
              <w:t>71,349</w:t>
            </w:r>
          </w:p>
        </w:tc>
        <w:tc>
          <w:tcPr>
            <w:tcW w:w="0" w:type="dxa"/>
            <w:vAlign w:val="bottom"/>
          </w:tcPr>
          <w:p>
            <w:pPr>
              <w:spacing w:after="0"/>
              <w:rPr>
                <w:sz w:val="1"/>
                <w:szCs w:val="1"/>
                <w:color w:val="auto"/>
              </w:rPr>
            </w:pPr>
          </w:p>
        </w:tc>
      </w:tr>
      <w:tr>
        <w:trPr>
          <w:trHeight w:val="230"/>
        </w:trPr>
        <w:tc>
          <w:tcPr>
            <w:tcW w:w="3280" w:type="dxa"/>
            <w:vAlign w:val="bottom"/>
            <w:gridSpan w:val="2"/>
          </w:tcPr>
          <w:p>
            <w:pPr>
              <w:ind w:left="140"/>
              <w:spacing w:after="0"/>
              <w:rPr>
                <w:sz w:val="20"/>
                <w:szCs w:val="20"/>
                <w:color w:val="auto"/>
              </w:rPr>
            </w:pPr>
            <w:r>
              <w:rPr>
                <w:rFonts w:ascii="Arial" w:cs="Arial" w:eastAsia="Arial" w:hAnsi="Arial"/>
                <w:sz w:val="18"/>
                <w:szCs w:val="18"/>
                <w:color w:val="auto"/>
                <w:w w:val="91"/>
              </w:rPr>
              <w:t>senior notes, net of allocated costs and tax</w:t>
            </w:r>
          </w:p>
        </w:tc>
        <w:tc>
          <w:tcPr>
            <w:tcW w:w="40" w:type="dxa"/>
            <w:vAlign w:val="bottom"/>
          </w:tcPr>
          <w:p>
            <w:pPr>
              <w:spacing w:after="0"/>
              <w:rPr>
                <w:sz w:val="19"/>
                <w:szCs w:val="19"/>
                <w:color w:val="auto"/>
              </w:rPr>
            </w:pPr>
          </w:p>
        </w:tc>
        <w:tc>
          <w:tcPr>
            <w:tcW w:w="94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vMerge w:val="continue"/>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3280" w:type="dxa"/>
            <w:vAlign w:val="bottom"/>
            <w:gridSpan w:val="2"/>
            <w:shd w:val="clear" w:color="auto" w:fill="CCEEFF"/>
          </w:tcPr>
          <w:p>
            <w:pPr>
              <w:ind w:left="140"/>
              <w:spacing w:after="0" w:line="176" w:lineRule="exact"/>
              <w:rPr>
                <w:sz w:val="20"/>
                <w:szCs w:val="20"/>
                <w:color w:val="auto"/>
              </w:rPr>
            </w:pPr>
            <w:r>
              <w:rPr>
                <w:rFonts w:ascii="Arial" w:cs="Arial" w:eastAsia="Arial" w:hAnsi="Arial"/>
                <w:sz w:val="18"/>
                <w:szCs w:val="18"/>
                <w:color w:val="auto"/>
              </w:rPr>
              <w:t>Unrealized gain (loss) on hedge</w:t>
            </w:r>
          </w:p>
        </w:tc>
        <w:tc>
          <w:tcPr>
            <w:tcW w:w="4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5"/>
                <w:szCs w:val="15"/>
                <w:color w:val="auto"/>
              </w:rPr>
            </w:pPr>
          </w:p>
        </w:tc>
        <w:tc>
          <w:tcPr>
            <w:tcW w:w="14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3,061</w:t>
            </w:r>
          </w:p>
        </w:tc>
        <w:tc>
          <w:tcPr>
            <w:tcW w:w="140" w:type="dxa"/>
            <w:vAlign w:val="bottom"/>
            <w:shd w:val="clear" w:color="auto" w:fill="CCEEFF"/>
          </w:tcPr>
          <w:p>
            <w:pPr>
              <w:spacing w:after="0"/>
              <w:rPr>
                <w:sz w:val="15"/>
                <w:szCs w:val="15"/>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5"/>
                <w:szCs w:val="15"/>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5"/>
                <w:szCs w:val="15"/>
                <w:color w:val="auto"/>
              </w:rPr>
            </w:pP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3,061</w:t>
            </w:r>
          </w:p>
        </w:tc>
        <w:tc>
          <w:tcPr>
            <w:tcW w:w="0" w:type="dxa"/>
            <w:vAlign w:val="bottom"/>
          </w:tcPr>
          <w:p>
            <w:pPr>
              <w:spacing w:after="0"/>
              <w:rPr>
                <w:sz w:val="1"/>
                <w:szCs w:val="1"/>
                <w:color w:val="auto"/>
              </w:rPr>
            </w:pPr>
          </w:p>
        </w:tc>
      </w:tr>
      <w:tr>
        <w:trPr>
          <w:trHeight w:val="230"/>
        </w:trPr>
        <w:tc>
          <w:tcPr>
            <w:tcW w:w="32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instruments, net of tax</w:t>
            </w:r>
          </w:p>
        </w:tc>
        <w:tc>
          <w:tcPr>
            <w:tcW w:w="40" w:type="dxa"/>
            <w:vAlign w:val="bottom"/>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vMerge w:val="continue"/>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8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Net income (loss)</w:t>
            </w:r>
          </w:p>
        </w:tc>
        <w:tc>
          <w:tcPr>
            <w:tcW w:w="4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(43,833)</w:t>
            </w:r>
          </w:p>
        </w:tc>
        <w:tc>
          <w:tcPr>
            <w:tcW w:w="1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(43,833)</w:t>
            </w:r>
          </w:p>
        </w:tc>
        <w:tc>
          <w:tcPr>
            <w:tcW w:w="0" w:type="dxa"/>
            <w:vAlign w:val="bottom"/>
          </w:tcPr>
          <w:p>
            <w:pPr>
              <w:spacing w:after="0"/>
              <w:rPr>
                <w:sz w:val="1"/>
                <w:szCs w:val="1"/>
                <w:color w:val="auto"/>
              </w:rPr>
            </w:pPr>
          </w:p>
        </w:tc>
      </w:tr>
      <w:tr>
        <w:trPr>
          <w:trHeight w:val="248"/>
        </w:trPr>
        <w:tc>
          <w:tcPr>
            <w:tcW w:w="32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Balances at June 27, 2020</w:t>
            </w:r>
          </w:p>
        </w:tc>
        <w:tc>
          <w:tcPr>
            <w:tcW w:w="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80,415</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812</w:t>
            </w:r>
          </w:p>
        </w:tc>
        <w:tc>
          <w:tcPr>
            <w:tcW w:w="20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782,851</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(7,355)</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72,512</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(27,881)</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820,939</w:t>
            </w:r>
          </w:p>
        </w:tc>
        <w:tc>
          <w:tcPr>
            <w:tcW w:w="0" w:type="dxa"/>
            <w:vAlign w:val="bottom"/>
          </w:tcPr>
          <w:p>
            <w:pPr>
              <w:spacing w:after="0"/>
              <w:rPr>
                <w:sz w:val="1"/>
                <w:szCs w:val="1"/>
                <w:color w:val="auto"/>
              </w:rPr>
            </w:pPr>
          </w:p>
        </w:tc>
      </w:tr>
      <w:tr>
        <w:trPr>
          <w:trHeight w:val="20"/>
        </w:trPr>
        <w:tc>
          <w:tcPr>
            <w:tcW w:w="1280" w:type="dxa"/>
            <w:vAlign w:val="bottom"/>
            <w:tcBorders>
              <w:top w:val="single" w:sz="8" w:color="CCEEFF"/>
            </w:tcBorders>
          </w:tcPr>
          <w:p>
            <w:pPr>
              <w:spacing w:after="0" w:line="20" w:lineRule="exact"/>
              <w:rPr>
                <w:sz w:val="1"/>
                <w:szCs w:val="1"/>
                <w:color w:val="auto"/>
              </w:rPr>
            </w:pPr>
          </w:p>
        </w:tc>
        <w:tc>
          <w:tcPr>
            <w:tcW w:w="20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8" w:name="page9"/>
    <w:bookmarkEnd w:id="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National Vision Holdings,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the Six Months Ended July 3, 2021 and June 27, 2020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In Thousands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77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3200" w:type="dxa"/>
            <w:vAlign w:val="bottom"/>
            <w:tcBorders>
              <w:bottom w:val="single" w:sz="8" w:color="auto"/>
            </w:tcBorders>
            <w:gridSpan w:val="4"/>
          </w:tcPr>
          <w:p>
            <w:pPr>
              <w:jc w:val="right"/>
              <w:ind w:right="1059"/>
              <w:spacing w:after="0"/>
              <w:rPr>
                <w:sz w:val="20"/>
                <w:szCs w:val="20"/>
                <w:color w:val="auto"/>
              </w:rPr>
            </w:pPr>
            <w:r>
              <w:rPr>
                <w:rFonts w:ascii="Arial" w:cs="Arial" w:eastAsia="Arial" w:hAnsi="Arial"/>
                <w:sz w:val="16"/>
                <w:szCs w:val="16"/>
                <w:color w:val="auto"/>
              </w:rPr>
              <w:t>Six Months Ended</w:t>
            </w:r>
          </w:p>
        </w:tc>
      </w:tr>
      <w:tr>
        <w:trPr>
          <w:trHeight w:val="210"/>
        </w:trPr>
        <w:tc>
          <w:tcPr>
            <w:tcW w:w="7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20" w:type="dxa"/>
            <w:vAlign w:val="bottom"/>
            <w:gridSpan w:val="2"/>
          </w:tcPr>
          <w:p>
            <w:pPr>
              <w:ind w:left="180"/>
              <w:spacing w:after="0"/>
              <w:rPr>
                <w:sz w:val="20"/>
                <w:szCs w:val="20"/>
                <w:color w:val="auto"/>
              </w:rPr>
            </w:pPr>
            <w:r>
              <w:rPr>
                <w:rFonts w:ascii="Arial" w:cs="Arial" w:eastAsia="Arial" w:hAnsi="Arial"/>
                <w:sz w:val="16"/>
                <w:szCs w:val="16"/>
                <w:color w:val="auto"/>
              </w:rPr>
              <w:t>July 3, 2021</w:t>
            </w:r>
          </w:p>
        </w:tc>
        <w:tc>
          <w:tcPr>
            <w:tcW w:w="240" w:type="dxa"/>
            <w:vAlign w:val="bottom"/>
          </w:tcPr>
          <w:p>
            <w:pPr>
              <w:spacing w:after="0"/>
              <w:rPr>
                <w:sz w:val="18"/>
                <w:szCs w:val="18"/>
                <w:color w:val="auto"/>
              </w:rPr>
            </w:pPr>
          </w:p>
        </w:tc>
        <w:tc>
          <w:tcPr>
            <w:tcW w:w="1440" w:type="dxa"/>
            <w:vAlign w:val="bottom"/>
          </w:tcPr>
          <w:p>
            <w:pPr>
              <w:jc w:val="right"/>
              <w:ind w:right="319"/>
              <w:spacing w:after="0"/>
              <w:rPr>
                <w:sz w:val="20"/>
                <w:szCs w:val="20"/>
                <w:color w:val="auto"/>
              </w:rPr>
            </w:pPr>
            <w:r>
              <w:rPr>
                <w:rFonts w:ascii="Arial" w:cs="Arial" w:eastAsia="Arial" w:hAnsi="Arial"/>
                <w:sz w:val="16"/>
                <w:szCs w:val="16"/>
                <w:color w:val="auto"/>
              </w:rPr>
              <w:t>June 27, 2020</w:t>
            </w:r>
          </w:p>
        </w:tc>
      </w:tr>
      <w:tr>
        <w:trPr>
          <w:trHeight w:val="199"/>
        </w:trPr>
        <w:tc>
          <w:tcPr>
            <w:tcW w:w="77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operating activities:</w:t>
            </w:r>
          </w:p>
        </w:tc>
        <w:tc>
          <w:tcPr>
            <w:tcW w:w="260" w:type="dxa"/>
            <w:vAlign w:val="bottom"/>
            <w:tcBorders>
              <w:top w:val="single" w:sz="8" w:color="auto"/>
            </w:tcBorders>
            <w:shd w:val="clear" w:color="auto" w:fill="CCEEFF"/>
          </w:tcPr>
          <w:p>
            <w:pPr>
              <w:spacing w:after="0"/>
              <w:rPr>
                <w:sz w:val="17"/>
                <w:szCs w:val="17"/>
                <w:color w:val="auto"/>
              </w:rPr>
            </w:pPr>
          </w:p>
        </w:tc>
        <w:tc>
          <w:tcPr>
            <w:tcW w:w="14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440" w:type="dxa"/>
            <w:vAlign w:val="bottom"/>
            <w:tcBorders>
              <w:top w:val="single" w:sz="8" w:color="auto"/>
            </w:tcBorders>
            <w:shd w:val="clear" w:color="auto" w:fill="CCEEFF"/>
          </w:tcPr>
          <w:p>
            <w:pPr>
              <w:spacing w:after="0"/>
              <w:rPr>
                <w:sz w:val="17"/>
                <w:szCs w:val="17"/>
                <w:color w:val="auto"/>
              </w:rPr>
            </w:pPr>
          </w:p>
        </w:tc>
      </w:tr>
      <w:tr>
        <w:trPr>
          <w:trHeight w:val="213"/>
        </w:trPr>
        <w:tc>
          <w:tcPr>
            <w:tcW w:w="7760" w:type="dxa"/>
            <w:vAlign w:val="bottom"/>
          </w:tcPr>
          <w:p>
            <w:pPr>
              <w:ind w:left="20"/>
              <w:spacing w:after="0"/>
              <w:rPr>
                <w:sz w:val="20"/>
                <w:szCs w:val="20"/>
                <w:color w:val="auto"/>
              </w:rPr>
            </w:pPr>
            <w:r>
              <w:rPr>
                <w:rFonts w:ascii="Arial" w:cs="Arial" w:eastAsia="Arial" w:hAnsi="Arial"/>
                <w:sz w:val="16"/>
                <w:szCs w:val="16"/>
                <w:color w:val="auto"/>
              </w:rPr>
              <w:t>Net income (loss)</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420" w:type="dxa"/>
            <w:vAlign w:val="bottom"/>
          </w:tcPr>
          <w:p>
            <w:pPr>
              <w:jc w:val="right"/>
              <w:spacing w:after="0"/>
              <w:rPr>
                <w:sz w:val="20"/>
                <w:szCs w:val="20"/>
                <w:color w:val="auto"/>
              </w:rPr>
            </w:pPr>
            <w:r>
              <w:rPr>
                <w:rFonts w:ascii="Arial" w:cs="Arial" w:eastAsia="Arial" w:hAnsi="Arial"/>
                <w:sz w:val="16"/>
                <w:szCs w:val="16"/>
                <w:color w:val="auto"/>
              </w:rPr>
              <w:t>81,033</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(34,091)</w:t>
            </w:r>
          </w:p>
        </w:tc>
      </w:tr>
      <w:tr>
        <w:trPr>
          <w:trHeight w:val="219"/>
        </w:trPr>
        <w:tc>
          <w:tcPr>
            <w:tcW w:w="7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2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r>
      <w:tr>
        <w:trPr>
          <w:trHeight w:val="213"/>
        </w:trPr>
        <w:tc>
          <w:tcPr>
            <w:tcW w:w="7760" w:type="dxa"/>
            <w:vAlign w:val="bottom"/>
          </w:tcPr>
          <w:p>
            <w:pPr>
              <w:ind w:left="220"/>
              <w:spacing w:after="0"/>
              <w:rPr>
                <w:sz w:val="20"/>
                <w:szCs w:val="20"/>
                <w:color w:val="auto"/>
              </w:rPr>
            </w:pPr>
            <w:r>
              <w:rPr>
                <w:rFonts w:ascii="Arial" w:cs="Arial" w:eastAsia="Arial" w:hAnsi="Arial"/>
                <w:sz w:val="16"/>
                <w:szCs w:val="16"/>
                <w:color w:val="auto"/>
              </w:rPr>
              <w:t>Depreciation and amortization</w:t>
            </w:r>
          </w:p>
        </w:tc>
        <w:tc>
          <w:tcPr>
            <w:tcW w:w="2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47,580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46,734</w:t>
            </w:r>
          </w:p>
        </w:tc>
      </w:tr>
      <w:tr>
        <w:trPr>
          <w:trHeight w:val="219"/>
        </w:trPr>
        <w:tc>
          <w:tcPr>
            <w:tcW w:w="77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Amortization of debt discount and deferred financing costs</w:t>
            </w:r>
          </w:p>
        </w:tc>
        <w:tc>
          <w:tcPr>
            <w:tcW w:w="2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2,268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2,717</w:t>
            </w:r>
          </w:p>
        </w:tc>
      </w:tr>
      <w:tr>
        <w:trPr>
          <w:trHeight w:val="213"/>
        </w:trPr>
        <w:tc>
          <w:tcPr>
            <w:tcW w:w="7760" w:type="dxa"/>
            <w:vAlign w:val="bottom"/>
          </w:tcPr>
          <w:p>
            <w:pPr>
              <w:ind w:left="220"/>
              <w:spacing w:after="0"/>
              <w:rPr>
                <w:sz w:val="20"/>
                <w:szCs w:val="20"/>
                <w:color w:val="auto"/>
              </w:rPr>
            </w:pPr>
            <w:r>
              <w:rPr>
                <w:rFonts w:ascii="Arial" w:cs="Arial" w:eastAsia="Arial" w:hAnsi="Arial"/>
                <w:sz w:val="16"/>
                <w:szCs w:val="16"/>
                <w:color w:val="auto"/>
              </w:rPr>
              <w:t>Asset impairment</w:t>
            </w:r>
          </w:p>
        </w:tc>
        <w:tc>
          <w:tcPr>
            <w:tcW w:w="2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1,478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13,766</w:t>
            </w:r>
          </w:p>
        </w:tc>
      </w:tr>
      <w:tr>
        <w:trPr>
          <w:trHeight w:val="219"/>
        </w:trPr>
        <w:tc>
          <w:tcPr>
            <w:tcW w:w="77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Deferred income tax expense (benefit)</w:t>
            </w:r>
          </w:p>
        </w:tc>
        <w:tc>
          <w:tcPr>
            <w:tcW w:w="2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14,582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(13,686)</w:t>
            </w:r>
          </w:p>
        </w:tc>
      </w:tr>
      <w:tr>
        <w:trPr>
          <w:trHeight w:val="213"/>
        </w:trPr>
        <w:tc>
          <w:tcPr>
            <w:tcW w:w="7760" w:type="dxa"/>
            <w:vAlign w:val="bottom"/>
          </w:tcPr>
          <w:p>
            <w:pPr>
              <w:ind w:left="220"/>
              <w:spacing w:after="0"/>
              <w:rPr>
                <w:sz w:val="20"/>
                <w:szCs w:val="20"/>
                <w:color w:val="auto"/>
              </w:rPr>
            </w:pPr>
            <w:r>
              <w:rPr>
                <w:rFonts w:ascii="Arial" w:cs="Arial" w:eastAsia="Arial" w:hAnsi="Arial"/>
                <w:sz w:val="16"/>
                <w:szCs w:val="16"/>
                <w:color w:val="auto"/>
              </w:rPr>
              <w:t>Stock based compensation expense</w:t>
            </w:r>
          </w:p>
        </w:tc>
        <w:tc>
          <w:tcPr>
            <w:tcW w:w="2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10,201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5,445</w:t>
            </w:r>
          </w:p>
        </w:tc>
      </w:tr>
      <w:tr>
        <w:trPr>
          <w:trHeight w:val="219"/>
        </w:trPr>
        <w:tc>
          <w:tcPr>
            <w:tcW w:w="77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Losses (gains) on change in fair value of derivatives</w:t>
            </w:r>
          </w:p>
        </w:tc>
        <w:tc>
          <w:tcPr>
            <w:tcW w:w="2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4,871</w:t>
            </w:r>
          </w:p>
        </w:tc>
      </w:tr>
      <w:tr>
        <w:trPr>
          <w:trHeight w:val="213"/>
        </w:trPr>
        <w:tc>
          <w:tcPr>
            <w:tcW w:w="7760" w:type="dxa"/>
            <w:vAlign w:val="bottom"/>
          </w:tcPr>
          <w:p>
            <w:pPr>
              <w:ind w:left="220"/>
              <w:spacing w:after="0"/>
              <w:rPr>
                <w:sz w:val="20"/>
                <w:szCs w:val="20"/>
                <w:color w:val="auto"/>
              </w:rPr>
            </w:pPr>
            <w:r>
              <w:rPr>
                <w:rFonts w:ascii="Arial" w:cs="Arial" w:eastAsia="Arial" w:hAnsi="Arial"/>
                <w:sz w:val="16"/>
                <w:szCs w:val="16"/>
                <w:color w:val="auto"/>
              </w:rPr>
              <w:t>Inventory adjustments</w:t>
            </w:r>
          </w:p>
        </w:tc>
        <w:tc>
          <w:tcPr>
            <w:tcW w:w="2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619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2,883</w:t>
            </w:r>
          </w:p>
        </w:tc>
      </w:tr>
      <w:tr>
        <w:trPr>
          <w:trHeight w:val="219"/>
        </w:trPr>
        <w:tc>
          <w:tcPr>
            <w:tcW w:w="77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w:t>
            </w:r>
          </w:p>
        </w:tc>
        <w:tc>
          <w:tcPr>
            <w:tcW w:w="2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3,328</w:t>
            </w:r>
          </w:p>
        </w:tc>
      </w:tr>
      <w:tr>
        <w:trPr>
          <w:trHeight w:val="213"/>
        </w:trPr>
        <w:tc>
          <w:tcPr>
            <w:tcW w:w="7760" w:type="dxa"/>
            <w:vAlign w:val="bottom"/>
          </w:tcPr>
          <w:p>
            <w:pPr>
              <w:ind w:left="20"/>
              <w:spacing w:after="0"/>
              <w:rPr>
                <w:sz w:val="20"/>
                <w:szCs w:val="20"/>
                <w:color w:val="auto"/>
              </w:rPr>
            </w:pPr>
            <w:r>
              <w:rPr>
                <w:rFonts w:ascii="Arial" w:cs="Arial" w:eastAsia="Arial" w:hAnsi="Arial"/>
                <w:sz w:val="16"/>
                <w:szCs w:val="16"/>
                <w:color w:val="auto"/>
              </w:rPr>
              <w:t>Changes in operating assets and liabilities:</w:t>
            </w:r>
          </w:p>
        </w:tc>
        <w:tc>
          <w:tcPr>
            <w:tcW w:w="2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19"/>
        </w:trPr>
        <w:tc>
          <w:tcPr>
            <w:tcW w:w="77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Accounts receivable</w:t>
            </w:r>
          </w:p>
        </w:tc>
        <w:tc>
          <w:tcPr>
            <w:tcW w:w="2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2,393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(14,408)</w:t>
            </w:r>
          </w:p>
        </w:tc>
      </w:tr>
      <w:tr>
        <w:trPr>
          <w:trHeight w:val="213"/>
        </w:trPr>
        <w:tc>
          <w:tcPr>
            <w:tcW w:w="7760" w:type="dxa"/>
            <w:vAlign w:val="bottom"/>
          </w:tcPr>
          <w:p>
            <w:pPr>
              <w:ind w:left="220"/>
              <w:spacing w:after="0"/>
              <w:rPr>
                <w:sz w:val="20"/>
                <w:szCs w:val="20"/>
                <w:color w:val="auto"/>
              </w:rPr>
            </w:pPr>
            <w:r>
              <w:rPr>
                <w:rFonts w:ascii="Arial" w:cs="Arial" w:eastAsia="Arial" w:hAnsi="Arial"/>
                <w:sz w:val="16"/>
                <w:szCs w:val="16"/>
                <w:color w:val="auto"/>
              </w:rPr>
              <w:t>Inventories</w:t>
            </w:r>
          </w:p>
        </w:tc>
        <w:tc>
          <w:tcPr>
            <w:tcW w:w="2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(10,208)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6,814</w:t>
            </w:r>
          </w:p>
        </w:tc>
      </w:tr>
      <w:tr>
        <w:trPr>
          <w:trHeight w:val="219"/>
        </w:trPr>
        <w:tc>
          <w:tcPr>
            <w:tcW w:w="77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Operating lease right of use assets and lease liabilities</w:t>
            </w:r>
          </w:p>
        </w:tc>
        <w:tc>
          <w:tcPr>
            <w:tcW w:w="2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1,174</w:t>
            </w:r>
          </w:p>
        </w:tc>
      </w:tr>
      <w:tr>
        <w:trPr>
          <w:trHeight w:val="213"/>
        </w:trPr>
        <w:tc>
          <w:tcPr>
            <w:tcW w:w="7760" w:type="dxa"/>
            <w:vAlign w:val="bottom"/>
          </w:tcPr>
          <w:p>
            <w:pPr>
              <w:ind w:left="220"/>
              <w:spacing w:after="0"/>
              <w:rPr>
                <w:sz w:val="20"/>
                <w:szCs w:val="20"/>
                <w:color w:val="auto"/>
              </w:rPr>
            </w:pPr>
            <w:r>
              <w:rPr>
                <w:rFonts w:ascii="Arial" w:cs="Arial" w:eastAsia="Arial" w:hAnsi="Arial"/>
                <w:sz w:val="16"/>
                <w:szCs w:val="16"/>
                <w:color w:val="auto"/>
              </w:rPr>
              <w:t>Other assets</w:t>
            </w:r>
          </w:p>
        </w:tc>
        <w:tc>
          <w:tcPr>
            <w:tcW w:w="2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(1,148)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2,047</w:t>
            </w:r>
          </w:p>
        </w:tc>
      </w:tr>
      <w:tr>
        <w:trPr>
          <w:trHeight w:val="219"/>
        </w:trPr>
        <w:tc>
          <w:tcPr>
            <w:tcW w:w="77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Accounts payable</w:t>
            </w:r>
          </w:p>
        </w:tc>
        <w:tc>
          <w:tcPr>
            <w:tcW w:w="2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12,816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11,630</w:t>
            </w:r>
          </w:p>
        </w:tc>
      </w:tr>
      <w:tr>
        <w:trPr>
          <w:trHeight w:val="213"/>
        </w:trPr>
        <w:tc>
          <w:tcPr>
            <w:tcW w:w="7760" w:type="dxa"/>
            <w:vAlign w:val="bottom"/>
          </w:tcPr>
          <w:p>
            <w:pPr>
              <w:ind w:left="220"/>
              <w:spacing w:after="0"/>
              <w:rPr>
                <w:sz w:val="20"/>
                <w:szCs w:val="20"/>
                <w:color w:val="auto"/>
              </w:rPr>
            </w:pPr>
            <w:r>
              <w:rPr>
                <w:rFonts w:ascii="Arial" w:cs="Arial" w:eastAsia="Arial" w:hAnsi="Arial"/>
                <w:sz w:val="16"/>
                <w:szCs w:val="16"/>
                <w:color w:val="auto"/>
              </w:rPr>
              <w:t>Deferred and unearned revenue</w:t>
            </w:r>
          </w:p>
        </w:tc>
        <w:tc>
          <w:tcPr>
            <w:tcW w:w="2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18,782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8,025</w:t>
            </w:r>
          </w:p>
        </w:tc>
      </w:tr>
      <w:tr>
        <w:trPr>
          <w:trHeight w:val="219"/>
        </w:trPr>
        <w:tc>
          <w:tcPr>
            <w:tcW w:w="77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 liabilities</w:t>
            </w:r>
          </w:p>
        </w:tc>
        <w:tc>
          <w:tcPr>
            <w:tcW w:w="2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7,885</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24,171</w:t>
            </w:r>
          </w:p>
        </w:tc>
      </w:tr>
      <w:tr>
        <w:trPr>
          <w:trHeight w:val="206"/>
        </w:trPr>
        <w:tc>
          <w:tcPr>
            <w:tcW w:w="77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Net cash provided by operating activities</w:t>
            </w:r>
          </w:p>
        </w:tc>
        <w:tc>
          <w:tcPr>
            <w:tcW w:w="26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189,808</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71,420</w:t>
            </w:r>
          </w:p>
        </w:tc>
      </w:tr>
      <w:tr>
        <w:trPr>
          <w:trHeight w:val="199"/>
        </w:trPr>
        <w:tc>
          <w:tcPr>
            <w:tcW w:w="77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investing activities:</w:t>
            </w:r>
          </w:p>
        </w:tc>
        <w:tc>
          <w:tcPr>
            <w:tcW w:w="26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r>
      <w:tr>
        <w:trPr>
          <w:trHeight w:val="213"/>
        </w:trPr>
        <w:tc>
          <w:tcPr>
            <w:tcW w:w="7760" w:type="dxa"/>
            <w:vAlign w:val="bottom"/>
          </w:tcPr>
          <w:p>
            <w:pPr>
              <w:ind w:left="220"/>
              <w:spacing w:after="0"/>
              <w:rPr>
                <w:sz w:val="20"/>
                <w:szCs w:val="20"/>
                <w:color w:val="auto"/>
              </w:rPr>
            </w:pPr>
            <w:r>
              <w:rPr>
                <w:rFonts w:ascii="Arial" w:cs="Arial" w:eastAsia="Arial" w:hAnsi="Arial"/>
                <w:sz w:val="16"/>
                <w:szCs w:val="16"/>
                <w:color w:val="auto"/>
              </w:rPr>
              <w:t>Purchase of property and equipment</w:t>
            </w:r>
          </w:p>
        </w:tc>
        <w:tc>
          <w:tcPr>
            <w:tcW w:w="2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(38,812)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(25,796)</w:t>
            </w:r>
          </w:p>
        </w:tc>
      </w:tr>
      <w:tr>
        <w:trPr>
          <w:trHeight w:val="219"/>
        </w:trPr>
        <w:tc>
          <w:tcPr>
            <w:tcW w:w="77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w:t>
            </w:r>
          </w:p>
        </w:tc>
        <w:tc>
          <w:tcPr>
            <w:tcW w:w="2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265</w:t>
            </w:r>
          </w:p>
        </w:tc>
      </w:tr>
      <w:tr>
        <w:trPr>
          <w:trHeight w:val="207"/>
        </w:trPr>
        <w:tc>
          <w:tcPr>
            <w:tcW w:w="77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Net cash used for investing activities</w:t>
            </w:r>
          </w:p>
        </w:tc>
        <w:tc>
          <w:tcPr>
            <w:tcW w:w="26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(38,790)</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(25,531)</w:t>
            </w:r>
          </w:p>
        </w:tc>
      </w:tr>
      <w:tr>
        <w:trPr>
          <w:trHeight w:val="199"/>
        </w:trPr>
        <w:tc>
          <w:tcPr>
            <w:tcW w:w="77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financing activities:</w:t>
            </w:r>
          </w:p>
        </w:tc>
        <w:tc>
          <w:tcPr>
            <w:tcW w:w="26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r>
      <w:tr>
        <w:trPr>
          <w:trHeight w:val="213"/>
        </w:trPr>
        <w:tc>
          <w:tcPr>
            <w:tcW w:w="7760" w:type="dxa"/>
            <w:vAlign w:val="bottom"/>
          </w:tcPr>
          <w:p>
            <w:pPr>
              <w:ind w:left="220"/>
              <w:spacing w:after="0"/>
              <w:rPr>
                <w:sz w:val="20"/>
                <w:szCs w:val="20"/>
                <w:color w:val="auto"/>
              </w:rPr>
            </w:pPr>
            <w:r>
              <w:rPr>
                <w:rFonts w:ascii="Arial" w:cs="Arial" w:eastAsia="Arial" w:hAnsi="Arial"/>
                <w:sz w:val="16"/>
                <w:szCs w:val="16"/>
                <w:color w:val="auto"/>
              </w:rPr>
              <w:t>Borrowings on long-term debt, net of discounts</w:t>
            </w:r>
          </w:p>
        </w:tc>
        <w:tc>
          <w:tcPr>
            <w:tcW w:w="260" w:type="dxa"/>
            <w:vAlign w:val="bottom"/>
          </w:tcPr>
          <w:p>
            <w:pPr>
              <w:spacing w:after="0"/>
              <w:rPr>
                <w:sz w:val="18"/>
                <w:szCs w:val="18"/>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548,769</w:t>
            </w:r>
          </w:p>
        </w:tc>
      </w:tr>
      <w:tr>
        <w:trPr>
          <w:trHeight w:val="219"/>
        </w:trPr>
        <w:tc>
          <w:tcPr>
            <w:tcW w:w="77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Repayments on long-term debt</w:t>
            </w:r>
          </w:p>
        </w:tc>
        <w:tc>
          <w:tcPr>
            <w:tcW w:w="2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(117,375)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(369,269)</w:t>
            </w:r>
          </w:p>
        </w:tc>
      </w:tr>
      <w:tr>
        <w:trPr>
          <w:trHeight w:val="213"/>
        </w:trPr>
        <w:tc>
          <w:tcPr>
            <w:tcW w:w="7760" w:type="dxa"/>
            <w:vAlign w:val="bottom"/>
          </w:tcPr>
          <w:p>
            <w:pPr>
              <w:ind w:left="220"/>
              <w:spacing w:after="0"/>
              <w:rPr>
                <w:sz w:val="20"/>
                <w:szCs w:val="20"/>
                <w:color w:val="auto"/>
              </w:rPr>
            </w:pPr>
            <w:r>
              <w:rPr>
                <w:rFonts w:ascii="Arial" w:cs="Arial" w:eastAsia="Arial" w:hAnsi="Arial"/>
                <w:sz w:val="16"/>
                <w:szCs w:val="16"/>
                <w:color w:val="auto"/>
              </w:rPr>
              <w:t>Proceeds from exercise of stock options</w:t>
            </w:r>
          </w:p>
        </w:tc>
        <w:tc>
          <w:tcPr>
            <w:tcW w:w="2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5,738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5,998</w:t>
            </w:r>
          </w:p>
        </w:tc>
      </w:tr>
      <w:tr>
        <w:trPr>
          <w:trHeight w:val="219"/>
        </w:trPr>
        <w:tc>
          <w:tcPr>
            <w:tcW w:w="77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Purchase of treasury stock</w:t>
            </w:r>
          </w:p>
        </w:tc>
        <w:tc>
          <w:tcPr>
            <w:tcW w:w="2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w:t>
            </w:r>
          </w:p>
        </w:tc>
      </w:tr>
      <w:tr>
        <w:trPr>
          <w:trHeight w:val="213"/>
        </w:trPr>
        <w:tc>
          <w:tcPr>
            <w:tcW w:w="7760" w:type="dxa"/>
            <w:vAlign w:val="bottom"/>
          </w:tcPr>
          <w:p>
            <w:pPr>
              <w:ind w:left="220"/>
              <w:spacing w:after="0"/>
              <w:rPr>
                <w:sz w:val="20"/>
                <w:szCs w:val="20"/>
                <w:color w:val="auto"/>
              </w:rPr>
            </w:pPr>
            <w:r>
              <w:rPr>
                <w:rFonts w:ascii="Arial" w:cs="Arial" w:eastAsia="Arial" w:hAnsi="Arial"/>
                <w:sz w:val="16"/>
                <w:szCs w:val="16"/>
                <w:color w:val="auto"/>
              </w:rPr>
              <w:t>Payments of debt issuance costs</w:t>
            </w:r>
          </w:p>
        </w:tc>
        <w:tc>
          <w:tcPr>
            <w:tcW w:w="2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(900)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(12,400)</w:t>
            </w:r>
          </w:p>
        </w:tc>
      </w:tr>
      <w:tr>
        <w:trPr>
          <w:trHeight w:val="219"/>
        </w:trPr>
        <w:tc>
          <w:tcPr>
            <w:tcW w:w="77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Payments on finance lease obligations</w:t>
            </w:r>
          </w:p>
        </w:tc>
        <w:tc>
          <w:tcPr>
            <w:tcW w:w="2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(2,526)</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(1,587)</w:t>
            </w:r>
          </w:p>
        </w:tc>
      </w:tr>
      <w:tr>
        <w:trPr>
          <w:trHeight w:val="206"/>
        </w:trPr>
        <w:tc>
          <w:tcPr>
            <w:tcW w:w="77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Net cash provided by (used for) financing activities</w:t>
            </w:r>
          </w:p>
        </w:tc>
        <w:tc>
          <w:tcPr>
            <w:tcW w:w="26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(116,529)</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171,437</w:t>
            </w:r>
          </w:p>
        </w:tc>
      </w:tr>
      <w:tr>
        <w:trPr>
          <w:trHeight w:val="213"/>
        </w:trPr>
        <w:tc>
          <w:tcPr>
            <w:tcW w:w="7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change in cash, cash equivalents and restricted cash</w:t>
            </w:r>
          </w:p>
        </w:tc>
        <w:tc>
          <w:tcPr>
            <w:tcW w:w="26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34,489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217,326</w:t>
            </w:r>
          </w:p>
        </w:tc>
      </w:tr>
      <w:tr>
        <w:trPr>
          <w:trHeight w:val="213"/>
        </w:trPr>
        <w:tc>
          <w:tcPr>
            <w:tcW w:w="77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Cash, cash equivalents and restricted cash, beginning of year</w:t>
            </w:r>
          </w:p>
        </w:tc>
        <w:tc>
          <w:tcPr>
            <w:tcW w:w="2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375,159</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40,307</w:t>
            </w:r>
          </w:p>
        </w:tc>
      </w:tr>
      <w:tr>
        <w:trPr>
          <w:trHeight w:val="237"/>
        </w:trPr>
        <w:tc>
          <w:tcPr>
            <w:tcW w:w="7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cash equivalents and restricted cash, end of period</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409,648</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257,633</w:t>
            </w:r>
          </w:p>
        </w:tc>
      </w:tr>
      <w:tr>
        <w:trPr>
          <w:trHeight w:val="20"/>
        </w:trPr>
        <w:tc>
          <w:tcPr>
            <w:tcW w:w="77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r>
        <w:trPr>
          <w:trHeight w:val="109"/>
        </w:trPr>
        <w:tc>
          <w:tcPr>
            <w:tcW w:w="77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40" w:type="dxa"/>
            <w:vAlign w:val="bottom"/>
          </w:tcPr>
          <w:p>
            <w:pPr>
              <w:spacing w:after="0"/>
              <w:rPr>
                <w:sz w:val="9"/>
                <w:szCs w:val="9"/>
                <w:color w:val="auto"/>
              </w:rPr>
            </w:pPr>
          </w:p>
        </w:tc>
      </w:tr>
      <w:tr>
        <w:trPr>
          <w:trHeight w:val="216"/>
        </w:trPr>
        <w:tc>
          <w:tcPr>
            <w:tcW w:w="77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Supplemental cash flow disclosure information:</w:t>
            </w:r>
          </w:p>
        </w:tc>
        <w:tc>
          <w:tcPr>
            <w:tcW w:w="2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r>
      <w:tr>
        <w:trPr>
          <w:trHeight w:val="213"/>
        </w:trPr>
        <w:tc>
          <w:tcPr>
            <w:tcW w:w="7760" w:type="dxa"/>
            <w:vAlign w:val="bottom"/>
          </w:tcPr>
          <w:p>
            <w:pPr>
              <w:ind w:left="20"/>
              <w:spacing w:after="0"/>
              <w:rPr>
                <w:sz w:val="20"/>
                <w:szCs w:val="20"/>
                <w:color w:val="auto"/>
              </w:rPr>
            </w:pPr>
            <w:r>
              <w:rPr>
                <w:rFonts w:ascii="Arial" w:cs="Arial" w:eastAsia="Arial" w:hAnsi="Arial"/>
                <w:sz w:val="16"/>
                <w:szCs w:val="16"/>
                <w:color w:val="auto"/>
              </w:rPr>
              <w:t>Cash paid for interest</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420" w:type="dxa"/>
            <w:vAlign w:val="bottom"/>
          </w:tcPr>
          <w:p>
            <w:pPr>
              <w:jc w:val="right"/>
              <w:spacing w:after="0"/>
              <w:rPr>
                <w:sz w:val="20"/>
                <w:szCs w:val="20"/>
                <w:color w:val="auto"/>
              </w:rPr>
            </w:pPr>
            <w:r>
              <w:rPr>
                <w:rFonts w:ascii="Arial" w:cs="Arial" w:eastAsia="Arial" w:hAnsi="Arial"/>
                <w:sz w:val="16"/>
                <w:szCs w:val="16"/>
                <w:color w:val="auto"/>
              </w:rPr>
              <w:t>14,640</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13,810</w:t>
            </w:r>
          </w:p>
        </w:tc>
      </w:tr>
      <w:tr>
        <w:trPr>
          <w:trHeight w:val="219"/>
        </w:trPr>
        <w:tc>
          <w:tcPr>
            <w:tcW w:w="7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paid (received) for taxes</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6,995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(1,452)</w:t>
            </w:r>
          </w:p>
        </w:tc>
      </w:tr>
      <w:tr>
        <w:trPr>
          <w:trHeight w:val="210"/>
        </w:trPr>
        <w:tc>
          <w:tcPr>
            <w:tcW w:w="7760" w:type="dxa"/>
            <w:vAlign w:val="bottom"/>
          </w:tcPr>
          <w:p>
            <w:pPr>
              <w:ind w:left="20"/>
              <w:spacing w:after="0"/>
              <w:rPr>
                <w:sz w:val="20"/>
                <w:szCs w:val="20"/>
                <w:color w:val="auto"/>
              </w:rPr>
            </w:pPr>
            <w:r>
              <w:rPr>
                <w:rFonts w:ascii="Arial" w:cs="Arial" w:eastAsia="Arial" w:hAnsi="Arial"/>
                <w:sz w:val="16"/>
                <w:szCs w:val="16"/>
                <w:color w:val="auto"/>
              </w:rPr>
              <w:t>Capital expenditures accrued at the end of the period</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420" w:type="dxa"/>
            <w:vAlign w:val="bottom"/>
          </w:tcPr>
          <w:p>
            <w:pPr>
              <w:jc w:val="right"/>
              <w:spacing w:after="0"/>
              <w:rPr>
                <w:sz w:val="20"/>
                <w:szCs w:val="20"/>
                <w:color w:val="auto"/>
              </w:rPr>
            </w:pPr>
            <w:r>
              <w:rPr>
                <w:rFonts w:ascii="Arial" w:cs="Arial" w:eastAsia="Arial" w:hAnsi="Arial"/>
                <w:sz w:val="16"/>
                <w:szCs w:val="16"/>
                <w:color w:val="auto"/>
              </w:rPr>
              <w:t>8,827</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11,265</w:t>
            </w:r>
          </w:p>
        </w:tc>
      </w:tr>
    </w:tbl>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9" w:name="page10"/>
    <w:bookmarkEnd w:id="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National Vision Holdings, Inc.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Business and Basis of Presentation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Nature of Operations</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National Vision Holdings, Inc. (“NVHI,” the “Company,” “we,” “our,” or “us”) is a holding company whose operating subsidiaries include its indirect wholly owned subsidiary, National Vision, Inc. (“NVI”) and NVI’s wholly owned subsidiaries. We are a leading value retailer of eyeglasses and contact lenses in the United States. We operated 1,249 and 1,205 retail optical locations in the United States and its territories as of July 3, 2021 and January 2, 2021, respectively, through our five store brands, including America’s Best Contacts and Eyeglasses (“America’s Best”), Eyeglass World, Vista Optical locations on select U.S. Army/Air Force military bases (“Military”) and within select Fred Meyer stores, and our management &amp; services arrangement with Walmart (“Legacy”).</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of Presentation</w:t>
      </w:r>
    </w:p>
    <w:p>
      <w:pPr>
        <w:spacing w:after="0" w:line="11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prepare our unaudited interim condensed consolidated financial statements in accordance with accounting principles generally accepted in the United States of America (“U.S. GAAP”) for interim financial information and, therefore, do not include all information and disclosures required by U.S. GAAP for complete consolidated financial statements. The condensed consolidated balance sheet as of January 2, 2021 has been derived from the audited consolidated balance sheet for the fiscal year then ended. These condensed consolidated financial statements reflect all normal and recurring adjustments which are, in the opinion of management, necessary to present fairly the Company’s consolidated results of the interim period. Certain prior year amounts in the Condensed Consolidated Statements of Cash Flows have been reclassified to conform to the current presentation.</w:t>
      </w:r>
    </w:p>
    <w:p>
      <w:pPr>
        <w:spacing w:after="0" w:line="7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 xml:space="preserve">Certain information and disclosures normally included in our annual consolidated financial statements have been condensed or omitted; however, we believe that the disclosures included herein are sufficient for a fair presentation of the information presented. These condensed consolidated financial statements should be read in conjunction with our audited consolidated financial statements and the notes thereto for the fiscal year ended January 2, 2021 included in the 2020 Annual Report on Form 10-K. The Company’s significant accounting policies are set forth in Note 1 within those consolidated financial statements. We use the same accounting policies in preparing interim condensed consolidated financial information and annual consolidated financial statements. There were no changes to our significant accounting policies during the six months ended July 3, 2021, except for the adoption of Accounting Standards Update (“ASU”) No. 2020-06, </w:t>
      </w:r>
      <w:r>
        <w:rPr>
          <w:rFonts w:ascii="Arial" w:cs="Arial" w:eastAsia="Arial" w:hAnsi="Arial"/>
          <w:sz w:val="17"/>
          <w:szCs w:val="17"/>
          <w:i w:val="1"/>
          <w:iCs w:val="1"/>
          <w:color w:val="auto"/>
        </w:rPr>
        <w:t>Debt—Debt with Conversion and Other Options (Subtopic 470-20) and Derivatives and Hedging—</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Contracts in Entity’s Own Equity (Subtopic 815-40): Accounting for Convertible Instruments and Contracts in an Entity’s Own Equity </w:t>
      </w:r>
      <w:r>
        <w:rPr>
          <w:rFonts w:ascii="Arial" w:cs="Arial" w:eastAsia="Arial" w:hAnsi="Arial"/>
          <w:sz w:val="17"/>
          <w:szCs w:val="17"/>
          <w:color w:val="auto"/>
        </w:rPr>
        <w:t>(“ASU 2020-06”)</w:t>
      </w:r>
      <w:r>
        <w:rPr>
          <w:rFonts w:ascii="Arial" w:cs="Arial" w:eastAsia="Arial" w:hAnsi="Arial"/>
          <w:sz w:val="17"/>
          <w:szCs w:val="17"/>
          <w:i w:val="1"/>
          <w:iCs w:val="1"/>
          <w:color w:val="auto"/>
        </w:rPr>
        <w:t xml:space="preserve">. </w:t>
      </w:r>
      <w:r>
        <w:rPr>
          <w:rFonts w:ascii="Arial" w:cs="Arial" w:eastAsia="Arial" w:hAnsi="Arial"/>
          <w:sz w:val="17"/>
          <w:szCs w:val="17"/>
          <w:color w:val="auto"/>
        </w:rPr>
        <w:t>See “Adoption of New Accounting Pronouncements” below for further discussion.</w:t>
      </w:r>
    </w:p>
    <w:p>
      <w:pPr>
        <w:spacing w:after="0" w:line="7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condensed consolidated financial statements include our accounts and those of our subsidiaries, all of which are wholly-owned. All intercompany balances and transactions have been eliminated in consolidation.</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Fiscal Year</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fiscal year consists of 52 or 53 weeks ending on the Saturday closest to December 31. Fiscal year 2021 contains 52 weeks and will end on January 1, 2022. All three and six month periods presented herein contain 13 and 26 weeks, respectively. All references to years and quarters relate to fiscal periods rather than calendar periods.</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 w:name="page11"/>
    <w:bookmarkEnd w:id="1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Seasonality</w:t>
      </w:r>
    </w:p>
    <w:p>
      <w:pPr>
        <w:spacing w:after="0" w:line="11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consolidated results of operations for the three and six months ended July 3, 2021 and June 27, 2020, are not necessarily indicative of the results to be expected for the full fiscal year due to seasonality and uncertainty of general economic conditions that may impact our key end markets. Historically, our business has realized a higher portion of net revenue, income from operations, and cash flows from operations in the first half of the year, and a lower portion of net revenue, income from operations, and cash flows from operations in the fourth fiscal quarter. The first half seasonality is attributable primarily to the timing of our customers’ personal income tax refunds and annual health insurance program start/reset periods. Seasonality related to fourth quarter holiday spending by retail customers generally does not impact our business. Our quarterly consolidated results generally may also be affected by the timing of new store openings, store closings, and certain holidays.</w:t>
      </w:r>
    </w:p>
    <w:p>
      <w:pPr>
        <w:spacing w:after="0" w:line="69"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The COVID-19 pandemic resulted in the temporary closure of our stores for a portion of the first half of fiscal year 2020 and caused changes in fiscal year 2020 seasonality. COVID-19 may continue to cause changes to the seasonality we have historically experienced in fiscal year 2021 and beyond.</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Use of Estimates</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preparation of financial statements in conformity with U.S.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11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Our income tax provision for the three months ended July 3, 2021 and June 27, 2020 reflected our statutory federal and state rate of 25.5%, offset by discrete benefits from stock option exercises of $4.1 million and $0.3 million, respectively. Our income tax provision for the six months ended July 3, 2021 and June 27, 2020 reflected our statutory federal and state rate of 25.5% offset by discrete benefits from stock option exercises of $4.5 million and $3.0 million, respectively, and a stranded tax effect of $2.1 million associated with our matured interest rate swaps during the six months ended July 3, 2021.</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i w:val="1"/>
          <w:iCs w:val="1"/>
          <w:color w:val="252525"/>
        </w:rPr>
        <w:t>Adoption of New Accounting Pronouncements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Convertible Instruments and Contracts in an Entity’s Own Equity. </w:t>
      </w:r>
      <w:r>
        <w:rPr>
          <w:rFonts w:ascii="Arial" w:cs="Arial" w:eastAsia="Arial" w:hAnsi="Arial"/>
          <w:sz w:val="16"/>
          <w:szCs w:val="16"/>
          <w:color w:val="auto"/>
        </w:rPr>
        <w:t>In August 2020, the Financial Accounting Standards Board (“FASB”) issued ASU 2020-</w:t>
      </w:r>
    </w:p>
    <w:p>
      <w:pPr>
        <w:spacing w:after="0" w:line="46" w:lineRule="exact"/>
        <w:rPr>
          <w:sz w:val="20"/>
          <w:szCs w:val="20"/>
          <w:color w:val="auto"/>
        </w:rPr>
      </w:pPr>
    </w:p>
    <w:p>
      <w:pPr>
        <w:jc w:val="both"/>
        <w:ind w:firstLine="8"/>
        <w:spacing w:after="0" w:line="286" w:lineRule="auto"/>
        <w:tabs>
          <w:tab w:leader="none" w:pos="294" w:val="left"/>
        </w:tabs>
        <w:numPr>
          <w:ilvl w:val="0"/>
          <w:numId w:val="5"/>
        </w:numPr>
        <w:rPr>
          <w:rFonts w:ascii="Arial" w:cs="Arial" w:eastAsia="Arial" w:hAnsi="Arial"/>
          <w:sz w:val="16"/>
          <w:szCs w:val="16"/>
          <w:color w:val="auto"/>
        </w:rPr>
      </w:pPr>
      <w:r>
        <w:rPr>
          <w:rFonts w:ascii="Arial" w:cs="Arial" w:eastAsia="Arial" w:hAnsi="Arial"/>
          <w:sz w:val="16"/>
          <w:szCs w:val="16"/>
          <w:color w:val="auto"/>
        </w:rPr>
        <w:t>This new guidance simplifies and adds disclosure requirements for the accounting and measurement of convertible instruments and the settlement assessment for contracts in an entity’s own equity. The guidance also requires the application of the if-converted method to calculate the impact of convertible instruments on diluted earnings per share. ASU 2020-06 is effective for fiscal years, and for interim periods within those fiscal years, beginning after December 15, 2021. The company early adopted the guidance in the first quarter of 2021 using the modified retrospective approach and recognized a cumulative effect of the change of $7.3 million as an adjustment to the opening balance of retained earnings. Upon adoption of ASU 2020-06 the Company eliminated the equity components related to its convertible debt and increased the related liability components by $82.9 million. In addition, as a result of the adoption, our deferred tax liabilities decreased by $18.8 million and additional paid-in capital decreased by $71.4 million. The adoption did not have an impact on the calculated weighted average shares outstanding used in the calculation of diluted EPS since the Company was using the if-converted method prior to the adoption of ASU 2020-06. Refer to Note 11. “Earnings per Share” for more information.</w:t>
      </w:r>
    </w:p>
    <w:p>
      <w:pPr>
        <w:spacing w:after="0" w:line="6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tables summarize the impact of adoption on the Company’s condensed consolidated statement of operations for the three and six months ended July 3, 2021:</w:t>
      </w: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 w:name="page12"/>
    <w:bookmarkEnd w:id="1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220" w:type="dxa"/>
            <w:vAlign w:val="bottom"/>
            <w:tcBorders>
              <w:bottom w:val="single" w:sz="8" w:color="auto"/>
            </w:tcBorders>
          </w:tcPr>
          <w:p>
            <w:pPr>
              <w:spacing w:after="0"/>
              <w:rPr>
                <w:sz w:val="20"/>
                <w:szCs w:val="20"/>
                <w:color w:val="auto"/>
              </w:rPr>
            </w:pPr>
          </w:p>
        </w:tc>
        <w:tc>
          <w:tcPr>
            <w:tcW w:w="2600" w:type="dxa"/>
            <w:vAlign w:val="bottom"/>
            <w:tcBorders>
              <w:bottom w:val="single" w:sz="8" w:color="auto"/>
            </w:tcBorders>
            <w:gridSpan w:val="5"/>
          </w:tcPr>
          <w:p>
            <w:pPr>
              <w:ind w:left="20"/>
              <w:spacing w:after="0"/>
              <w:rPr>
                <w:sz w:val="20"/>
                <w:szCs w:val="20"/>
                <w:color w:val="auto"/>
              </w:rPr>
            </w:pPr>
            <w:r>
              <w:rPr>
                <w:rFonts w:ascii="Arial" w:cs="Arial" w:eastAsia="Arial" w:hAnsi="Arial"/>
                <w:sz w:val="18"/>
                <w:szCs w:val="18"/>
                <w:color w:val="auto"/>
                <w:w w:val="94"/>
              </w:rPr>
              <w:t>Three Months Ended July 3, 2021</w:t>
            </w:r>
          </w:p>
        </w:tc>
        <w:tc>
          <w:tcPr>
            <w:tcW w:w="260" w:type="dxa"/>
            <w:vAlign w:val="bottom"/>
            <w:tcBorders>
              <w:bottom w:val="single" w:sz="8" w:color="auto"/>
            </w:tcBorders>
          </w:tcPr>
          <w:p>
            <w:pPr>
              <w:spacing w:after="0"/>
              <w:rPr>
                <w:sz w:val="20"/>
                <w:szCs w:val="20"/>
                <w:color w:val="auto"/>
              </w:rPr>
            </w:pPr>
          </w:p>
        </w:tc>
        <w:tc>
          <w:tcPr>
            <w:tcW w:w="19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406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In thousands (except earnings per share)</w:t>
            </w:r>
          </w:p>
        </w:tc>
        <w:tc>
          <w:tcPr>
            <w:tcW w:w="120" w:type="dxa"/>
            <w:vAlign w:val="bottom"/>
          </w:tcPr>
          <w:p>
            <w:pPr>
              <w:spacing w:after="0"/>
              <w:rPr>
                <w:sz w:val="14"/>
                <w:szCs w:val="14"/>
                <w:color w:val="auto"/>
              </w:rPr>
            </w:pPr>
          </w:p>
        </w:tc>
        <w:tc>
          <w:tcPr>
            <w:tcW w:w="2220" w:type="dxa"/>
            <w:vAlign w:val="bottom"/>
            <w:vMerge w:val="restart"/>
          </w:tcPr>
          <w:p>
            <w:pPr>
              <w:jc w:val="right"/>
              <w:spacing w:after="0"/>
              <w:rPr>
                <w:sz w:val="20"/>
                <w:szCs w:val="20"/>
                <w:color w:val="auto"/>
              </w:rPr>
            </w:pPr>
            <w:r>
              <w:rPr>
                <w:rFonts w:ascii="Arial" w:cs="Arial" w:eastAsia="Arial" w:hAnsi="Arial"/>
                <w:sz w:val="18"/>
                <w:szCs w:val="18"/>
                <w:color w:val="auto"/>
                <w:w w:val="94"/>
              </w:rPr>
              <w:t>With ASU 2020-06 Adoption</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0" w:type="dxa"/>
            <w:vAlign w:val="bottom"/>
            <w:gridSpan w:val="2"/>
          </w:tcPr>
          <w:p>
            <w:pPr>
              <w:jc w:val="center"/>
              <w:ind w:right="360"/>
              <w:spacing w:after="0" w:line="169" w:lineRule="exact"/>
              <w:rPr>
                <w:sz w:val="20"/>
                <w:szCs w:val="20"/>
                <w:color w:val="auto"/>
              </w:rPr>
            </w:pPr>
            <w:r>
              <w:rPr>
                <w:rFonts w:ascii="Arial" w:cs="Arial" w:eastAsia="Arial" w:hAnsi="Arial"/>
                <w:sz w:val="18"/>
                <w:szCs w:val="18"/>
                <w:color w:val="auto"/>
                <w:w w:val="94"/>
              </w:rPr>
              <w:t>Without ASU 2020-06</w:t>
            </w:r>
          </w:p>
        </w:tc>
        <w:tc>
          <w:tcPr>
            <w:tcW w:w="260" w:type="dxa"/>
            <w:vAlign w:val="bottom"/>
          </w:tcPr>
          <w:p>
            <w:pPr>
              <w:spacing w:after="0"/>
              <w:rPr>
                <w:sz w:val="14"/>
                <w:szCs w:val="14"/>
                <w:color w:val="auto"/>
              </w:rPr>
            </w:pPr>
          </w:p>
        </w:tc>
        <w:tc>
          <w:tcPr>
            <w:tcW w:w="1980" w:type="dxa"/>
            <w:vAlign w:val="bottom"/>
            <w:vMerge w:val="restart"/>
          </w:tcPr>
          <w:p>
            <w:pPr>
              <w:jc w:val="right"/>
              <w:ind w:right="330"/>
              <w:spacing w:after="0"/>
              <w:rPr>
                <w:sz w:val="20"/>
                <w:szCs w:val="20"/>
                <w:color w:val="auto"/>
              </w:rPr>
            </w:pPr>
            <w:r>
              <w:rPr>
                <w:rFonts w:ascii="Arial" w:cs="Arial" w:eastAsia="Arial" w:hAnsi="Arial"/>
                <w:sz w:val="18"/>
                <w:szCs w:val="18"/>
                <w:color w:val="auto"/>
              </w:rPr>
              <w:t>Impact of Adoption</w:t>
            </w:r>
          </w:p>
        </w:tc>
        <w:tc>
          <w:tcPr>
            <w:tcW w:w="0" w:type="dxa"/>
            <w:vAlign w:val="bottom"/>
          </w:tcPr>
          <w:p>
            <w:pPr>
              <w:spacing w:after="0"/>
              <w:rPr>
                <w:sz w:val="1"/>
                <w:szCs w:val="1"/>
                <w:color w:val="auto"/>
              </w:rPr>
            </w:pPr>
          </w:p>
        </w:tc>
      </w:tr>
      <w:tr>
        <w:trPr>
          <w:trHeight w:val="230"/>
        </w:trPr>
        <w:tc>
          <w:tcPr>
            <w:tcW w:w="40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220" w:type="dxa"/>
            <w:vAlign w:val="bottom"/>
            <w:vMerge w:val="continue"/>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0" w:type="dxa"/>
            <w:vAlign w:val="bottom"/>
            <w:gridSpan w:val="2"/>
          </w:tcPr>
          <w:p>
            <w:pPr>
              <w:jc w:val="center"/>
              <w:ind w:right="360"/>
              <w:spacing w:after="0"/>
              <w:rPr>
                <w:sz w:val="20"/>
                <w:szCs w:val="20"/>
                <w:color w:val="auto"/>
              </w:rPr>
            </w:pPr>
            <w:r>
              <w:rPr>
                <w:rFonts w:ascii="Arial" w:cs="Arial" w:eastAsia="Arial" w:hAnsi="Arial"/>
                <w:sz w:val="18"/>
                <w:szCs w:val="18"/>
                <w:color w:val="auto"/>
                <w:w w:val="95"/>
              </w:rPr>
              <w:t>Adoption</w:t>
            </w:r>
          </w:p>
        </w:tc>
        <w:tc>
          <w:tcPr>
            <w:tcW w:w="260" w:type="dxa"/>
            <w:vAlign w:val="bottom"/>
          </w:tcPr>
          <w:p>
            <w:pPr>
              <w:spacing w:after="0"/>
              <w:rPr>
                <w:sz w:val="19"/>
                <w:szCs w:val="19"/>
                <w:color w:val="auto"/>
              </w:rPr>
            </w:pPr>
          </w:p>
        </w:tc>
        <w:tc>
          <w:tcPr>
            <w:tcW w:w="19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06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spacing w:after="0"/>
              <w:rPr>
                <w:sz w:val="20"/>
                <w:szCs w:val="20"/>
                <w:color w:val="auto"/>
              </w:rPr>
            </w:pPr>
          </w:p>
        </w:tc>
        <w:tc>
          <w:tcPr>
            <w:tcW w:w="2220" w:type="dxa"/>
            <w:vAlign w:val="bottom"/>
            <w:tcBorders>
              <w:top w:val="single" w:sz="8" w:color="auto"/>
            </w:tcBorders>
            <w:shd w:val="clear" w:color="auto" w:fill="CCEEFF"/>
          </w:tcPr>
          <w:p>
            <w:pPr>
              <w:spacing w:after="0"/>
              <w:rPr>
                <w:sz w:val="20"/>
                <w:szCs w:val="20"/>
                <w:color w:val="auto"/>
              </w:rPr>
            </w:pPr>
          </w:p>
        </w:tc>
        <w:tc>
          <w:tcPr>
            <w:tcW w:w="40" w:type="dxa"/>
            <w:vAlign w:val="bottom"/>
            <w:tcBorders>
              <w:top w:val="single" w:sz="8" w:color="auto"/>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240" w:type="dxa"/>
            <w:vAlign w:val="bottom"/>
            <w:tcBorders>
              <w:top w:val="single" w:sz="8" w:color="auto"/>
            </w:tcBorders>
            <w:shd w:val="clear" w:color="auto" w:fill="CCEEFF"/>
          </w:tcPr>
          <w:p>
            <w:pPr>
              <w:spacing w:after="0"/>
              <w:rPr>
                <w:sz w:val="20"/>
                <w:szCs w:val="20"/>
                <w:color w:val="auto"/>
              </w:rPr>
            </w:pPr>
          </w:p>
        </w:tc>
        <w:tc>
          <w:tcPr>
            <w:tcW w:w="2080" w:type="dxa"/>
            <w:vAlign w:val="bottom"/>
            <w:tcBorders>
              <w:top w:val="single" w:sz="8" w:color="auto"/>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260" w:type="dxa"/>
            <w:vAlign w:val="bottom"/>
            <w:tcBorders>
              <w:top w:val="single" w:sz="8" w:color="auto"/>
            </w:tcBorders>
            <w:shd w:val="clear" w:color="auto" w:fill="CCEEFF"/>
          </w:tcPr>
          <w:p>
            <w:pPr>
              <w:spacing w:after="0"/>
              <w:rPr>
                <w:sz w:val="20"/>
                <w:szCs w:val="20"/>
                <w:color w:val="auto"/>
              </w:rPr>
            </w:pPr>
          </w:p>
        </w:tc>
        <w:tc>
          <w:tcPr>
            <w:tcW w:w="1980" w:type="dxa"/>
            <w:vAlign w:val="bottom"/>
            <w:tcBorders>
              <w:top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060" w:type="dxa"/>
            <w:vAlign w:val="bottom"/>
          </w:tcPr>
          <w:p>
            <w:pPr>
              <w:ind w:left="20"/>
              <w:spacing w:after="0"/>
              <w:rPr>
                <w:sz w:val="20"/>
                <w:szCs w:val="20"/>
                <w:color w:val="auto"/>
              </w:rPr>
            </w:pPr>
            <w:r>
              <w:rPr>
                <w:rFonts w:ascii="Arial" w:cs="Arial" w:eastAsia="Arial" w:hAnsi="Arial"/>
                <w:sz w:val="18"/>
                <w:szCs w:val="18"/>
                <w:color w:val="auto"/>
              </w:rPr>
              <w:t>Income from operations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2220" w:type="dxa"/>
            <w:vAlign w:val="bottom"/>
          </w:tcPr>
          <w:p>
            <w:pPr>
              <w:jc w:val="right"/>
              <w:spacing w:after="0"/>
              <w:rPr>
                <w:sz w:val="20"/>
                <w:szCs w:val="20"/>
                <w:color w:val="auto"/>
              </w:rPr>
            </w:pPr>
            <w:r>
              <w:rPr>
                <w:rFonts w:ascii="Arial" w:cs="Arial" w:eastAsia="Arial" w:hAnsi="Arial"/>
                <w:sz w:val="18"/>
                <w:szCs w:val="18"/>
                <w:color w:val="auto"/>
              </w:rPr>
              <w:t>54,829</w:t>
            </w:r>
          </w:p>
        </w:tc>
        <w:tc>
          <w:tcPr>
            <w:tcW w:w="400" w:type="dxa"/>
            <w:vAlign w:val="bottom"/>
            <w:gridSpan w:val="3"/>
          </w:tcPr>
          <w:p>
            <w:pPr>
              <w:jc w:val="right"/>
              <w:ind w:right="30"/>
              <w:spacing w:after="0"/>
              <w:rPr>
                <w:sz w:val="20"/>
                <w:szCs w:val="20"/>
                <w:color w:val="auto"/>
              </w:rPr>
            </w:pPr>
            <w:r>
              <w:rPr>
                <w:rFonts w:ascii="Arial" w:cs="Arial" w:eastAsia="Arial" w:hAnsi="Arial"/>
                <w:sz w:val="18"/>
                <w:szCs w:val="18"/>
                <w:color w:val="auto"/>
              </w:rPr>
              <w:t>$</w:t>
            </w:r>
          </w:p>
        </w:tc>
        <w:tc>
          <w:tcPr>
            <w:tcW w:w="2080" w:type="dxa"/>
            <w:vAlign w:val="bottom"/>
          </w:tcPr>
          <w:p>
            <w:pPr>
              <w:jc w:val="right"/>
              <w:spacing w:after="0"/>
              <w:rPr>
                <w:sz w:val="20"/>
                <w:szCs w:val="20"/>
                <w:color w:val="auto"/>
              </w:rPr>
            </w:pPr>
            <w:r>
              <w:rPr>
                <w:rFonts w:ascii="Arial" w:cs="Arial" w:eastAsia="Arial" w:hAnsi="Arial"/>
                <w:sz w:val="18"/>
                <w:szCs w:val="18"/>
                <w:color w:val="auto"/>
              </w:rPr>
              <w:t>54,829</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9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expense, net</w:t>
            </w:r>
          </w:p>
        </w:tc>
        <w:tc>
          <w:tcPr>
            <w:tcW w:w="120" w:type="dxa"/>
            <w:vAlign w:val="bottom"/>
            <w:shd w:val="clear" w:color="auto" w:fill="CCEEFF"/>
          </w:tcPr>
          <w:p>
            <w:pPr>
              <w:spacing w:after="0"/>
              <w:rPr>
                <w:sz w:val="19"/>
                <w:szCs w:val="19"/>
                <w:color w:val="auto"/>
              </w:rPr>
            </w:pPr>
          </w:p>
        </w:tc>
        <w:tc>
          <w:tcPr>
            <w:tcW w:w="2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10,096</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14,040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(3,944)</w:t>
            </w:r>
          </w:p>
        </w:tc>
        <w:tc>
          <w:tcPr>
            <w:tcW w:w="0" w:type="dxa"/>
            <w:vAlign w:val="bottom"/>
          </w:tcPr>
          <w:p>
            <w:pPr>
              <w:spacing w:after="0"/>
              <w:rPr>
                <w:sz w:val="1"/>
                <w:szCs w:val="1"/>
                <w:color w:val="auto"/>
              </w:rPr>
            </w:pPr>
          </w:p>
        </w:tc>
      </w:tr>
      <w:tr>
        <w:trPr>
          <w:trHeight w:val="230"/>
        </w:trPr>
        <w:tc>
          <w:tcPr>
            <w:tcW w:w="40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Debt issuance costs</w:t>
            </w:r>
          </w:p>
        </w:tc>
        <w:tc>
          <w:tcPr>
            <w:tcW w:w="120" w:type="dxa"/>
            <w:vAlign w:val="bottom"/>
            <w:tcBorders>
              <w:bottom w:val="single" w:sz="8" w:color="auto"/>
            </w:tcBorders>
          </w:tcPr>
          <w:p>
            <w:pPr>
              <w:spacing w:after="0"/>
              <w:rPr>
                <w:sz w:val="19"/>
                <w:szCs w:val="19"/>
                <w:color w:val="auto"/>
              </w:rPr>
            </w:pPr>
          </w:p>
        </w:tc>
        <w:tc>
          <w:tcPr>
            <w:tcW w:w="2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w:t>
            </w:r>
          </w:p>
        </w:tc>
        <w:tc>
          <w:tcPr>
            <w:tcW w:w="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w:t>
            </w:r>
          </w:p>
        </w:tc>
        <w:tc>
          <w:tcPr>
            <w:tcW w:w="1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Earnings before income taxes</w:t>
            </w:r>
          </w:p>
        </w:tc>
        <w:tc>
          <w:tcPr>
            <w:tcW w:w="120" w:type="dxa"/>
            <w:vAlign w:val="bottom"/>
            <w:shd w:val="clear" w:color="auto" w:fill="CCEEFF"/>
          </w:tcPr>
          <w:p>
            <w:pPr>
              <w:spacing w:after="0"/>
              <w:rPr>
                <w:sz w:val="19"/>
                <w:szCs w:val="19"/>
                <w:color w:val="auto"/>
              </w:rPr>
            </w:pPr>
          </w:p>
        </w:tc>
        <w:tc>
          <w:tcPr>
            <w:tcW w:w="2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44,641</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40,697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3,944</w:t>
            </w:r>
          </w:p>
        </w:tc>
        <w:tc>
          <w:tcPr>
            <w:tcW w:w="0" w:type="dxa"/>
            <w:vAlign w:val="bottom"/>
          </w:tcPr>
          <w:p>
            <w:pPr>
              <w:spacing w:after="0"/>
              <w:rPr>
                <w:sz w:val="1"/>
                <w:szCs w:val="1"/>
                <w:color w:val="auto"/>
              </w:rPr>
            </w:pPr>
          </w:p>
        </w:tc>
      </w:tr>
      <w:tr>
        <w:trPr>
          <w:trHeight w:val="230"/>
        </w:trPr>
        <w:tc>
          <w:tcPr>
            <w:tcW w:w="40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Income tax provision</w:t>
            </w:r>
          </w:p>
        </w:tc>
        <w:tc>
          <w:tcPr>
            <w:tcW w:w="120" w:type="dxa"/>
            <w:vAlign w:val="bottom"/>
            <w:tcBorders>
              <w:bottom w:val="single" w:sz="8" w:color="auto"/>
            </w:tcBorders>
          </w:tcPr>
          <w:p>
            <w:pPr>
              <w:spacing w:after="0"/>
              <w:rPr>
                <w:sz w:val="19"/>
                <w:szCs w:val="19"/>
                <w:color w:val="auto"/>
              </w:rPr>
            </w:pPr>
          </w:p>
        </w:tc>
        <w:tc>
          <w:tcPr>
            <w:tcW w:w="2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7,040</w:t>
            </w:r>
          </w:p>
        </w:tc>
        <w:tc>
          <w:tcPr>
            <w:tcW w:w="4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6,144</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896</w:t>
            </w:r>
          </w:p>
        </w:tc>
        <w:tc>
          <w:tcPr>
            <w:tcW w:w="0" w:type="dxa"/>
            <w:vAlign w:val="bottom"/>
          </w:tcPr>
          <w:p>
            <w:pPr>
              <w:spacing w:after="0"/>
              <w:rPr>
                <w:sz w:val="1"/>
                <w:szCs w:val="1"/>
                <w:color w:val="auto"/>
              </w:rPr>
            </w:pPr>
          </w:p>
        </w:tc>
      </w:tr>
      <w:tr>
        <w:trPr>
          <w:trHeight w:val="248"/>
        </w:trPr>
        <w:tc>
          <w:tcPr>
            <w:tcW w:w="4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37,601</w:t>
            </w:r>
          </w:p>
        </w:tc>
        <w:tc>
          <w:tcPr>
            <w:tcW w:w="4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2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34,553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3,048</w:t>
            </w:r>
          </w:p>
        </w:tc>
        <w:tc>
          <w:tcPr>
            <w:tcW w:w="0" w:type="dxa"/>
            <w:vAlign w:val="bottom"/>
          </w:tcPr>
          <w:p>
            <w:pPr>
              <w:spacing w:after="0"/>
              <w:rPr>
                <w:sz w:val="1"/>
                <w:szCs w:val="1"/>
                <w:color w:val="auto"/>
              </w:rPr>
            </w:pPr>
          </w:p>
        </w:tc>
      </w:tr>
      <w:tr>
        <w:trPr>
          <w:trHeight w:val="20"/>
        </w:trPr>
        <w:tc>
          <w:tcPr>
            <w:tcW w:w="40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Earnings per share:</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2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2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06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4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Basic</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0.46</w:t>
            </w:r>
          </w:p>
        </w:tc>
        <w:tc>
          <w:tcPr>
            <w:tcW w:w="400" w:type="dxa"/>
            <w:vAlign w:val="bottom"/>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230"/>
        </w:trPr>
        <w:tc>
          <w:tcPr>
            <w:tcW w:w="4060" w:type="dxa"/>
            <w:vAlign w:val="bottom"/>
          </w:tcPr>
          <w:p>
            <w:pPr>
              <w:ind w:left="220"/>
              <w:spacing w:after="0"/>
              <w:rPr>
                <w:sz w:val="20"/>
                <w:szCs w:val="20"/>
                <w:color w:val="auto"/>
              </w:rPr>
            </w:pPr>
            <w:r>
              <w:rPr>
                <w:rFonts w:ascii="Arial" w:cs="Arial" w:eastAsia="Arial" w:hAnsi="Arial"/>
                <w:sz w:val="18"/>
                <w:szCs w:val="18"/>
                <w:color w:val="auto"/>
              </w:rPr>
              <w:t>Diluted</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2220" w:type="dxa"/>
            <w:vAlign w:val="bottom"/>
          </w:tcPr>
          <w:p>
            <w:pPr>
              <w:jc w:val="right"/>
              <w:spacing w:after="0"/>
              <w:rPr>
                <w:sz w:val="20"/>
                <w:szCs w:val="20"/>
                <w:color w:val="auto"/>
              </w:rPr>
            </w:pPr>
            <w:r>
              <w:rPr>
                <w:rFonts w:ascii="Arial" w:cs="Arial" w:eastAsia="Arial" w:hAnsi="Arial"/>
                <w:sz w:val="18"/>
                <w:szCs w:val="18"/>
                <w:color w:val="auto"/>
              </w:rPr>
              <w:t>0.42</w:t>
            </w:r>
          </w:p>
        </w:tc>
        <w:tc>
          <w:tcPr>
            <w:tcW w:w="400" w:type="dxa"/>
            <w:vAlign w:val="bottom"/>
            <w:gridSpan w:val="3"/>
          </w:tcPr>
          <w:p>
            <w:pPr>
              <w:jc w:val="right"/>
              <w:ind w:right="30"/>
              <w:spacing w:after="0"/>
              <w:rPr>
                <w:sz w:val="20"/>
                <w:szCs w:val="20"/>
                <w:color w:val="auto"/>
              </w:rPr>
            </w:pPr>
            <w:r>
              <w:rPr>
                <w:rFonts w:ascii="Arial" w:cs="Arial" w:eastAsia="Arial" w:hAnsi="Arial"/>
                <w:sz w:val="18"/>
                <w:szCs w:val="18"/>
                <w:color w:val="auto"/>
              </w:rPr>
              <w:t>$</w:t>
            </w:r>
          </w:p>
        </w:tc>
        <w:tc>
          <w:tcPr>
            <w:tcW w:w="2080" w:type="dxa"/>
            <w:vAlign w:val="bottom"/>
          </w:tcPr>
          <w:p>
            <w:pPr>
              <w:jc w:val="right"/>
              <w:spacing w:after="0"/>
              <w:rPr>
                <w:sz w:val="20"/>
                <w:szCs w:val="20"/>
                <w:color w:val="auto"/>
              </w:rPr>
            </w:pPr>
            <w:r>
              <w:rPr>
                <w:rFonts w:ascii="Arial" w:cs="Arial" w:eastAsia="Arial" w:hAnsi="Arial"/>
                <w:sz w:val="18"/>
                <w:szCs w:val="18"/>
                <w:color w:val="auto"/>
              </w:rPr>
              <w:t>0.42</w:t>
            </w:r>
          </w:p>
        </w:tc>
        <w:tc>
          <w:tcPr>
            <w:tcW w:w="12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9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1200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20015"/>
                    </a:xfrm>
                    <a:prstGeom prst="rect">
                      <a:avLst/>
                    </a:prstGeom>
                    <a:noFill/>
                  </pic:spPr>
                </pic:pic>
              </a:graphicData>
            </a:graphic>
          </wp:anchor>
        </w:drawing>
      </w:r>
    </w:p>
    <w:p>
      <w:pPr>
        <w:ind w:left="220"/>
        <w:spacing w:after="0"/>
        <w:rPr>
          <w:sz w:val="20"/>
          <w:szCs w:val="20"/>
          <w:color w:val="auto"/>
        </w:rPr>
      </w:pPr>
      <w:r>
        <w:rPr>
          <w:rFonts w:ascii="Arial" w:cs="Arial" w:eastAsia="Arial" w:hAnsi="Arial"/>
          <w:sz w:val="14"/>
          <w:szCs w:val="14"/>
          <w:i w:val="1"/>
          <w:iCs w:val="1"/>
          <w:color w:val="auto"/>
        </w:rPr>
        <w:t>Impact of adoption on basic earnings per share is calculated using impact on net income divided by basic weighted average shares outstanding during the period.</w:t>
      </w:r>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260" w:type="dxa"/>
            <w:vAlign w:val="bottom"/>
            <w:tcBorders>
              <w:bottom w:val="single" w:sz="8" w:color="auto"/>
            </w:tcBorders>
          </w:tcPr>
          <w:p>
            <w:pPr>
              <w:spacing w:after="0"/>
              <w:rPr>
                <w:sz w:val="20"/>
                <w:szCs w:val="20"/>
                <w:color w:val="auto"/>
              </w:rPr>
            </w:pPr>
          </w:p>
        </w:tc>
        <w:tc>
          <w:tcPr>
            <w:tcW w:w="2560" w:type="dxa"/>
            <w:vAlign w:val="bottom"/>
            <w:tcBorders>
              <w:bottom w:val="single" w:sz="8" w:color="auto"/>
            </w:tcBorders>
            <w:gridSpan w:val="4"/>
          </w:tcPr>
          <w:p>
            <w:pPr>
              <w:ind w:left="80"/>
              <w:spacing w:after="0"/>
              <w:rPr>
                <w:sz w:val="20"/>
                <w:szCs w:val="20"/>
                <w:color w:val="auto"/>
              </w:rPr>
            </w:pPr>
            <w:r>
              <w:rPr>
                <w:rFonts w:ascii="Arial" w:cs="Arial" w:eastAsia="Arial" w:hAnsi="Arial"/>
                <w:sz w:val="18"/>
                <w:szCs w:val="18"/>
                <w:color w:val="auto"/>
                <w:w w:val="99"/>
              </w:rPr>
              <w:t>Six Months Ended July 3, 2021</w:t>
            </w:r>
          </w:p>
        </w:tc>
        <w:tc>
          <w:tcPr>
            <w:tcW w:w="260" w:type="dxa"/>
            <w:vAlign w:val="bottom"/>
            <w:tcBorders>
              <w:bottom w:val="single" w:sz="8" w:color="auto"/>
            </w:tcBorders>
          </w:tcPr>
          <w:p>
            <w:pPr>
              <w:spacing w:after="0"/>
              <w:rPr>
                <w:sz w:val="20"/>
                <w:szCs w:val="20"/>
                <w:color w:val="auto"/>
              </w:rPr>
            </w:pPr>
          </w:p>
        </w:tc>
        <w:tc>
          <w:tcPr>
            <w:tcW w:w="19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406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In thousands (except earnings per share)</w:t>
            </w:r>
          </w:p>
        </w:tc>
        <w:tc>
          <w:tcPr>
            <w:tcW w:w="120" w:type="dxa"/>
            <w:vAlign w:val="bottom"/>
          </w:tcPr>
          <w:p>
            <w:pPr>
              <w:spacing w:after="0"/>
              <w:rPr>
                <w:sz w:val="14"/>
                <w:szCs w:val="14"/>
                <w:color w:val="auto"/>
              </w:rPr>
            </w:pPr>
          </w:p>
        </w:tc>
        <w:tc>
          <w:tcPr>
            <w:tcW w:w="2260" w:type="dxa"/>
            <w:vAlign w:val="bottom"/>
            <w:vMerge w:val="restart"/>
          </w:tcPr>
          <w:p>
            <w:pPr>
              <w:jc w:val="right"/>
              <w:ind w:right="30"/>
              <w:spacing w:after="0"/>
              <w:rPr>
                <w:sz w:val="20"/>
                <w:szCs w:val="20"/>
                <w:color w:val="auto"/>
              </w:rPr>
            </w:pPr>
            <w:r>
              <w:rPr>
                <w:rFonts w:ascii="Arial" w:cs="Arial" w:eastAsia="Arial" w:hAnsi="Arial"/>
                <w:sz w:val="18"/>
                <w:szCs w:val="18"/>
                <w:color w:val="auto"/>
                <w:w w:val="94"/>
              </w:rPr>
              <w:t>With ASU 2020-06 Adoption</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0" w:type="dxa"/>
            <w:vAlign w:val="bottom"/>
            <w:gridSpan w:val="2"/>
          </w:tcPr>
          <w:p>
            <w:pPr>
              <w:jc w:val="center"/>
              <w:ind w:right="360"/>
              <w:spacing w:after="0" w:line="169" w:lineRule="exact"/>
              <w:rPr>
                <w:sz w:val="20"/>
                <w:szCs w:val="20"/>
                <w:color w:val="auto"/>
              </w:rPr>
            </w:pPr>
            <w:r>
              <w:rPr>
                <w:rFonts w:ascii="Arial" w:cs="Arial" w:eastAsia="Arial" w:hAnsi="Arial"/>
                <w:sz w:val="18"/>
                <w:szCs w:val="18"/>
                <w:color w:val="auto"/>
                <w:w w:val="94"/>
              </w:rPr>
              <w:t>Without ASU 2020-06</w:t>
            </w:r>
          </w:p>
        </w:tc>
        <w:tc>
          <w:tcPr>
            <w:tcW w:w="260" w:type="dxa"/>
            <w:vAlign w:val="bottom"/>
          </w:tcPr>
          <w:p>
            <w:pPr>
              <w:spacing w:after="0"/>
              <w:rPr>
                <w:sz w:val="14"/>
                <w:szCs w:val="14"/>
                <w:color w:val="auto"/>
              </w:rPr>
            </w:pPr>
          </w:p>
        </w:tc>
        <w:tc>
          <w:tcPr>
            <w:tcW w:w="1980" w:type="dxa"/>
            <w:vAlign w:val="bottom"/>
            <w:vMerge w:val="restart"/>
          </w:tcPr>
          <w:p>
            <w:pPr>
              <w:jc w:val="right"/>
              <w:ind w:right="330"/>
              <w:spacing w:after="0"/>
              <w:rPr>
                <w:sz w:val="20"/>
                <w:szCs w:val="20"/>
                <w:color w:val="auto"/>
              </w:rPr>
            </w:pPr>
            <w:r>
              <w:rPr>
                <w:rFonts w:ascii="Arial" w:cs="Arial" w:eastAsia="Arial" w:hAnsi="Arial"/>
                <w:sz w:val="18"/>
                <w:szCs w:val="18"/>
                <w:color w:val="auto"/>
              </w:rPr>
              <w:t>Impact of Adoption</w:t>
            </w:r>
          </w:p>
        </w:tc>
        <w:tc>
          <w:tcPr>
            <w:tcW w:w="0" w:type="dxa"/>
            <w:vAlign w:val="bottom"/>
          </w:tcPr>
          <w:p>
            <w:pPr>
              <w:spacing w:after="0"/>
              <w:rPr>
                <w:sz w:val="1"/>
                <w:szCs w:val="1"/>
                <w:color w:val="auto"/>
              </w:rPr>
            </w:pPr>
          </w:p>
        </w:tc>
      </w:tr>
      <w:tr>
        <w:trPr>
          <w:trHeight w:val="230"/>
        </w:trPr>
        <w:tc>
          <w:tcPr>
            <w:tcW w:w="40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2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0" w:type="dxa"/>
            <w:vAlign w:val="bottom"/>
            <w:gridSpan w:val="2"/>
          </w:tcPr>
          <w:p>
            <w:pPr>
              <w:jc w:val="center"/>
              <w:ind w:right="360"/>
              <w:spacing w:after="0"/>
              <w:rPr>
                <w:sz w:val="20"/>
                <w:szCs w:val="20"/>
                <w:color w:val="auto"/>
              </w:rPr>
            </w:pPr>
            <w:r>
              <w:rPr>
                <w:rFonts w:ascii="Arial" w:cs="Arial" w:eastAsia="Arial" w:hAnsi="Arial"/>
                <w:sz w:val="18"/>
                <w:szCs w:val="18"/>
                <w:color w:val="auto"/>
                <w:w w:val="95"/>
              </w:rPr>
              <w:t>Adoption</w:t>
            </w:r>
          </w:p>
        </w:tc>
        <w:tc>
          <w:tcPr>
            <w:tcW w:w="260" w:type="dxa"/>
            <w:vAlign w:val="bottom"/>
          </w:tcPr>
          <w:p>
            <w:pPr>
              <w:spacing w:after="0"/>
              <w:rPr>
                <w:sz w:val="19"/>
                <w:szCs w:val="19"/>
                <w:color w:val="auto"/>
              </w:rPr>
            </w:pPr>
          </w:p>
        </w:tc>
        <w:tc>
          <w:tcPr>
            <w:tcW w:w="19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06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spacing w:after="0"/>
              <w:rPr>
                <w:sz w:val="20"/>
                <w:szCs w:val="20"/>
                <w:color w:val="auto"/>
              </w:rPr>
            </w:pPr>
          </w:p>
        </w:tc>
        <w:tc>
          <w:tcPr>
            <w:tcW w:w="2260" w:type="dxa"/>
            <w:vAlign w:val="bottom"/>
            <w:tcBorders>
              <w:top w:val="single" w:sz="8" w:color="auto"/>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240" w:type="dxa"/>
            <w:vAlign w:val="bottom"/>
            <w:tcBorders>
              <w:top w:val="single" w:sz="8" w:color="auto"/>
            </w:tcBorders>
            <w:shd w:val="clear" w:color="auto" w:fill="CCEEFF"/>
          </w:tcPr>
          <w:p>
            <w:pPr>
              <w:spacing w:after="0"/>
              <w:rPr>
                <w:sz w:val="20"/>
                <w:szCs w:val="20"/>
                <w:color w:val="auto"/>
              </w:rPr>
            </w:pPr>
          </w:p>
        </w:tc>
        <w:tc>
          <w:tcPr>
            <w:tcW w:w="2080" w:type="dxa"/>
            <w:vAlign w:val="bottom"/>
            <w:tcBorders>
              <w:top w:val="single" w:sz="8" w:color="auto"/>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260" w:type="dxa"/>
            <w:vAlign w:val="bottom"/>
            <w:tcBorders>
              <w:top w:val="single" w:sz="8" w:color="auto"/>
            </w:tcBorders>
            <w:shd w:val="clear" w:color="auto" w:fill="CCEEFF"/>
          </w:tcPr>
          <w:p>
            <w:pPr>
              <w:spacing w:after="0"/>
              <w:rPr>
                <w:sz w:val="20"/>
                <w:szCs w:val="20"/>
                <w:color w:val="auto"/>
              </w:rPr>
            </w:pPr>
          </w:p>
        </w:tc>
        <w:tc>
          <w:tcPr>
            <w:tcW w:w="1980" w:type="dxa"/>
            <w:vAlign w:val="bottom"/>
            <w:tcBorders>
              <w:top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060" w:type="dxa"/>
            <w:vAlign w:val="bottom"/>
          </w:tcPr>
          <w:p>
            <w:pPr>
              <w:ind w:left="20"/>
              <w:spacing w:after="0"/>
              <w:rPr>
                <w:sz w:val="20"/>
                <w:szCs w:val="20"/>
                <w:color w:val="auto"/>
              </w:rPr>
            </w:pPr>
            <w:r>
              <w:rPr>
                <w:rFonts w:ascii="Arial" w:cs="Arial" w:eastAsia="Arial" w:hAnsi="Arial"/>
                <w:sz w:val="18"/>
                <w:szCs w:val="18"/>
                <w:color w:val="auto"/>
              </w:rPr>
              <w:t>Income from operations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2260" w:type="dxa"/>
            <w:vAlign w:val="bottom"/>
          </w:tcPr>
          <w:p>
            <w:pPr>
              <w:jc w:val="right"/>
              <w:spacing w:after="0"/>
              <w:rPr>
                <w:sz w:val="20"/>
                <w:szCs w:val="20"/>
                <w:color w:val="auto"/>
              </w:rPr>
            </w:pPr>
            <w:r>
              <w:rPr>
                <w:rFonts w:ascii="Arial" w:cs="Arial" w:eastAsia="Arial" w:hAnsi="Arial"/>
                <w:sz w:val="18"/>
                <w:szCs w:val="18"/>
                <w:color w:val="auto"/>
              </w:rPr>
              <w:t>116,277</w:t>
            </w:r>
          </w:p>
        </w:tc>
        <w:tc>
          <w:tcPr>
            <w:tcW w:w="36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2080" w:type="dxa"/>
            <w:vAlign w:val="bottom"/>
          </w:tcPr>
          <w:p>
            <w:pPr>
              <w:jc w:val="right"/>
              <w:spacing w:after="0"/>
              <w:rPr>
                <w:sz w:val="20"/>
                <w:szCs w:val="20"/>
                <w:color w:val="auto"/>
              </w:rPr>
            </w:pPr>
            <w:r>
              <w:rPr>
                <w:rFonts w:ascii="Arial" w:cs="Arial" w:eastAsia="Arial" w:hAnsi="Arial"/>
                <w:sz w:val="18"/>
                <w:szCs w:val="18"/>
                <w:color w:val="auto"/>
              </w:rPr>
              <w:t>116,277</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9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expense, net</w:t>
            </w:r>
          </w:p>
        </w:tc>
        <w:tc>
          <w:tcPr>
            <w:tcW w:w="120" w:type="dxa"/>
            <w:vAlign w:val="bottom"/>
            <w:shd w:val="clear" w:color="auto" w:fill="CCEEFF"/>
          </w:tcPr>
          <w:p>
            <w:pPr>
              <w:spacing w:after="0"/>
              <w:rPr>
                <w:sz w:val="19"/>
                <w:szCs w:val="19"/>
                <w:color w:val="auto"/>
              </w:rPr>
            </w:pPr>
          </w:p>
        </w:tc>
        <w:tc>
          <w:tcPr>
            <w:tcW w:w="2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16,426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24,176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(7,750)</w:t>
            </w:r>
          </w:p>
        </w:tc>
        <w:tc>
          <w:tcPr>
            <w:tcW w:w="0" w:type="dxa"/>
            <w:vAlign w:val="bottom"/>
          </w:tcPr>
          <w:p>
            <w:pPr>
              <w:spacing w:after="0"/>
              <w:rPr>
                <w:sz w:val="1"/>
                <w:szCs w:val="1"/>
                <w:color w:val="auto"/>
              </w:rPr>
            </w:pPr>
          </w:p>
        </w:tc>
      </w:tr>
      <w:tr>
        <w:trPr>
          <w:trHeight w:val="230"/>
        </w:trPr>
        <w:tc>
          <w:tcPr>
            <w:tcW w:w="40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Debt issuance costs</w:t>
            </w:r>
          </w:p>
        </w:tc>
        <w:tc>
          <w:tcPr>
            <w:tcW w:w="120" w:type="dxa"/>
            <w:vAlign w:val="bottom"/>
            <w:tcBorders>
              <w:bottom w:val="single" w:sz="8" w:color="auto"/>
            </w:tcBorders>
          </w:tcPr>
          <w:p>
            <w:pPr>
              <w:spacing w:after="0"/>
              <w:rPr>
                <w:sz w:val="19"/>
                <w:szCs w:val="19"/>
                <w:color w:val="auto"/>
              </w:rPr>
            </w:pPr>
          </w:p>
        </w:tc>
        <w:tc>
          <w:tcPr>
            <w:tcW w:w="2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w:t>
            </w:r>
          </w:p>
        </w:tc>
        <w:tc>
          <w:tcPr>
            <w:tcW w:w="1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w:t>
            </w:r>
          </w:p>
        </w:tc>
        <w:tc>
          <w:tcPr>
            <w:tcW w:w="1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Earnings before income taxes</w:t>
            </w:r>
          </w:p>
        </w:tc>
        <w:tc>
          <w:tcPr>
            <w:tcW w:w="120" w:type="dxa"/>
            <w:vAlign w:val="bottom"/>
            <w:shd w:val="clear" w:color="auto" w:fill="CCEEFF"/>
          </w:tcPr>
          <w:p>
            <w:pPr>
              <w:spacing w:after="0"/>
              <w:rPr>
                <w:sz w:val="19"/>
                <w:szCs w:val="19"/>
                <w:color w:val="auto"/>
              </w:rPr>
            </w:pPr>
          </w:p>
        </w:tc>
        <w:tc>
          <w:tcPr>
            <w:tcW w:w="2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99,759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92,009</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7,750</w:t>
            </w:r>
          </w:p>
        </w:tc>
        <w:tc>
          <w:tcPr>
            <w:tcW w:w="0" w:type="dxa"/>
            <w:vAlign w:val="bottom"/>
          </w:tcPr>
          <w:p>
            <w:pPr>
              <w:spacing w:after="0"/>
              <w:rPr>
                <w:sz w:val="1"/>
                <w:szCs w:val="1"/>
                <w:color w:val="auto"/>
              </w:rPr>
            </w:pPr>
          </w:p>
        </w:tc>
      </w:tr>
      <w:tr>
        <w:trPr>
          <w:trHeight w:val="229"/>
        </w:trPr>
        <w:tc>
          <w:tcPr>
            <w:tcW w:w="40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Income tax provision</w:t>
            </w:r>
          </w:p>
        </w:tc>
        <w:tc>
          <w:tcPr>
            <w:tcW w:w="120" w:type="dxa"/>
            <w:vAlign w:val="bottom"/>
            <w:tcBorders>
              <w:bottom w:val="single" w:sz="8" w:color="auto"/>
            </w:tcBorders>
          </w:tcPr>
          <w:p>
            <w:pPr>
              <w:spacing w:after="0"/>
              <w:rPr>
                <w:sz w:val="19"/>
                <w:szCs w:val="19"/>
                <w:color w:val="auto"/>
              </w:rPr>
            </w:pPr>
          </w:p>
        </w:tc>
        <w:tc>
          <w:tcPr>
            <w:tcW w:w="2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18,726</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17,010</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1,716</w:t>
            </w:r>
          </w:p>
        </w:tc>
        <w:tc>
          <w:tcPr>
            <w:tcW w:w="0" w:type="dxa"/>
            <w:vAlign w:val="bottom"/>
          </w:tcPr>
          <w:p>
            <w:pPr>
              <w:spacing w:after="0"/>
              <w:rPr>
                <w:sz w:val="1"/>
                <w:szCs w:val="1"/>
                <w:color w:val="auto"/>
              </w:rPr>
            </w:pPr>
          </w:p>
        </w:tc>
      </w:tr>
      <w:tr>
        <w:trPr>
          <w:trHeight w:val="248"/>
        </w:trPr>
        <w:tc>
          <w:tcPr>
            <w:tcW w:w="4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81,033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2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74,999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6,034</w:t>
            </w:r>
          </w:p>
        </w:tc>
        <w:tc>
          <w:tcPr>
            <w:tcW w:w="0" w:type="dxa"/>
            <w:vAlign w:val="bottom"/>
          </w:tcPr>
          <w:p>
            <w:pPr>
              <w:spacing w:after="0"/>
              <w:rPr>
                <w:sz w:val="1"/>
                <w:szCs w:val="1"/>
                <w:color w:val="auto"/>
              </w:rPr>
            </w:pPr>
          </w:p>
        </w:tc>
      </w:tr>
      <w:tr>
        <w:trPr>
          <w:trHeight w:val="20"/>
        </w:trPr>
        <w:tc>
          <w:tcPr>
            <w:tcW w:w="40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Earnings per share:</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2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406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Basic</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0.99</w:t>
            </w:r>
          </w:p>
        </w:tc>
        <w:tc>
          <w:tcPr>
            <w:tcW w:w="3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0.07</w:t>
            </w:r>
          </w:p>
        </w:tc>
        <w:tc>
          <w:tcPr>
            <w:tcW w:w="0" w:type="dxa"/>
            <w:vAlign w:val="bottom"/>
          </w:tcPr>
          <w:p>
            <w:pPr>
              <w:spacing w:after="0"/>
              <w:rPr>
                <w:sz w:val="1"/>
                <w:szCs w:val="1"/>
                <w:color w:val="auto"/>
              </w:rPr>
            </w:pPr>
          </w:p>
        </w:tc>
      </w:tr>
      <w:tr>
        <w:trPr>
          <w:trHeight w:val="230"/>
        </w:trPr>
        <w:tc>
          <w:tcPr>
            <w:tcW w:w="4060" w:type="dxa"/>
            <w:vAlign w:val="bottom"/>
          </w:tcPr>
          <w:p>
            <w:pPr>
              <w:ind w:left="220"/>
              <w:spacing w:after="0"/>
              <w:rPr>
                <w:sz w:val="20"/>
                <w:szCs w:val="20"/>
                <w:color w:val="auto"/>
              </w:rPr>
            </w:pPr>
            <w:r>
              <w:rPr>
                <w:rFonts w:ascii="Arial" w:cs="Arial" w:eastAsia="Arial" w:hAnsi="Arial"/>
                <w:sz w:val="18"/>
                <w:szCs w:val="18"/>
                <w:color w:val="auto"/>
              </w:rPr>
              <w:t>Diluted</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2260" w:type="dxa"/>
            <w:vAlign w:val="bottom"/>
          </w:tcPr>
          <w:p>
            <w:pPr>
              <w:jc w:val="right"/>
              <w:spacing w:after="0"/>
              <w:rPr>
                <w:sz w:val="20"/>
                <w:szCs w:val="20"/>
                <w:color w:val="auto"/>
              </w:rPr>
            </w:pPr>
            <w:r>
              <w:rPr>
                <w:rFonts w:ascii="Arial" w:cs="Arial" w:eastAsia="Arial" w:hAnsi="Arial"/>
                <w:sz w:val="18"/>
                <w:szCs w:val="18"/>
                <w:color w:val="auto"/>
              </w:rPr>
              <w:t>0.89</w:t>
            </w:r>
          </w:p>
        </w:tc>
        <w:tc>
          <w:tcPr>
            <w:tcW w:w="36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2080" w:type="dxa"/>
            <w:vAlign w:val="bottom"/>
          </w:tcPr>
          <w:p>
            <w:pPr>
              <w:jc w:val="right"/>
              <w:spacing w:after="0"/>
              <w:rPr>
                <w:sz w:val="20"/>
                <w:szCs w:val="20"/>
                <w:color w:val="auto"/>
              </w:rPr>
            </w:pPr>
            <w:r>
              <w:rPr>
                <w:rFonts w:ascii="Arial" w:cs="Arial" w:eastAsia="Arial" w:hAnsi="Arial"/>
                <w:sz w:val="18"/>
                <w:szCs w:val="18"/>
                <w:color w:val="auto"/>
              </w:rPr>
              <w:t>0.89</w:t>
            </w:r>
          </w:p>
        </w:tc>
        <w:tc>
          <w:tcPr>
            <w:tcW w:w="12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9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1200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20015"/>
                    </a:xfrm>
                    <a:prstGeom prst="rect">
                      <a:avLst/>
                    </a:prstGeom>
                    <a:noFill/>
                  </pic:spPr>
                </pic:pic>
              </a:graphicData>
            </a:graphic>
          </wp:anchor>
        </w:drawing>
      </w:r>
    </w:p>
    <w:p>
      <w:pPr>
        <w:ind w:left="220"/>
        <w:spacing w:after="0"/>
        <w:rPr>
          <w:sz w:val="20"/>
          <w:szCs w:val="20"/>
          <w:color w:val="auto"/>
        </w:rPr>
      </w:pPr>
      <w:r>
        <w:rPr>
          <w:rFonts w:ascii="Arial" w:cs="Arial" w:eastAsia="Arial" w:hAnsi="Arial"/>
          <w:sz w:val="14"/>
          <w:szCs w:val="14"/>
          <w:i w:val="1"/>
          <w:iCs w:val="1"/>
          <w:color w:val="auto"/>
        </w:rPr>
        <w:t>Impact of adoption on basic earnings per share is calculated using impact on net income divided by basic weighted average shares outstanding during the period.</w:t>
      </w:r>
    </w:p>
    <w:p>
      <w:pPr>
        <w:spacing w:after="0" w:line="3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Future Adoption of Accounting Pronouncements</w:t>
      </w:r>
    </w:p>
    <w:p>
      <w:pPr>
        <w:spacing w:after="0" w:line="11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i w:val="1"/>
          <w:iCs w:val="1"/>
          <w:color w:val="auto"/>
        </w:rPr>
        <w:t xml:space="preserve">Reference Rate Reform. </w:t>
      </w:r>
      <w:r>
        <w:rPr>
          <w:rFonts w:ascii="Arial" w:cs="Arial" w:eastAsia="Arial" w:hAnsi="Arial"/>
          <w:sz w:val="16"/>
          <w:szCs w:val="16"/>
          <w:color w:val="auto"/>
        </w:rPr>
        <w:t>In March 2020, the FASB issued ASU No. 2020-04,</w:t>
      </w:r>
      <w:r>
        <w:rPr>
          <w:rFonts w:ascii="Arial" w:cs="Arial" w:eastAsia="Arial" w:hAnsi="Arial"/>
          <w:sz w:val="16"/>
          <w:szCs w:val="16"/>
          <w:i w:val="1"/>
          <w:iCs w:val="1"/>
          <w:color w:val="auto"/>
        </w:rPr>
        <w:t xml:space="preserve"> Facilitation of the Effects of Reference Rate Reform on Financial Reporting </w:t>
      </w:r>
      <w:r>
        <w:rPr>
          <w:rFonts w:ascii="Arial" w:cs="Arial" w:eastAsia="Arial" w:hAnsi="Arial"/>
          <w:sz w:val="16"/>
          <w:szCs w:val="16"/>
          <w:color w:val="auto"/>
        </w:rPr>
        <w:t>(“ASU 2020-04”). This guidance provides optional expedients and exceptions for applying U.S. GAAP to contracts, hedging relationships, and other transactions that may be affected by the cessation of the London Inter-bank Offered Rate (“LIBOR.”) An entity may elect to apply the amendments for contract modifications as of any date from the beginning of an interim period that includes or is subsequent to March 12, 2020 through December 31, 2022. A portion of our debt is subject to interest payments that are indexed to LIBOR; additionally, we are party to an interest rate derivative based on LIBOR. We are currently evaluating the effect of this guidance and have not applied the provisions of this guidance during the current fiscal year.</w:t>
      </w:r>
    </w:p>
    <w:p>
      <w:pPr>
        <w:spacing w:after="0" w:line="5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FASB issued other accounting guidance during the period that is not currently applicable or expected to have a material impact on the Company’s condensed consolidated financial statements, and therefore, is not described above.</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320" w:type="dxa"/>
            <w:vAlign w:val="bottom"/>
          </w:tcPr>
          <w:p>
            <w:pPr>
              <w:spacing w:after="0"/>
              <w:rPr>
                <w:sz w:val="20"/>
                <w:szCs w:val="20"/>
                <w:color w:val="auto"/>
              </w:rPr>
            </w:pPr>
            <w:r>
              <w:rPr>
                <w:rFonts w:ascii="Arial" w:cs="Arial" w:eastAsia="Arial" w:hAnsi="Arial"/>
                <w:sz w:val="18"/>
                <w:szCs w:val="18"/>
                <w:b w:val="1"/>
                <w:bCs w:val="1"/>
                <w:color w:val="auto"/>
              </w:rPr>
              <w:t>2. Details of Certain Balance Sheet Accounts</w:t>
            </w:r>
          </w:p>
        </w:tc>
        <w:tc>
          <w:tcPr>
            <w:tcW w:w="16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632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In thousands</w:t>
            </w:r>
          </w:p>
        </w:tc>
        <w:tc>
          <w:tcPr>
            <w:tcW w:w="1680" w:type="dxa"/>
            <w:vAlign w:val="bottom"/>
          </w:tcPr>
          <w:p>
            <w:pPr>
              <w:jc w:val="center"/>
              <w:ind w:left="630"/>
              <w:spacing w:after="0"/>
              <w:rPr>
                <w:sz w:val="20"/>
                <w:szCs w:val="20"/>
                <w:color w:val="auto"/>
              </w:rPr>
            </w:pPr>
            <w:r>
              <w:rPr>
                <w:rFonts w:ascii="Arial" w:cs="Arial" w:eastAsia="Arial" w:hAnsi="Arial"/>
                <w:sz w:val="18"/>
                <w:szCs w:val="18"/>
                <w:color w:val="auto"/>
                <w:w w:val="97"/>
              </w:rPr>
              <w:t>As of</w:t>
            </w: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40" w:type="dxa"/>
            <w:vAlign w:val="bottom"/>
          </w:tcPr>
          <w:p>
            <w:pPr>
              <w:jc w:val="center"/>
              <w:ind w:right="270"/>
              <w:spacing w:after="0"/>
              <w:rPr>
                <w:sz w:val="20"/>
                <w:szCs w:val="20"/>
                <w:color w:val="auto"/>
              </w:rPr>
            </w:pPr>
            <w:r>
              <w:rPr>
                <w:rFonts w:ascii="Arial" w:cs="Arial" w:eastAsia="Arial" w:hAnsi="Arial"/>
                <w:sz w:val="18"/>
                <w:szCs w:val="18"/>
                <w:color w:val="auto"/>
                <w:w w:val="97"/>
              </w:rPr>
              <w:t>As of</w:t>
            </w:r>
          </w:p>
        </w:tc>
        <w:tc>
          <w:tcPr>
            <w:tcW w:w="0" w:type="dxa"/>
            <w:vAlign w:val="bottom"/>
          </w:tcPr>
          <w:p>
            <w:pPr>
              <w:spacing w:after="0"/>
              <w:rPr>
                <w:sz w:val="1"/>
                <w:szCs w:val="1"/>
                <w:color w:val="auto"/>
              </w:rPr>
            </w:pPr>
          </w:p>
        </w:tc>
      </w:tr>
      <w:tr>
        <w:trPr>
          <w:trHeight w:val="229"/>
        </w:trPr>
        <w:tc>
          <w:tcPr>
            <w:tcW w:w="6320" w:type="dxa"/>
            <w:vAlign w:val="bottom"/>
            <w:tcBorders>
              <w:bottom w:val="single" w:sz="8" w:color="CCEEFF"/>
            </w:tcBorders>
            <w:vMerge w:val="continue"/>
          </w:tcPr>
          <w:p>
            <w:pPr>
              <w:spacing w:after="0"/>
              <w:rPr>
                <w:sz w:val="19"/>
                <w:szCs w:val="19"/>
                <w:color w:val="auto"/>
              </w:rPr>
            </w:pPr>
          </w:p>
        </w:tc>
        <w:tc>
          <w:tcPr>
            <w:tcW w:w="1680" w:type="dxa"/>
            <w:vAlign w:val="bottom"/>
            <w:tcBorders>
              <w:bottom w:val="single" w:sz="8" w:color="auto"/>
            </w:tcBorders>
          </w:tcPr>
          <w:p>
            <w:pPr>
              <w:jc w:val="center"/>
              <w:ind w:left="630"/>
              <w:spacing w:after="0"/>
              <w:rPr>
                <w:sz w:val="20"/>
                <w:szCs w:val="20"/>
                <w:color w:val="auto"/>
              </w:rPr>
            </w:pPr>
            <w:r>
              <w:rPr>
                <w:rFonts w:ascii="Arial" w:cs="Arial" w:eastAsia="Arial" w:hAnsi="Arial"/>
                <w:sz w:val="18"/>
                <w:szCs w:val="18"/>
                <w:color w:val="auto"/>
                <w:w w:val="90"/>
              </w:rPr>
              <w:t>July 3, 2021</w:t>
            </w:r>
          </w:p>
        </w:tc>
        <w:tc>
          <w:tcPr>
            <w:tcW w:w="72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2040" w:type="dxa"/>
            <w:vAlign w:val="bottom"/>
            <w:tcBorders>
              <w:bottom w:val="single" w:sz="8" w:color="auto"/>
            </w:tcBorders>
          </w:tcPr>
          <w:p>
            <w:pPr>
              <w:jc w:val="center"/>
              <w:ind w:right="270"/>
              <w:spacing w:after="0"/>
              <w:rPr>
                <w:sz w:val="20"/>
                <w:szCs w:val="20"/>
                <w:color w:val="auto"/>
              </w:rPr>
            </w:pPr>
            <w:r>
              <w:rPr>
                <w:rFonts w:ascii="Arial" w:cs="Arial" w:eastAsia="Arial" w:hAnsi="Arial"/>
                <w:sz w:val="18"/>
                <w:szCs w:val="18"/>
                <w:color w:val="auto"/>
                <w:w w:val="89"/>
              </w:rPr>
              <w:t>January 2, 2021</w:t>
            </w:r>
          </w:p>
        </w:tc>
        <w:tc>
          <w:tcPr>
            <w:tcW w:w="0" w:type="dxa"/>
            <w:vAlign w:val="bottom"/>
          </w:tcPr>
          <w:p>
            <w:pPr>
              <w:spacing w:after="0"/>
              <w:rPr>
                <w:sz w:val="1"/>
                <w:szCs w:val="1"/>
                <w:color w:val="auto"/>
              </w:rPr>
            </w:pPr>
          </w:p>
        </w:tc>
      </w:tr>
      <w:tr>
        <w:trPr>
          <w:trHeight w:val="210"/>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Accounts receivable, net:</w:t>
            </w:r>
          </w:p>
        </w:tc>
        <w:tc>
          <w:tcPr>
            <w:tcW w:w="16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320" w:type="dxa"/>
            <w:vAlign w:val="bottom"/>
          </w:tcPr>
          <w:p>
            <w:pPr>
              <w:ind w:left="140"/>
              <w:spacing w:after="0"/>
              <w:rPr>
                <w:sz w:val="20"/>
                <w:szCs w:val="20"/>
                <w:color w:val="auto"/>
              </w:rPr>
            </w:pPr>
            <w:r>
              <w:rPr>
                <w:rFonts w:ascii="Arial" w:cs="Arial" w:eastAsia="Arial" w:hAnsi="Arial"/>
                <w:sz w:val="18"/>
                <w:szCs w:val="18"/>
                <w:color w:val="auto"/>
              </w:rPr>
              <w:t>Trade receivables</w:t>
            </w:r>
          </w:p>
        </w:tc>
        <w:tc>
          <w:tcPr>
            <w:tcW w:w="1680" w:type="dxa"/>
            <w:vAlign w:val="bottom"/>
          </w:tcPr>
          <w:p>
            <w:pPr>
              <w:jc w:val="right"/>
              <w:ind w:right="149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28,742</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2040" w:type="dxa"/>
            <w:vAlign w:val="bottom"/>
          </w:tcPr>
          <w:p>
            <w:pPr>
              <w:jc w:val="right"/>
              <w:spacing w:after="0"/>
              <w:rPr>
                <w:sz w:val="20"/>
                <w:szCs w:val="20"/>
                <w:color w:val="auto"/>
              </w:rPr>
            </w:pPr>
            <w:r>
              <w:rPr>
                <w:rFonts w:ascii="Arial" w:cs="Arial" w:eastAsia="Arial" w:hAnsi="Arial"/>
                <w:sz w:val="18"/>
                <w:szCs w:val="18"/>
                <w:color w:val="auto"/>
              </w:rPr>
              <w:t>28,405</w:t>
            </w:r>
          </w:p>
        </w:tc>
        <w:tc>
          <w:tcPr>
            <w:tcW w:w="0" w:type="dxa"/>
            <w:vAlign w:val="bottom"/>
          </w:tcPr>
          <w:p>
            <w:pPr>
              <w:spacing w:after="0"/>
              <w:rPr>
                <w:sz w:val="1"/>
                <w:szCs w:val="1"/>
                <w:color w:val="auto"/>
              </w:rPr>
            </w:pPr>
          </w:p>
        </w:tc>
      </w:tr>
      <w:tr>
        <w:trPr>
          <w:trHeight w:val="229"/>
        </w:trPr>
        <w:tc>
          <w:tcPr>
            <w:tcW w:w="6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Credit card receivables</w:t>
            </w:r>
          </w:p>
        </w:tc>
        <w:tc>
          <w:tcPr>
            <w:tcW w:w="16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19,830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21,557</w:t>
            </w:r>
          </w:p>
        </w:tc>
        <w:tc>
          <w:tcPr>
            <w:tcW w:w="0" w:type="dxa"/>
            <w:vAlign w:val="bottom"/>
          </w:tcPr>
          <w:p>
            <w:pPr>
              <w:spacing w:after="0"/>
              <w:rPr>
                <w:sz w:val="1"/>
                <w:szCs w:val="1"/>
                <w:color w:val="auto"/>
              </w:rPr>
            </w:pPr>
          </w:p>
        </w:tc>
      </w:tr>
      <w:tr>
        <w:trPr>
          <w:trHeight w:val="230"/>
        </w:trPr>
        <w:tc>
          <w:tcPr>
            <w:tcW w:w="6320" w:type="dxa"/>
            <w:vAlign w:val="bottom"/>
          </w:tcPr>
          <w:p>
            <w:pPr>
              <w:ind w:left="140"/>
              <w:spacing w:after="0"/>
              <w:rPr>
                <w:sz w:val="20"/>
                <w:szCs w:val="20"/>
                <w:color w:val="auto"/>
              </w:rPr>
            </w:pPr>
            <w:r>
              <w:rPr>
                <w:rFonts w:ascii="Arial" w:cs="Arial" w:eastAsia="Arial" w:hAnsi="Arial"/>
                <w:sz w:val="18"/>
                <w:szCs w:val="18"/>
                <w:color w:val="auto"/>
              </w:rPr>
              <w:t>Other receivables</w:t>
            </w:r>
          </w:p>
        </w:tc>
        <w:tc>
          <w:tcPr>
            <w:tcW w:w="16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6,556</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8,460</w:t>
            </w:r>
          </w:p>
        </w:tc>
        <w:tc>
          <w:tcPr>
            <w:tcW w:w="0" w:type="dxa"/>
            <w:vAlign w:val="bottom"/>
          </w:tcPr>
          <w:p>
            <w:pPr>
              <w:spacing w:after="0"/>
              <w:rPr>
                <w:sz w:val="1"/>
                <w:szCs w:val="1"/>
                <w:color w:val="auto"/>
              </w:rPr>
            </w:pPr>
          </w:p>
        </w:tc>
      </w:tr>
      <w:tr>
        <w:trPr>
          <w:trHeight w:val="229"/>
        </w:trPr>
        <w:tc>
          <w:tcPr>
            <w:tcW w:w="6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Allowance for credit losses</w:t>
            </w:r>
          </w:p>
        </w:tc>
        <w:tc>
          <w:tcPr>
            <w:tcW w:w="16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(395)</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2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(433)</w:t>
            </w:r>
          </w:p>
        </w:tc>
        <w:tc>
          <w:tcPr>
            <w:tcW w:w="0" w:type="dxa"/>
            <w:vAlign w:val="bottom"/>
          </w:tcPr>
          <w:p>
            <w:pPr>
              <w:spacing w:after="0"/>
              <w:rPr>
                <w:sz w:val="1"/>
                <w:szCs w:val="1"/>
                <w:color w:val="auto"/>
              </w:rPr>
            </w:pPr>
          </w:p>
        </w:tc>
      </w:tr>
      <w:tr>
        <w:trPr>
          <w:trHeight w:val="223"/>
        </w:trPr>
        <w:tc>
          <w:tcPr>
            <w:tcW w:w="6320" w:type="dxa"/>
            <w:vAlign w:val="bottom"/>
          </w:tcPr>
          <w:p>
            <w:pPr>
              <w:spacing w:after="0"/>
              <w:rPr>
                <w:sz w:val="19"/>
                <w:szCs w:val="19"/>
                <w:color w:val="auto"/>
              </w:rPr>
            </w:pPr>
          </w:p>
        </w:tc>
        <w:tc>
          <w:tcPr>
            <w:tcW w:w="1680" w:type="dxa"/>
            <w:vAlign w:val="bottom"/>
            <w:tcBorders>
              <w:bottom w:val="single" w:sz="8" w:color="auto"/>
            </w:tcBorders>
          </w:tcPr>
          <w:p>
            <w:pPr>
              <w:jc w:val="right"/>
              <w:ind w:right="149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54,733</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2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57,989</w:t>
            </w:r>
          </w:p>
        </w:tc>
        <w:tc>
          <w:tcPr>
            <w:tcW w:w="0" w:type="dxa"/>
            <w:vAlign w:val="bottom"/>
          </w:tcPr>
          <w:p>
            <w:pPr>
              <w:spacing w:after="0"/>
              <w:rPr>
                <w:sz w:val="1"/>
                <w:szCs w:val="1"/>
                <w:color w:val="auto"/>
              </w:rPr>
            </w:pPr>
          </w:p>
        </w:tc>
      </w:tr>
      <w:tr>
        <w:trPr>
          <w:trHeight w:val="20"/>
        </w:trPr>
        <w:tc>
          <w:tcPr>
            <w:tcW w:w="632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04"/>
        </w:trPr>
        <w:tc>
          <w:tcPr>
            <w:tcW w:w="632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In thousands</w:t>
            </w:r>
          </w:p>
        </w:tc>
        <w:tc>
          <w:tcPr>
            <w:tcW w:w="1680" w:type="dxa"/>
            <w:vAlign w:val="bottom"/>
          </w:tcPr>
          <w:p>
            <w:pPr>
              <w:jc w:val="center"/>
              <w:ind w:left="630"/>
              <w:spacing w:after="0"/>
              <w:rPr>
                <w:sz w:val="20"/>
                <w:szCs w:val="20"/>
                <w:color w:val="auto"/>
              </w:rPr>
            </w:pPr>
            <w:r>
              <w:rPr>
                <w:rFonts w:ascii="Arial" w:cs="Arial" w:eastAsia="Arial" w:hAnsi="Arial"/>
                <w:sz w:val="18"/>
                <w:szCs w:val="18"/>
                <w:color w:val="auto"/>
                <w:w w:val="97"/>
              </w:rPr>
              <w:t>As of</w:t>
            </w: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40" w:type="dxa"/>
            <w:vAlign w:val="bottom"/>
          </w:tcPr>
          <w:p>
            <w:pPr>
              <w:jc w:val="center"/>
              <w:ind w:right="270"/>
              <w:spacing w:after="0"/>
              <w:rPr>
                <w:sz w:val="20"/>
                <w:szCs w:val="20"/>
                <w:color w:val="auto"/>
              </w:rPr>
            </w:pPr>
            <w:r>
              <w:rPr>
                <w:rFonts w:ascii="Arial" w:cs="Arial" w:eastAsia="Arial" w:hAnsi="Arial"/>
                <w:sz w:val="18"/>
                <w:szCs w:val="18"/>
                <w:color w:val="auto"/>
                <w:w w:val="97"/>
              </w:rPr>
              <w:t>As of</w:t>
            </w:r>
          </w:p>
        </w:tc>
        <w:tc>
          <w:tcPr>
            <w:tcW w:w="0" w:type="dxa"/>
            <w:vAlign w:val="bottom"/>
          </w:tcPr>
          <w:p>
            <w:pPr>
              <w:spacing w:after="0"/>
              <w:rPr>
                <w:sz w:val="1"/>
                <w:szCs w:val="1"/>
                <w:color w:val="auto"/>
              </w:rPr>
            </w:pPr>
          </w:p>
        </w:tc>
      </w:tr>
      <w:tr>
        <w:trPr>
          <w:trHeight w:val="229"/>
        </w:trPr>
        <w:tc>
          <w:tcPr>
            <w:tcW w:w="6320" w:type="dxa"/>
            <w:vAlign w:val="bottom"/>
            <w:tcBorders>
              <w:bottom w:val="single" w:sz="8" w:color="CCEEFF"/>
            </w:tcBorders>
            <w:vMerge w:val="continue"/>
          </w:tcPr>
          <w:p>
            <w:pPr>
              <w:spacing w:after="0"/>
              <w:rPr>
                <w:sz w:val="19"/>
                <w:szCs w:val="19"/>
                <w:color w:val="auto"/>
              </w:rPr>
            </w:pPr>
          </w:p>
        </w:tc>
        <w:tc>
          <w:tcPr>
            <w:tcW w:w="1680" w:type="dxa"/>
            <w:vAlign w:val="bottom"/>
            <w:tcBorders>
              <w:bottom w:val="single" w:sz="8" w:color="auto"/>
            </w:tcBorders>
          </w:tcPr>
          <w:p>
            <w:pPr>
              <w:jc w:val="center"/>
              <w:ind w:left="630"/>
              <w:spacing w:after="0"/>
              <w:rPr>
                <w:sz w:val="20"/>
                <w:szCs w:val="20"/>
                <w:color w:val="auto"/>
              </w:rPr>
            </w:pPr>
            <w:r>
              <w:rPr>
                <w:rFonts w:ascii="Arial" w:cs="Arial" w:eastAsia="Arial" w:hAnsi="Arial"/>
                <w:sz w:val="18"/>
                <w:szCs w:val="18"/>
                <w:color w:val="auto"/>
                <w:w w:val="90"/>
              </w:rPr>
              <w:t>July 3, 2021</w:t>
            </w:r>
          </w:p>
        </w:tc>
        <w:tc>
          <w:tcPr>
            <w:tcW w:w="72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2040" w:type="dxa"/>
            <w:vAlign w:val="bottom"/>
            <w:tcBorders>
              <w:bottom w:val="single" w:sz="8" w:color="auto"/>
            </w:tcBorders>
          </w:tcPr>
          <w:p>
            <w:pPr>
              <w:jc w:val="center"/>
              <w:ind w:right="270"/>
              <w:spacing w:after="0"/>
              <w:rPr>
                <w:sz w:val="20"/>
                <w:szCs w:val="20"/>
                <w:color w:val="auto"/>
              </w:rPr>
            </w:pPr>
            <w:r>
              <w:rPr>
                <w:rFonts w:ascii="Arial" w:cs="Arial" w:eastAsia="Arial" w:hAnsi="Arial"/>
                <w:sz w:val="18"/>
                <w:szCs w:val="18"/>
                <w:color w:val="auto"/>
                <w:w w:val="89"/>
              </w:rPr>
              <w:t>January 2, 2021</w:t>
            </w:r>
          </w:p>
        </w:tc>
        <w:tc>
          <w:tcPr>
            <w:tcW w:w="0" w:type="dxa"/>
            <w:vAlign w:val="bottom"/>
          </w:tcPr>
          <w:p>
            <w:pPr>
              <w:spacing w:after="0"/>
              <w:rPr>
                <w:sz w:val="1"/>
                <w:szCs w:val="1"/>
                <w:color w:val="auto"/>
              </w:rPr>
            </w:pPr>
          </w:p>
        </w:tc>
      </w:tr>
      <w:tr>
        <w:trPr>
          <w:trHeight w:val="210"/>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Inventories:</w:t>
            </w:r>
          </w:p>
        </w:tc>
        <w:tc>
          <w:tcPr>
            <w:tcW w:w="16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320" w:type="dxa"/>
            <w:vAlign w:val="bottom"/>
          </w:tcPr>
          <w:p>
            <w:pPr>
              <w:ind w:left="140"/>
              <w:spacing w:after="0" w:line="230" w:lineRule="exact"/>
              <w:rPr>
                <w:sz w:val="20"/>
                <w:szCs w:val="20"/>
                <w:color w:val="auto"/>
              </w:rPr>
            </w:pPr>
            <w:r>
              <w:rPr>
                <w:rFonts w:ascii="Arial" w:cs="Arial" w:eastAsia="Arial" w:hAnsi="Arial"/>
                <w:sz w:val="18"/>
                <w:szCs w:val="18"/>
                <w:color w:val="auto"/>
              </w:rPr>
              <w:t xml:space="preserve">Raw materials and work in process </w:t>
            </w:r>
            <w:r>
              <w:rPr>
                <w:rFonts w:ascii="Arial" w:cs="Arial" w:eastAsia="Arial" w:hAnsi="Arial"/>
                <w:sz w:val="23"/>
                <w:szCs w:val="23"/>
                <w:color w:val="auto"/>
                <w:vertAlign w:val="superscript"/>
              </w:rPr>
              <w:t>(1)</w:t>
            </w:r>
          </w:p>
        </w:tc>
        <w:tc>
          <w:tcPr>
            <w:tcW w:w="1680" w:type="dxa"/>
            <w:vAlign w:val="bottom"/>
          </w:tcPr>
          <w:p>
            <w:pPr>
              <w:jc w:val="right"/>
              <w:ind w:right="149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55,246</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2040" w:type="dxa"/>
            <w:vAlign w:val="bottom"/>
          </w:tcPr>
          <w:p>
            <w:pPr>
              <w:jc w:val="right"/>
              <w:spacing w:after="0"/>
              <w:rPr>
                <w:sz w:val="20"/>
                <w:szCs w:val="20"/>
                <w:color w:val="auto"/>
              </w:rPr>
            </w:pPr>
            <w:r>
              <w:rPr>
                <w:rFonts w:ascii="Arial" w:cs="Arial" w:eastAsia="Arial" w:hAnsi="Arial"/>
                <w:sz w:val="18"/>
                <w:szCs w:val="18"/>
                <w:color w:val="auto"/>
              </w:rPr>
              <w:t>55,473</w:t>
            </w:r>
          </w:p>
        </w:tc>
        <w:tc>
          <w:tcPr>
            <w:tcW w:w="0" w:type="dxa"/>
            <w:vAlign w:val="bottom"/>
          </w:tcPr>
          <w:p>
            <w:pPr>
              <w:spacing w:after="0"/>
              <w:rPr>
                <w:sz w:val="1"/>
                <w:szCs w:val="1"/>
                <w:color w:val="auto"/>
              </w:rPr>
            </w:pPr>
          </w:p>
        </w:tc>
      </w:tr>
      <w:tr>
        <w:trPr>
          <w:trHeight w:val="230"/>
        </w:trPr>
        <w:tc>
          <w:tcPr>
            <w:tcW w:w="6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Finished goods</w:t>
            </w:r>
          </w:p>
        </w:tc>
        <w:tc>
          <w:tcPr>
            <w:tcW w:w="16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65,617</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2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55,801</w:t>
            </w:r>
          </w:p>
        </w:tc>
        <w:tc>
          <w:tcPr>
            <w:tcW w:w="0" w:type="dxa"/>
            <w:vAlign w:val="bottom"/>
          </w:tcPr>
          <w:p>
            <w:pPr>
              <w:spacing w:after="0"/>
              <w:rPr>
                <w:sz w:val="1"/>
                <w:szCs w:val="1"/>
                <w:color w:val="auto"/>
              </w:rPr>
            </w:pPr>
          </w:p>
        </w:tc>
      </w:tr>
      <w:tr>
        <w:trPr>
          <w:trHeight w:val="224"/>
        </w:trPr>
        <w:tc>
          <w:tcPr>
            <w:tcW w:w="6320" w:type="dxa"/>
            <w:vAlign w:val="bottom"/>
          </w:tcPr>
          <w:p>
            <w:pPr>
              <w:spacing w:after="0"/>
              <w:rPr>
                <w:sz w:val="19"/>
                <w:szCs w:val="19"/>
                <w:color w:val="auto"/>
              </w:rPr>
            </w:pPr>
          </w:p>
        </w:tc>
        <w:tc>
          <w:tcPr>
            <w:tcW w:w="1680" w:type="dxa"/>
            <w:vAlign w:val="bottom"/>
          </w:tcPr>
          <w:p>
            <w:pPr>
              <w:jc w:val="right"/>
              <w:ind w:right="149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95"/>
              </w:rPr>
              <w:t>120,863</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2040" w:type="dxa"/>
            <w:vAlign w:val="bottom"/>
          </w:tcPr>
          <w:p>
            <w:pPr>
              <w:jc w:val="right"/>
              <w:spacing w:after="0"/>
              <w:rPr>
                <w:sz w:val="20"/>
                <w:szCs w:val="20"/>
                <w:color w:val="auto"/>
              </w:rPr>
            </w:pPr>
            <w:r>
              <w:rPr>
                <w:rFonts w:ascii="Arial" w:cs="Arial" w:eastAsia="Arial" w:hAnsi="Arial"/>
                <w:sz w:val="18"/>
                <w:szCs w:val="18"/>
                <w:color w:val="auto"/>
              </w:rPr>
              <w:t>111,274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4008120</wp:posOffset>
            </wp:positionH>
            <wp:positionV relativeFrom="paragraph">
              <wp:posOffset>0</wp:posOffset>
            </wp:positionV>
            <wp:extent cx="312864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128645" cy="8255"/>
                    </a:xfrm>
                    <a:prstGeom prst="rect">
                      <a:avLst/>
                    </a:prstGeom>
                    <a:noFill/>
                  </pic:spPr>
                </pic:pic>
              </a:graphicData>
            </a:graphic>
          </wp:anchor>
        </w:drawing>
      </w:r>
    </w:p>
    <w:p>
      <w:pPr>
        <w:spacing w:after="0" w:line="1" w:lineRule="exact"/>
        <w:rPr>
          <w:sz w:val="20"/>
          <w:szCs w:val="20"/>
          <w:color w:val="auto"/>
        </w:rPr>
      </w:pPr>
    </w:p>
    <w:p>
      <w:pPr>
        <w:ind w:left="260" w:right="20" w:hanging="234"/>
        <w:spacing w:after="0" w:line="236" w:lineRule="auto"/>
        <w:tabs>
          <w:tab w:leader="none" w:pos="252" w:val="left"/>
        </w:tabs>
        <w:numPr>
          <w:ilvl w:val="0"/>
          <w:numId w:val="6"/>
        </w:numPr>
        <w:rPr>
          <w:rFonts w:ascii="Arial" w:cs="Arial" w:eastAsia="Arial" w:hAnsi="Arial"/>
          <w:sz w:val="14"/>
          <w:szCs w:val="14"/>
          <w:color w:val="auto"/>
        </w:rPr>
      </w:pPr>
      <w:r>
        <w:rPr>
          <w:rFonts w:ascii="Arial" w:cs="Arial" w:eastAsia="Arial" w:hAnsi="Arial"/>
          <w:sz w:val="14"/>
          <w:szCs w:val="14"/>
          <w:color w:val="auto"/>
        </w:rPr>
        <w:t>Due to the immaterial amount of estimated work in process and the short lead times for the conversion of raw materials to finished goods, the Company does not separately present raw materials and work in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4008120</wp:posOffset>
            </wp:positionH>
            <wp:positionV relativeFrom="paragraph">
              <wp:posOffset>-188595</wp:posOffset>
            </wp:positionV>
            <wp:extent cx="312864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128645" cy="8255"/>
                    </a:xfrm>
                    <a:prstGeom prst="rect">
                      <a:avLst/>
                    </a:prstGeom>
                    <a:noFill/>
                  </pic:spPr>
                </pic:pic>
              </a:graphicData>
            </a:graphic>
          </wp:anchor>
        </w:drawing>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32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In thousands</w:t>
            </w:r>
          </w:p>
        </w:tc>
        <w:tc>
          <w:tcPr>
            <w:tcW w:w="1700" w:type="dxa"/>
            <w:vAlign w:val="bottom"/>
          </w:tcPr>
          <w:p>
            <w:pPr>
              <w:jc w:val="right"/>
              <w:ind w:right="210"/>
              <w:spacing w:after="0"/>
              <w:rPr>
                <w:sz w:val="20"/>
                <w:szCs w:val="20"/>
                <w:color w:val="auto"/>
              </w:rPr>
            </w:pPr>
            <w:r>
              <w:rPr>
                <w:rFonts w:ascii="Arial" w:cs="Arial" w:eastAsia="Arial" w:hAnsi="Arial"/>
                <w:sz w:val="18"/>
                <w:szCs w:val="18"/>
                <w:color w:val="auto"/>
              </w:rPr>
              <w:t>As of</w:t>
            </w: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40" w:type="dxa"/>
            <w:vAlign w:val="bottom"/>
          </w:tcPr>
          <w:p>
            <w:pPr>
              <w:jc w:val="right"/>
              <w:ind w:right="910"/>
              <w:spacing w:after="0"/>
              <w:rPr>
                <w:sz w:val="20"/>
                <w:szCs w:val="20"/>
                <w:color w:val="auto"/>
              </w:rPr>
            </w:pPr>
            <w:r>
              <w:rPr>
                <w:rFonts w:ascii="Arial" w:cs="Arial" w:eastAsia="Arial" w:hAnsi="Arial"/>
                <w:sz w:val="18"/>
                <w:szCs w:val="18"/>
                <w:color w:val="auto"/>
              </w:rPr>
              <w:t>As of</w:t>
            </w:r>
          </w:p>
        </w:tc>
        <w:tc>
          <w:tcPr>
            <w:tcW w:w="0" w:type="dxa"/>
            <w:vAlign w:val="bottom"/>
          </w:tcPr>
          <w:p>
            <w:pPr>
              <w:spacing w:after="0"/>
              <w:rPr>
                <w:sz w:val="1"/>
                <w:szCs w:val="1"/>
                <w:color w:val="auto"/>
              </w:rPr>
            </w:pPr>
          </w:p>
        </w:tc>
      </w:tr>
      <w:tr>
        <w:trPr>
          <w:trHeight w:val="229"/>
        </w:trPr>
        <w:tc>
          <w:tcPr>
            <w:tcW w:w="6320" w:type="dxa"/>
            <w:vAlign w:val="bottom"/>
            <w:tcBorders>
              <w:bottom w:val="single" w:sz="8" w:color="CCEEFF"/>
            </w:tcBorders>
            <w:vMerge w:val="continue"/>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July 3, 2021</w:t>
            </w:r>
          </w:p>
        </w:tc>
        <w:tc>
          <w:tcPr>
            <w:tcW w:w="70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20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rPr>
              <w:t>January 2, 2021</w:t>
            </w:r>
          </w:p>
        </w:tc>
        <w:tc>
          <w:tcPr>
            <w:tcW w:w="0" w:type="dxa"/>
            <w:vAlign w:val="bottom"/>
          </w:tcPr>
          <w:p>
            <w:pPr>
              <w:spacing w:after="0"/>
              <w:rPr>
                <w:sz w:val="1"/>
                <w:szCs w:val="1"/>
                <w:color w:val="auto"/>
              </w:rPr>
            </w:pPr>
          </w:p>
        </w:tc>
      </w:tr>
      <w:tr>
        <w:trPr>
          <w:trHeight w:val="210"/>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Other payables and accrued expenses:</w:t>
            </w:r>
          </w:p>
        </w:tc>
        <w:tc>
          <w:tcPr>
            <w:tcW w:w="17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320" w:type="dxa"/>
            <w:vAlign w:val="bottom"/>
          </w:tcPr>
          <w:p>
            <w:pPr>
              <w:ind w:left="140"/>
              <w:spacing w:after="0" w:line="230" w:lineRule="exact"/>
              <w:rPr>
                <w:sz w:val="20"/>
                <w:szCs w:val="20"/>
                <w:color w:val="auto"/>
              </w:rPr>
            </w:pPr>
            <w:r>
              <w:rPr>
                <w:rFonts w:ascii="Arial" w:cs="Arial" w:eastAsia="Arial" w:hAnsi="Arial"/>
                <w:sz w:val="18"/>
                <w:szCs w:val="18"/>
                <w:color w:val="auto"/>
              </w:rPr>
              <w:t xml:space="preserve">Associate compensation and benefits </w:t>
            </w:r>
            <w:r>
              <w:rPr>
                <w:rFonts w:ascii="Arial" w:cs="Arial" w:eastAsia="Arial" w:hAnsi="Arial"/>
                <w:sz w:val="23"/>
                <w:szCs w:val="23"/>
                <w:color w:val="auto"/>
                <w:vertAlign w:val="superscript"/>
              </w:rPr>
              <w:t>(1)</w:t>
            </w:r>
          </w:p>
        </w:tc>
        <w:tc>
          <w:tcPr>
            <w:tcW w:w="1700" w:type="dxa"/>
            <w:vAlign w:val="bottom"/>
          </w:tcPr>
          <w:p>
            <w:pPr>
              <w:jc w:val="right"/>
              <w:ind w:right="151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53,251</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2040" w:type="dxa"/>
            <w:vAlign w:val="bottom"/>
          </w:tcPr>
          <w:p>
            <w:pPr>
              <w:jc w:val="right"/>
              <w:spacing w:after="0"/>
              <w:rPr>
                <w:sz w:val="20"/>
                <w:szCs w:val="20"/>
                <w:color w:val="auto"/>
              </w:rPr>
            </w:pPr>
            <w:r>
              <w:rPr>
                <w:rFonts w:ascii="Arial" w:cs="Arial" w:eastAsia="Arial" w:hAnsi="Arial"/>
                <w:sz w:val="18"/>
                <w:szCs w:val="18"/>
                <w:color w:val="auto"/>
              </w:rPr>
              <w:t>51,081</w:t>
            </w:r>
          </w:p>
        </w:tc>
        <w:tc>
          <w:tcPr>
            <w:tcW w:w="0" w:type="dxa"/>
            <w:vAlign w:val="bottom"/>
          </w:tcPr>
          <w:p>
            <w:pPr>
              <w:spacing w:after="0"/>
              <w:rPr>
                <w:sz w:val="1"/>
                <w:szCs w:val="1"/>
                <w:color w:val="auto"/>
              </w:rPr>
            </w:pPr>
          </w:p>
        </w:tc>
      </w:tr>
      <w:tr>
        <w:trPr>
          <w:trHeight w:val="230"/>
        </w:trPr>
        <w:tc>
          <w:tcPr>
            <w:tcW w:w="6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Advertising</w:t>
            </w:r>
          </w:p>
        </w:tc>
        <w:tc>
          <w:tcPr>
            <w:tcW w:w="17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4,503</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2,173</w:t>
            </w:r>
          </w:p>
        </w:tc>
        <w:tc>
          <w:tcPr>
            <w:tcW w:w="0" w:type="dxa"/>
            <w:vAlign w:val="bottom"/>
          </w:tcPr>
          <w:p>
            <w:pPr>
              <w:spacing w:after="0"/>
              <w:rPr>
                <w:sz w:val="1"/>
                <w:szCs w:val="1"/>
                <w:color w:val="auto"/>
              </w:rPr>
            </w:pPr>
          </w:p>
        </w:tc>
      </w:tr>
      <w:tr>
        <w:trPr>
          <w:trHeight w:val="230"/>
        </w:trPr>
        <w:tc>
          <w:tcPr>
            <w:tcW w:w="6320" w:type="dxa"/>
            <w:vAlign w:val="bottom"/>
          </w:tcPr>
          <w:p>
            <w:pPr>
              <w:ind w:left="140"/>
              <w:spacing w:after="0"/>
              <w:rPr>
                <w:sz w:val="20"/>
                <w:szCs w:val="20"/>
                <w:color w:val="auto"/>
              </w:rPr>
            </w:pPr>
            <w:r>
              <w:rPr>
                <w:rFonts w:ascii="Arial" w:cs="Arial" w:eastAsia="Arial" w:hAnsi="Arial"/>
                <w:sz w:val="18"/>
                <w:szCs w:val="18"/>
                <w:color w:val="auto"/>
              </w:rPr>
              <w:t>Self-insurance liabilities</w:t>
            </w:r>
          </w:p>
        </w:tc>
        <w:tc>
          <w:tcPr>
            <w:tcW w:w="17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9,634</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8,650</w:t>
            </w:r>
          </w:p>
        </w:tc>
        <w:tc>
          <w:tcPr>
            <w:tcW w:w="0" w:type="dxa"/>
            <w:vAlign w:val="bottom"/>
          </w:tcPr>
          <w:p>
            <w:pPr>
              <w:spacing w:after="0"/>
              <w:rPr>
                <w:sz w:val="1"/>
                <w:szCs w:val="1"/>
                <w:color w:val="auto"/>
              </w:rPr>
            </w:pPr>
          </w:p>
        </w:tc>
      </w:tr>
      <w:tr>
        <w:trPr>
          <w:trHeight w:val="229"/>
        </w:trPr>
        <w:tc>
          <w:tcPr>
            <w:tcW w:w="6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Reserves for customer returns and remakes</w:t>
            </w:r>
          </w:p>
        </w:tc>
        <w:tc>
          <w:tcPr>
            <w:tcW w:w="17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9,301</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8,084</w:t>
            </w:r>
          </w:p>
        </w:tc>
        <w:tc>
          <w:tcPr>
            <w:tcW w:w="0" w:type="dxa"/>
            <w:vAlign w:val="bottom"/>
          </w:tcPr>
          <w:p>
            <w:pPr>
              <w:spacing w:after="0"/>
              <w:rPr>
                <w:sz w:val="1"/>
                <w:szCs w:val="1"/>
                <w:color w:val="auto"/>
              </w:rPr>
            </w:pPr>
          </w:p>
        </w:tc>
      </w:tr>
      <w:tr>
        <w:trPr>
          <w:trHeight w:val="230"/>
        </w:trPr>
        <w:tc>
          <w:tcPr>
            <w:tcW w:w="6320" w:type="dxa"/>
            <w:vAlign w:val="bottom"/>
          </w:tcPr>
          <w:p>
            <w:pPr>
              <w:ind w:left="140"/>
              <w:spacing w:after="0"/>
              <w:rPr>
                <w:sz w:val="20"/>
                <w:szCs w:val="20"/>
                <w:color w:val="auto"/>
              </w:rPr>
            </w:pPr>
            <w:r>
              <w:rPr>
                <w:rFonts w:ascii="Arial" w:cs="Arial" w:eastAsia="Arial" w:hAnsi="Arial"/>
                <w:sz w:val="18"/>
                <w:szCs w:val="18"/>
                <w:color w:val="auto"/>
              </w:rPr>
              <w:t>Capital expenditures</w:t>
            </w:r>
          </w:p>
        </w:tc>
        <w:tc>
          <w:tcPr>
            <w:tcW w:w="17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8,827</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8,455</w:t>
            </w:r>
          </w:p>
        </w:tc>
        <w:tc>
          <w:tcPr>
            <w:tcW w:w="0" w:type="dxa"/>
            <w:vAlign w:val="bottom"/>
          </w:tcPr>
          <w:p>
            <w:pPr>
              <w:spacing w:after="0"/>
              <w:rPr>
                <w:sz w:val="1"/>
                <w:szCs w:val="1"/>
                <w:color w:val="auto"/>
              </w:rPr>
            </w:pPr>
          </w:p>
        </w:tc>
      </w:tr>
      <w:tr>
        <w:trPr>
          <w:trHeight w:val="230"/>
        </w:trPr>
        <w:tc>
          <w:tcPr>
            <w:tcW w:w="6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Legacy management &amp; services agreement</w:t>
            </w:r>
          </w:p>
        </w:tc>
        <w:tc>
          <w:tcPr>
            <w:tcW w:w="17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6,722</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5,386</w:t>
            </w:r>
          </w:p>
        </w:tc>
        <w:tc>
          <w:tcPr>
            <w:tcW w:w="0" w:type="dxa"/>
            <w:vAlign w:val="bottom"/>
          </w:tcPr>
          <w:p>
            <w:pPr>
              <w:spacing w:after="0"/>
              <w:rPr>
                <w:sz w:val="1"/>
                <w:szCs w:val="1"/>
                <w:color w:val="auto"/>
              </w:rPr>
            </w:pPr>
          </w:p>
        </w:tc>
      </w:tr>
      <w:tr>
        <w:trPr>
          <w:trHeight w:val="230"/>
        </w:trPr>
        <w:tc>
          <w:tcPr>
            <w:tcW w:w="6320" w:type="dxa"/>
            <w:vAlign w:val="bottom"/>
          </w:tcPr>
          <w:p>
            <w:pPr>
              <w:ind w:left="140"/>
              <w:spacing w:after="0"/>
              <w:rPr>
                <w:sz w:val="20"/>
                <w:szCs w:val="20"/>
                <w:color w:val="auto"/>
              </w:rPr>
            </w:pPr>
            <w:r>
              <w:rPr>
                <w:rFonts w:ascii="Arial" w:cs="Arial" w:eastAsia="Arial" w:hAnsi="Arial"/>
                <w:sz w:val="18"/>
                <w:szCs w:val="18"/>
                <w:color w:val="auto"/>
              </w:rPr>
              <w:t>Fair value of derivative liabilities</w:t>
            </w:r>
          </w:p>
        </w:tc>
        <w:tc>
          <w:tcPr>
            <w:tcW w:w="17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4,077</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5,116</w:t>
            </w:r>
          </w:p>
        </w:tc>
        <w:tc>
          <w:tcPr>
            <w:tcW w:w="0" w:type="dxa"/>
            <w:vAlign w:val="bottom"/>
          </w:tcPr>
          <w:p>
            <w:pPr>
              <w:spacing w:after="0"/>
              <w:rPr>
                <w:sz w:val="1"/>
                <w:szCs w:val="1"/>
                <w:color w:val="auto"/>
              </w:rPr>
            </w:pPr>
          </w:p>
        </w:tc>
      </w:tr>
      <w:tr>
        <w:trPr>
          <w:trHeight w:val="229"/>
        </w:trPr>
        <w:tc>
          <w:tcPr>
            <w:tcW w:w="6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Supplies and other store support expenses</w:t>
            </w:r>
          </w:p>
        </w:tc>
        <w:tc>
          <w:tcPr>
            <w:tcW w:w="17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3,461</w:t>
            </w:r>
          </w:p>
        </w:tc>
        <w:tc>
          <w:tcPr>
            <w:tcW w:w="0" w:type="dxa"/>
            <w:vAlign w:val="bottom"/>
          </w:tcPr>
          <w:p>
            <w:pPr>
              <w:spacing w:after="0"/>
              <w:rPr>
                <w:sz w:val="1"/>
                <w:szCs w:val="1"/>
                <w:color w:val="auto"/>
              </w:rPr>
            </w:pPr>
          </w:p>
        </w:tc>
      </w:tr>
      <w:tr>
        <w:trPr>
          <w:trHeight w:val="230"/>
        </w:trPr>
        <w:tc>
          <w:tcPr>
            <w:tcW w:w="6320" w:type="dxa"/>
            <w:vAlign w:val="bottom"/>
          </w:tcPr>
          <w:p>
            <w:pPr>
              <w:ind w:left="140"/>
              <w:spacing w:after="0"/>
              <w:rPr>
                <w:sz w:val="20"/>
                <w:szCs w:val="20"/>
                <w:color w:val="auto"/>
              </w:rPr>
            </w:pPr>
            <w:r>
              <w:rPr>
                <w:rFonts w:ascii="Arial" w:cs="Arial" w:eastAsia="Arial" w:hAnsi="Arial"/>
                <w:sz w:val="18"/>
                <w:szCs w:val="18"/>
                <w:color w:val="auto"/>
              </w:rPr>
              <w:t>Litigation settlements</w:t>
            </w:r>
          </w:p>
        </w:tc>
        <w:tc>
          <w:tcPr>
            <w:tcW w:w="17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1,720</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1,107</w:t>
            </w:r>
          </w:p>
        </w:tc>
        <w:tc>
          <w:tcPr>
            <w:tcW w:w="0" w:type="dxa"/>
            <w:vAlign w:val="bottom"/>
          </w:tcPr>
          <w:p>
            <w:pPr>
              <w:spacing w:after="0"/>
              <w:rPr>
                <w:sz w:val="1"/>
                <w:szCs w:val="1"/>
                <w:color w:val="auto"/>
              </w:rPr>
            </w:pPr>
          </w:p>
        </w:tc>
      </w:tr>
      <w:tr>
        <w:trPr>
          <w:trHeight w:val="230"/>
        </w:trPr>
        <w:tc>
          <w:tcPr>
            <w:tcW w:w="6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Lease concessions</w:t>
            </w:r>
          </w:p>
        </w:tc>
        <w:tc>
          <w:tcPr>
            <w:tcW w:w="17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737</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3,142</w:t>
            </w:r>
          </w:p>
        </w:tc>
        <w:tc>
          <w:tcPr>
            <w:tcW w:w="0" w:type="dxa"/>
            <w:vAlign w:val="bottom"/>
          </w:tcPr>
          <w:p>
            <w:pPr>
              <w:spacing w:after="0"/>
              <w:rPr>
                <w:sz w:val="1"/>
                <w:szCs w:val="1"/>
                <w:color w:val="auto"/>
              </w:rPr>
            </w:pPr>
          </w:p>
        </w:tc>
      </w:tr>
      <w:tr>
        <w:trPr>
          <w:trHeight w:val="230"/>
        </w:trPr>
        <w:tc>
          <w:tcPr>
            <w:tcW w:w="63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w:t>
            </w:r>
          </w:p>
        </w:tc>
        <w:tc>
          <w:tcPr>
            <w:tcW w:w="17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14,916</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2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13,654</w:t>
            </w:r>
          </w:p>
        </w:tc>
        <w:tc>
          <w:tcPr>
            <w:tcW w:w="0" w:type="dxa"/>
            <w:vAlign w:val="bottom"/>
          </w:tcPr>
          <w:p>
            <w:pPr>
              <w:spacing w:after="0"/>
              <w:rPr>
                <w:sz w:val="1"/>
                <w:szCs w:val="1"/>
                <w:color w:val="auto"/>
              </w:rPr>
            </w:pPr>
          </w:p>
        </w:tc>
      </w:tr>
      <w:tr>
        <w:trPr>
          <w:trHeight w:val="230"/>
        </w:trPr>
        <w:tc>
          <w:tcPr>
            <w:tcW w:w="6320" w:type="dxa"/>
            <w:vAlign w:val="bottom"/>
            <w:tcBorders>
              <w:bottom w:val="single" w:sz="8" w:color="CCEEFF"/>
            </w:tcBorders>
            <w:shd w:val="clear" w:color="auto" w:fill="CCEEFF"/>
          </w:tcPr>
          <w:p>
            <w:pPr>
              <w:spacing w:after="0"/>
              <w:rPr>
                <w:sz w:val="20"/>
                <w:szCs w:val="20"/>
                <w:color w:val="auto"/>
              </w:rPr>
            </w:pPr>
          </w:p>
        </w:tc>
        <w:tc>
          <w:tcPr>
            <w:tcW w:w="1700" w:type="dxa"/>
            <w:vAlign w:val="bottom"/>
            <w:tcBorders>
              <w:bottom w:val="single" w:sz="8" w:color="auto"/>
            </w:tcBorders>
            <w:shd w:val="clear" w:color="auto" w:fill="CCEEFF"/>
          </w:tcPr>
          <w:p>
            <w:pPr>
              <w:jc w:val="right"/>
              <w:ind w:right="1510"/>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116,508</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2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110,309</w:t>
            </w:r>
          </w:p>
        </w:tc>
        <w:tc>
          <w:tcPr>
            <w:tcW w:w="0" w:type="dxa"/>
            <w:vAlign w:val="bottom"/>
          </w:tcPr>
          <w:p>
            <w:pPr>
              <w:spacing w:after="0"/>
              <w:rPr>
                <w:sz w:val="1"/>
                <w:szCs w:val="1"/>
                <w:color w:val="auto"/>
              </w:rPr>
            </w:pPr>
          </w:p>
        </w:tc>
      </w:tr>
    </w:tbl>
    <w:p>
      <w:pPr>
        <w:ind w:left="20" w:right="40" w:firstLine="42"/>
        <w:spacing w:after="0" w:line="232" w:lineRule="auto"/>
        <w:tabs>
          <w:tab w:leader="none" w:pos="260" w:val="left"/>
        </w:tabs>
        <w:numPr>
          <w:ilvl w:val="0"/>
          <w:numId w:val="7"/>
        </w:numPr>
        <w:rPr>
          <w:rFonts w:ascii="Arial" w:cs="Arial" w:eastAsia="Arial" w:hAnsi="Arial"/>
          <w:sz w:val="14"/>
          <w:szCs w:val="14"/>
          <w:color w:val="auto"/>
        </w:rPr>
      </w:pPr>
      <w:r>
        <w:rPr>
          <w:rFonts w:ascii="Arial" w:cs="Arial" w:eastAsia="Arial" w:hAnsi="Arial"/>
          <w:sz w:val="14"/>
          <w:szCs w:val="14"/>
          <w:color w:val="auto"/>
        </w:rPr>
        <w:t>Includes the Coronavirus Aid, Relief, and Economic Security (“CARES”) Act deferred employer payroll taxes in the amount of $0.0 million and $12.8 million as of July 3, 2021 and January 2, 2021,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4008120</wp:posOffset>
            </wp:positionH>
            <wp:positionV relativeFrom="paragraph">
              <wp:posOffset>-188595</wp:posOffset>
            </wp:positionV>
            <wp:extent cx="312864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128645" cy="8255"/>
                    </a:xfrm>
                    <a:prstGeom prst="rect">
                      <a:avLst/>
                    </a:prstGeom>
                    <a:noFill/>
                  </pic:spPr>
                </pic:pic>
              </a:graphicData>
            </a:graphic>
          </wp:anchor>
        </w:drawing>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32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In thousands</w:t>
            </w:r>
          </w:p>
        </w:tc>
        <w:tc>
          <w:tcPr>
            <w:tcW w:w="1740" w:type="dxa"/>
            <w:vAlign w:val="bottom"/>
          </w:tcPr>
          <w:p>
            <w:pPr>
              <w:jc w:val="right"/>
              <w:ind w:right="250"/>
              <w:spacing w:after="0"/>
              <w:rPr>
                <w:sz w:val="20"/>
                <w:szCs w:val="20"/>
                <w:color w:val="auto"/>
              </w:rPr>
            </w:pPr>
            <w:r>
              <w:rPr>
                <w:rFonts w:ascii="Arial" w:cs="Arial" w:eastAsia="Arial" w:hAnsi="Arial"/>
                <w:sz w:val="18"/>
                <w:szCs w:val="18"/>
                <w:color w:val="auto"/>
              </w:rPr>
              <w:t>As of</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40" w:type="dxa"/>
            <w:vAlign w:val="bottom"/>
          </w:tcPr>
          <w:p>
            <w:pPr>
              <w:jc w:val="right"/>
              <w:ind w:right="910"/>
              <w:spacing w:after="0"/>
              <w:rPr>
                <w:sz w:val="20"/>
                <w:szCs w:val="20"/>
                <w:color w:val="auto"/>
              </w:rPr>
            </w:pPr>
            <w:r>
              <w:rPr>
                <w:rFonts w:ascii="Arial" w:cs="Arial" w:eastAsia="Arial" w:hAnsi="Arial"/>
                <w:sz w:val="18"/>
                <w:szCs w:val="18"/>
                <w:color w:val="auto"/>
              </w:rPr>
              <w:t>As of</w:t>
            </w:r>
          </w:p>
        </w:tc>
        <w:tc>
          <w:tcPr>
            <w:tcW w:w="0" w:type="dxa"/>
            <w:vAlign w:val="bottom"/>
          </w:tcPr>
          <w:p>
            <w:pPr>
              <w:spacing w:after="0"/>
              <w:rPr>
                <w:sz w:val="1"/>
                <w:szCs w:val="1"/>
                <w:color w:val="auto"/>
              </w:rPr>
            </w:pPr>
          </w:p>
        </w:tc>
      </w:tr>
      <w:tr>
        <w:trPr>
          <w:trHeight w:val="230"/>
        </w:trPr>
        <w:tc>
          <w:tcPr>
            <w:tcW w:w="6320" w:type="dxa"/>
            <w:vAlign w:val="bottom"/>
            <w:tcBorders>
              <w:bottom w:val="single" w:sz="8" w:color="CCEEFF"/>
            </w:tcBorders>
            <w:vMerge w:val="continue"/>
          </w:tcPr>
          <w:p>
            <w:pPr>
              <w:spacing w:after="0"/>
              <w:rPr>
                <w:sz w:val="19"/>
                <w:szCs w:val="19"/>
                <w:color w:val="auto"/>
              </w:rPr>
            </w:pPr>
          </w:p>
        </w:tc>
        <w:tc>
          <w:tcPr>
            <w:tcW w:w="17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July 3, 2021</w:t>
            </w:r>
          </w:p>
        </w:tc>
        <w:tc>
          <w:tcPr>
            <w:tcW w:w="66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20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rPr>
              <w:t>January 2, 2021</w:t>
            </w:r>
          </w:p>
        </w:tc>
        <w:tc>
          <w:tcPr>
            <w:tcW w:w="0" w:type="dxa"/>
            <w:vAlign w:val="bottom"/>
          </w:tcPr>
          <w:p>
            <w:pPr>
              <w:spacing w:after="0"/>
              <w:rPr>
                <w:sz w:val="1"/>
                <w:szCs w:val="1"/>
                <w:color w:val="auto"/>
              </w:rPr>
            </w:pPr>
          </w:p>
        </w:tc>
      </w:tr>
      <w:tr>
        <w:trPr>
          <w:trHeight w:val="210"/>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Other non-current liabilities:</w:t>
            </w:r>
          </w:p>
        </w:tc>
        <w:tc>
          <w:tcPr>
            <w:tcW w:w="17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320" w:type="dxa"/>
            <w:vAlign w:val="bottom"/>
          </w:tcPr>
          <w:p>
            <w:pPr>
              <w:ind w:left="140"/>
              <w:spacing w:after="0"/>
              <w:rPr>
                <w:sz w:val="20"/>
                <w:szCs w:val="20"/>
                <w:color w:val="auto"/>
              </w:rPr>
            </w:pPr>
            <w:r>
              <w:rPr>
                <w:rFonts w:ascii="Arial" w:cs="Arial" w:eastAsia="Arial" w:hAnsi="Arial"/>
                <w:sz w:val="18"/>
                <w:szCs w:val="18"/>
                <w:color w:val="auto"/>
              </w:rPr>
              <w:t>Fair value of derivative liabilities</w:t>
            </w:r>
          </w:p>
        </w:tc>
        <w:tc>
          <w:tcPr>
            <w:tcW w:w="1740" w:type="dxa"/>
            <w:vAlign w:val="bottom"/>
          </w:tcPr>
          <w:p>
            <w:pPr>
              <w:jc w:val="right"/>
              <w:ind w:right="1550"/>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4,217</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2040" w:type="dxa"/>
            <w:vAlign w:val="bottom"/>
          </w:tcPr>
          <w:p>
            <w:pPr>
              <w:jc w:val="right"/>
              <w:spacing w:after="0"/>
              <w:rPr>
                <w:sz w:val="20"/>
                <w:szCs w:val="20"/>
                <w:color w:val="auto"/>
              </w:rPr>
            </w:pPr>
            <w:r>
              <w:rPr>
                <w:rFonts w:ascii="Arial" w:cs="Arial" w:eastAsia="Arial" w:hAnsi="Arial"/>
                <w:sz w:val="18"/>
                <w:szCs w:val="18"/>
                <w:color w:val="auto"/>
              </w:rPr>
              <w:t>7,663</w:t>
            </w:r>
          </w:p>
        </w:tc>
        <w:tc>
          <w:tcPr>
            <w:tcW w:w="0" w:type="dxa"/>
            <w:vAlign w:val="bottom"/>
          </w:tcPr>
          <w:p>
            <w:pPr>
              <w:spacing w:after="0"/>
              <w:rPr>
                <w:sz w:val="1"/>
                <w:szCs w:val="1"/>
                <w:color w:val="auto"/>
              </w:rPr>
            </w:pPr>
          </w:p>
        </w:tc>
      </w:tr>
      <w:tr>
        <w:trPr>
          <w:trHeight w:val="230"/>
        </w:trPr>
        <w:tc>
          <w:tcPr>
            <w:tcW w:w="6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Self-insurance liabilities</w:t>
            </w:r>
          </w:p>
        </w:tc>
        <w:tc>
          <w:tcPr>
            <w:tcW w:w="17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7,491</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7,046</w:t>
            </w:r>
          </w:p>
        </w:tc>
        <w:tc>
          <w:tcPr>
            <w:tcW w:w="0" w:type="dxa"/>
            <w:vAlign w:val="bottom"/>
          </w:tcPr>
          <w:p>
            <w:pPr>
              <w:spacing w:after="0"/>
              <w:rPr>
                <w:sz w:val="1"/>
                <w:szCs w:val="1"/>
                <w:color w:val="auto"/>
              </w:rPr>
            </w:pPr>
          </w:p>
        </w:tc>
      </w:tr>
      <w:tr>
        <w:trPr>
          <w:trHeight w:val="230"/>
        </w:trPr>
        <w:tc>
          <w:tcPr>
            <w:tcW w:w="63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w:t>
            </w:r>
          </w:p>
        </w:tc>
        <w:tc>
          <w:tcPr>
            <w:tcW w:w="17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2,564</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2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2,706</w:t>
            </w:r>
          </w:p>
        </w:tc>
        <w:tc>
          <w:tcPr>
            <w:tcW w:w="0" w:type="dxa"/>
            <w:vAlign w:val="bottom"/>
          </w:tcPr>
          <w:p>
            <w:pPr>
              <w:spacing w:after="0"/>
              <w:rPr>
                <w:sz w:val="1"/>
                <w:szCs w:val="1"/>
                <w:color w:val="auto"/>
              </w:rPr>
            </w:pPr>
          </w:p>
        </w:tc>
      </w:tr>
      <w:tr>
        <w:trPr>
          <w:trHeight w:val="248"/>
        </w:trPr>
        <w:tc>
          <w:tcPr>
            <w:tcW w:w="63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auto"/>
            </w:tcBorders>
            <w:shd w:val="clear" w:color="auto" w:fill="CCEEFF"/>
          </w:tcPr>
          <w:p>
            <w:pPr>
              <w:jc w:val="right"/>
              <w:ind w:right="1550"/>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14,272</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2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17,415</w:t>
            </w:r>
          </w:p>
        </w:tc>
        <w:tc>
          <w:tcPr>
            <w:tcW w:w="0" w:type="dxa"/>
            <w:vAlign w:val="bottom"/>
          </w:tcPr>
          <w:p>
            <w:pPr>
              <w:spacing w:after="0"/>
              <w:rPr>
                <w:sz w:val="1"/>
                <w:szCs w:val="1"/>
                <w:color w:val="auto"/>
              </w:rPr>
            </w:pPr>
          </w:p>
        </w:tc>
      </w:tr>
      <w:tr>
        <w:trPr>
          <w:trHeight w:val="20"/>
        </w:trPr>
        <w:tc>
          <w:tcPr>
            <w:tcW w:w="632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2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 w:name="page14"/>
    <w:bookmarkEnd w:id="1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Fair Value Measurement</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Recurring fair value measurements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Interest Rate Derivatives</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recognize as assets or liabilities at fair value the estimated amounts we would receive or pay upon a termination of interest rate derivatives prior to their scheduled expiration dates. The fair value is based on information that is model-driven and whose inputs were observable (Level 2 inputs). See Note 5. “Interest Rate Derivatives” for further details.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Nonrecurring fair value measurements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Tangible Long-lived and Right of Use (“ROU”) Store Assets</w:t>
      </w:r>
    </w:p>
    <w:p>
      <w:pPr>
        <w:spacing w:after="0" w:line="11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recognized impairments of $0.5 million and $1.5 million during the three and six months ended July 3, 2021, respectively, related to our long-lived tangible store assets and ROU assets. The impairments were primarily driven by lower than projected customer sales volume in certain stores. The cash flows used in estimating fair value were discounted using a market rate of 7.5%. We consider market-based indications of prevailing rental rates for retail space, market participant discount rates, and lease incentives when estimating the fair values of ROU assets. A decrease in the estimated cash flows would lead to a lower fair value measurement, as would an increase in the discount rate. These non-recurring fair value measurements are classified as Level 3 measurements in the fair value hierarchy. The estimated remaining fair value of the assets impaired as of July 3, 2021 was $2.9 million. Substantially all of the remaining fair value of the impaired store assets in fiscal year 2021 represents the fair value of ROU assets.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Additional fair value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Long-term Debt - 2025 Notes</w:t>
      </w:r>
    </w:p>
    <w:p>
      <w:pPr>
        <w:spacing w:after="0" w:line="117"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Company has $402.5 million in aggregate principal amount of 2.50% convertible senior notes due on May 15, 2025 (the “2025 Notes”) issued and outstanding as of July 3, 2021. Refer to Note 4. “Long-term Debt” for more information on the 2025 Notes. The estimated fair value of the 2025 Notes was approximately $705.2 million and $655.3 million as of July 3, 2021 and January 2, 2021, respectively. The estimated fair value of the 2025 Notes is based on the prices the 2025 Notes have traded in the market as of July 3, 2021, as well as overall market conditions on the date of valuation, stated coupon rates, the number of coupon payments each year and the maturity date, and represents a Level 2 measurement in the fair value hierarchy.</w:t>
      </w: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00" w:type="dxa"/>
            <w:vAlign w:val="bottom"/>
          </w:tcPr>
          <w:p>
            <w:pPr>
              <w:spacing w:after="0"/>
              <w:rPr>
                <w:sz w:val="20"/>
                <w:szCs w:val="20"/>
                <w:color w:val="auto"/>
              </w:rPr>
            </w:pPr>
            <w:r>
              <w:rPr>
                <w:rFonts w:ascii="Arial" w:cs="Arial" w:eastAsia="Arial" w:hAnsi="Arial"/>
                <w:sz w:val="18"/>
                <w:szCs w:val="18"/>
                <w:b w:val="1"/>
                <w:bCs w:val="1"/>
                <w:color w:val="auto"/>
              </w:rPr>
              <w:t>4. Long-term Debt</w:t>
            </w:r>
          </w:p>
        </w:tc>
        <w:tc>
          <w:tcPr>
            <w:tcW w:w="38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6800" w:type="dxa"/>
            <w:vAlign w:val="bottom"/>
          </w:tcPr>
          <w:p>
            <w:pPr>
              <w:spacing w:after="0"/>
              <w:rPr>
                <w:sz w:val="20"/>
                <w:szCs w:val="20"/>
                <w:color w:val="auto"/>
              </w:rPr>
            </w:pPr>
            <w:r>
              <w:rPr>
                <w:rFonts w:ascii="Arial" w:cs="Arial" w:eastAsia="Arial" w:hAnsi="Arial"/>
                <w:sz w:val="18"/>
                <w:szCs w:val="18"/>
                <w:color w:val="auto"/>
              </w:rPr>
              <w:t>Long-term debt consists of the following:</w:t>
            </w:r>
          </w:p>
        </w:tc>
        <w:tc>
          <w:tcPr>
            <w:tcW w:w="3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680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In thousands</w:t>
            </w:r>
          </w:p>
        </w:tc>
        <w:tc>
          <w:tcPr>
            <w:tcW w:w="380" w:type="dxa"/>
            <w:vAlign w:val="bottom"/>
          </w:tcPr>
          <w:p>
            <w:pPr>
              <w:spacing w:after="0"/>
              <w:rPr>
                <w:sz w:val="24"/>
                <w:szCs w:val="24"/>
                <w:color w:val="auto"/>
              </w:rPr>
            </w:pPr>
          </w:p>
        </w:tc>
        <w:tc>
          <w:tcPr>
            <w:tcW w:w="1900" w:type="dxa"/>
            <w:vAlign w:val="bottom"/>
            <w:gridSpan w:val="2"/>
          </w:tcPr>
          <w:p>
            <w:pPr>
              <w:jc w:val="center"/>
              <w:ind w:right="500"/>
              <w:spacing w:after="0"/>
              <w:rPr>
                <w:sz w:val="20"/>
                <w:szCs w:val="20"/>
                <w:color w:val="auto"/>
              </w:rPr>
            </w:pPr>
            <w:r>
              <w:rPr>
                <w:rFonts w:ascii="Arial" w:cs="Arial" w:eastAsia="Arial" w:hAnsi="Arial"/>
                <w:sz w:val="18"/>
                <w:szCs w:val="18"/>
                <w:color w:val="auto"/>
                <w:w w:val="97"/>
              </w:rPr>
              <w:t>As of</w:t>
            </w:r>
          </w:p>
        </w:tc>
        <w:tc>
          <w:tcPr>
            <w:tcW w:w="300" w:type="dxa"/>
            <w:vAlign w:val="bottom"/>
          </w:tcPr>
          <w:p>
            <w:pPr>
              <w:spacing w:after="0"/>
              <w:rPr>
                <w:sz w:val="24"/>
                <w:szCs w:val="24"/>
                <w:color w:val="auto"/>
              </w:rPr>
            </w:pPr>
          </w:p>
        </w:tc>
        <w:tc>
          <w:tcPr>
            <w:tcW w:w="1860" w:type="dxa"/>
            <w:vAlign w:val="bottom"/>
          </w:tcPr>
          <w:p>
            <w:pPr>
              <w:jc w:val="right"/>
              <w:ind w:right="790"/>
              <w:spacing w:after="0"/>
              <w:rPr>
                <w:sz w:val="20"/>
                <w:szCs w:val="20"/>
                <w:color w:val="auto"/>
              </w:rPr>
            </w:pPr>
            <w:r>
              <w:rPr>
                <w:rFonts w:ascii="Arial" w:cs="Arial" w:eastAsia="Arial" w:hAnsi="Arial"/>
                <w:sz w:val="18"/>
                <w:szCs w:val="18"/>
                <w:color w:val="auto"/>
              </w:rPr>
              <w:t>As of</w:t>
            </w:r>
          </w:p>
        </w:tc>
        <w:tc>
          <w:tcPr>
            <w:tcW w:w="0" w:type="dxa"/>
            <w:vAlign w:val="bottom"/>
          </w:tcPr>
          <w:p>
            <w:pPr>
              <w:spacing w:after="0"/>
              <w:rPr>
                <w:sz w:val="1"/>
                <w:szCs w:val="1"/>
                <w:color w:val="auto"/>
              </w:rPr>
            </w:pPr>
          </w:p>
        </w:tc>
      </w:tr>
      <w:tr>
        <w:trPr>
          <w:trHeight w:val="229"/>
        </w:trPr>
        <w:tc>
          <w:tcPr>
            <w:tcW w:w="6800" w:type="dxa"/>
            <w:vAlign w:val="bottom"/>
            <w:vMerge w:val="continue"/>
          </w:tcPr>
          <w:p>
            <w:pPr>
              <w:spacing w:after="0"/>
              <w:rPr>
                <w:sz w:val="19"/>
                <w:szCs w:val="19"/>
                <w:color w:val="auto"/>
              </w:rPr>
            </w:pPr>
          </w:p>
        </w:tc>
        <w:tc>
          <w:tcPr>
            <w:tcW w:w="380" w:type="dxa"/>
            <w:vAlign w:val="bottom"/>
          </w:tcPr>
          <w:p>
            <w:pPr>
              <w:spacing w:after="0"/>
              <w:rPr>
                <w:sz w:val="19"/>
                <w:szCs w:val="19"/>
                <w:color w:val="auto"/>
              </w:rPr>
            </w:pPr>
          </w:p>
        </w:tc>
        <w:tc>
          <w:tcPr>
            <w:tcW w:w="1900" w:type="dxa"/>
            <w:vAlign w:val="bottom"/>
            <w:gridSpan w:val="2"/>
          </w:tcPr>
          <w:p>
            <w:pPr>
              <w:jc w:val="center"/>
              <w:ind w:right="500"/>
              <w:spacing w:after="0"/>
              <w:rPr>
                <w:sz w:val="20"/>
                <w:szCs w:val="20"/>
                <w:color w:val="auto"/>
              </w:rPr>
            </w:pPr>
            <w:r>
              <w:rPr>
                <w:rFonts w:ascii="Arial" w:cs="Arial" w:eastAsia="Arial" w:hAnsi="Arial"/>
                <w:sz w:val="18"/>
                <w:szCs w:val="18"/>
                <w:color w:val="auto"/>
                <w:w w:val="90"/>
              </w:rPr>
              <w:t>July 3, 2021</w:t>
            </w:r>
          </w:p>
        </w:tc>
        <w:tc>
          <w:tcPr>
            <w:tcW w:w="300" w:type="dxa"/>
            <w:vAlign w:val="bottom"/>
          </w:tcPr>
          <w:p>
            <w:pPr>
              <w:spacing w:after="0"/>
              <w:rPr>
                <w:sz w:val="19"/>
                <w:szCs w:val="19"/>
                <w:color w:val="auto"/>
              </w:rPr>
            </w:pPr>
          </w:p>
        </w:tc>
        <w:tc>
          <w:tcPr>
            <w:tcW w:w="1860" w:type="dxa"/>
            <w:vAlign w:val="bottom"/>
          </w:tcPr>
          <w:p>
            <w:pPr>
              <w:jc w:val="right"/>
              <w:ind w:right="410"/>
              <w:spacing w:after="0"/>
              <w:rPr>
                <w:sz w:val="20"/>
                <w:szCs w:val="20"/>
                <w:color w:val="auto"/>
              </w:rPr>
            </w:pPr>
            <w:r>
              <w:rPr>
                <w:rFonts w:ascii="Arial" w:cs="Arial" w:eastAsia="Arial" w:hAnsi="Arial"/>
                <w:sz w:val="18"/>
                <w:szCs w:val="18"/>
                <w:color w:val="auto"/>
              </w:rPr>
              <w:t>January 2, 2021</w:t>
            </w:r>
          </w:p>
        </w:tc>
        <w:tc>
          <w:tcPr>
            <w:tcW w:w="0" w:type="dxa"/>
            <w:vAlign w:val="bottom"/>
          </w:tcPr>
          <w:p>
            <w:pPr>
              <w:spacing w:after="0"/>
              <w:rPr>
                <w:sz w:val="1"/>
                <w:szCs w:val="1"/>
                <w:color w:val="auto"/>
              </w:rPr>
            </w:pPr>
          </w:p>
        </w:tc>
      </w:tr>
      <w:tr>
        <w:trPr>
          <w:trHeight w:val="223"/>
        </w:trPr>
        <w:tc>
          <w:tcPr>
            <w:tcW w:w="68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2025 Notes, due May 15, 2025</w:t>
            </w:r>
          </w:p>
        </w:tc>
        <w:tc>
          <w:tcPr>
            <w:tcW w:w="380" w:type="dxa"/>
            <w:vAlign w:val="bottom"/>
            <w:tcBorders>
              <w:top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402,500</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402,500</w:t>
            </w:r>
          </w:p>
        </w:tc>
        <w:tc>
          <w:tcPr>
            <w:tcW w:w="0" w:type="dxa"/>
            <w:vAlign w:val="bottom"/>
          </w:tcPr>
          <w:p>
            <w:pPr>
              <w:spacing w:after="0"/>
              <w:rPr>
                <w:sz w:val="1"/>
                <w:szCs w:val="1"/>
                <w:color w:val="auto"/>
              </w:rPr>
            </w:pPr>
          </w:p>
        </w:tc>
      </w:tr>
      <w:tr>
        <w:trPr>
          <w:trHeight w:val="229"/>
        </w:trPr>
        <w:tc>
          <w:tcPr>
            <w:tcW w:w="68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Term loan, due July 18, 2024</w:t>
            </w:r>
          </w:p>
        </w:tc>
        <w:tc>
          <w:tcPr>
            <w:tcW w:w="38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200,000</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317,375</w:t>
            </w:r>
          </w:p>
        </w:tc>
        <w:tc>
          <w:tcPr>
            <w:tcW w:w="0" w:type="dxa"/>
            <w:vAlign w:val="bottom"/>
          </w:tcPr>
          <w:p>
            <w:pPr>
              <w:spacing w:after="0"/>
              <w:rPr>
                <w:sz w:val="1"/>
                <w:szCs w:val="1"/>
                <w:color w:val="auto"/>
              </w:rPr>
            </w:pPr>
          </w:p>
        </w:tc>
      </w:tr>
      <w:tr>
        <w:trPr>
          <w:trHeight w:val="223"/>
        </w:trPr>
        <w:tc>
          <w:tcPr>
            <w:tcW w:w="6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debt before debt discount</w:t>
            </w:r>
          </w:p>
        </w:tc>
        <w:tc>
          <w:tcPr>
            <w:tcW w:w="3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602,500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719,875</w:t>
            </w:r>
          </w:p>
        </w:tc>
        <w:tc>
          <w:tcPr>
            <w:tcW w:w="0" w:type="dxa"/>
            <w:vAlign w:val="bottom"/>
          </w:tcPr>
          <w:p>
            <w:pPr>
              <w:spacing w:after="0"/>
              <w:rPr>
                <w:sz w:val="1"/>
                <w:szCs w:val="1"/>
                <w:color w:val="auto"/>
              </w:rPr>
            </w:pPr>
          </w:p>
        </w:tc>
      </w:tr>
      <w:tr>
        <w:trPr>
          <w:trHeight w:val="229"/>
        </w:trPr>
        <w:tc>
          <w:tcPr>
            <w:tcW w:w="6800" w:type="dxa"/>
            <w:vAlign w:val="bottom"/>
          </w:tcPr>
          <w:p>
            <w:pPr>
              <w:ind w:left="20"/>
              <w:spacing w:after="0"/>
              <w:rPr>
                <w:sz w:val="20"/>
                <w:szCs w:val="20"/>
                <w:color w:val="auto"/>
              </w:rPr>
            </w:pPr>
            <w:r>
              <w:rPr>
                <w:rFonts w:ascii="Arial" w:cs="Arial" w:eastAsia="Arial" w:hAnsi="Arial"/>
                <w:sz w:val="18"/>
                <w:szCs w:val="18"/>
                <w:color w:val="auto"/>
              </w:rPr>
              <w:t>Unamortized discount and issuance costs - 2025 Notes</w:t>
            </w:r>
          </w:p>
        </w:tc>
        <w:tc>
          <w:tcPr>
            <w:tcW w:w="3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(9,153)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(93,123)</w:t>
            </w:r>
          </w:p>
        </w:tc>
        <w:tc>
          <w:tcPr>
            <w:tcW w:w="0" w:type="dxa"/>
            <w:vAlign w:val="bottom"/>
          </w:tcPr>
          <w:p>
            <w:pPr>
              <w:spacing w:after="0"/>
              <w:rPr>
                <w:sz w:val="1"/>
                <w:szCs w:val="1"/>
                <w:color w:val="auto"/>
              </w:rPr>
            </w:pPr>
          </w:p>
        </w:tc>
      </w:tr>
      <w:tr>
        <w:trPr>
          <w:trHeight w:val="230"/>
        </w:trPr>
        <w:tc>
          <w:tcPr>
            <w:tcW w:w="6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Unamortized discount and issuance costs - term loan</w:t>
            </w:r>
          </w:p>
        </w:tc>
        <w:tc>
          <w:tcPr>
            <w:tcW w:w="38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(1,515)</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(2,141)</w:t>
            </w:r>
          </w:p>
        </w:tc>
        <w:tc>
          <w:tcPr>
            <w:tcW w:w="0" w:type="dxa"/>
            <w:vAlign w:val="bottom"/>
          </w:tcPr>
          <w:p>
            <w:pPr>
              <w:spacing w:after="0"/>
              <w:rPr>
                <w:sz w:val="1"/>
                <w:szCs w:val="1"/>
                <w:color w:val="auto"/>
              </w:rPr>
            </w:pPr>
          </w:p>
        </w:tc>
      </w:tr>
      <w:tr>
        <w:trPr>
          <w:trHeight w:val="223"/>
        </w:trPr>
        <w:tc>
          <w:tcPr>
            <w:tcW w:w="6800" w:type="dxa"/>
            <w:vAlign w:val="bottom"/>
          </w:tcPr>
          <w:p>
            <w:pPr>
              <w:ind w:left="20"/>
              <w:spacing w:after="0"/>
              <w:rPr>
                <w:sz w:val="20"/>
                <w:szCs w:val="20"/>
                <w:color w:val="auto"/>
              </w:rPr>
            </w:pPr>
            <w:r>
              <w:rPr>
                <w:rFonts w:ascii="Arial" w:cs="Arial" w:eastAsia="Arial" w:hAnsi="Arial"/>
                <w:sz w:val="18"/>
                <w:szCs w:val="18"/>
                <w:color w:val="auto"/>
              </w:rPr>
              <w:t>Long-term debt less debt discount</w:t>
            </w:r>
          </w:p>
        </w:tc>
        <w:tc>
          <w:tcPr>
            <w:tcW w:w="3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591,832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624,611</w:t>
            </w:r>
          </w:p>
        </w:tc>
        <w:tc>
          <w:tcPr>
            <w:tcW w:w="0" w:type="dxa"/>
            <w:vAlign w:val="bottom"/>
          </w:tcPr>
          <w:p>
            <w:pPr>
              <w:spacing w:after="0"/>
              <w:rPr>
                <w:sz w:val="1"/>
                <w:szCs w:val="1"/>
                <w:color w:val="auto"/>
              </w:rPr>
            </w:pPr>
          </w:p>
        </w:tc>
      </w:tr>
      <w:tr>
        <w:trPr>
          <w:trHeight w:val="230"/>
        </w:trPr>
        <w:tc>
          <w:tcPr>
            <w:tcW w:w="6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current maturities</w:t>
            </w:r>
          </w:p>
        </w:tc>
        <w:tc>
          <w:tcPr>
            <w:tcW w:w="380" w:type="dxa"/>
            <w:vAlign w:val="bottom"/>
            <w:shd w:val="clear" w:color="auto" w:fill="CCEEFF"/>
          </w:tcPr>
          <w:p>
            <w:pPr>
              <w:spacing w:after="0"/>
              <w:rPr>
                <w:sz w:val="19"/>
                <w:szCs w:val="19"/>
                <w:color w:val="auto"/>
              </w:rPr>
            </w:pPr>
          </w:p>
        </w:tc>
        <w:tc>
          <w:tcPr>
            <w:tcW w:w="1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800" w:type="dxa"/>
            <w:vAlign w:val="bottom"/>
          </w:tcPr>
          <w:p>
            <w:pPr>
              <w:ind w:left="20"/>
              <w:spacing w:after="0"/>
              <w:rPr>
                <w:sz w:val="20"/>
                <w:szCs w:val="20"/>
                <w:color w:val="auto"/>
              </w:rPr>
            </w:pPr>
            <w:r>
              <w:rPr>
                <w:rFonts w:ascii="Arial" w:cs="Arial" w:eastAsia="Arial" w:hAnsi="Arial"/>
                <w:sz w:val="18"/>
                <w:szCs w:val="18"/>
                <w:color w:val="auto"/>
              </w:rPr>
              <w:t>Long-term debt - non-current portion</w:t>
            </w:r>
          </w:p>
        </w:tc>
        <w:tc>
          <w:tcPr>
            <w:tcW w:w="380" w:type="dxa"/>
            <w:vAlign w:val="bottom"/>
            <w:tcBorders>
              <w:top w:val="single" w:sz="8" w:color="auto"/>
            </w:tcBorders>
          </w:tcPr>
          <w:p>
            <w:pPr>
              <w:spacing w:after="0"/>
              <w:rPr>
                <w:sz w:val="19"/>
                <w:szCs w:val="19"/>
                <w:color w:val="auto"/>
              </w:rPr>
            </w:pPr>
          </w:p>
        </w:tc>
        <w:tc>
          <w:tcPr>
            <w:tcW w:w="1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591,832</w:t>
            </w:r>
          </w:p>
        </w:tc>
        <w:tc>
          <w:tcPr>
            <w:tcW w:w="12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624,611</w:t>
            </w:r>
          </w:p>
        </w:tc>
        <w:tc>
          <w:tcPr>
            <w:tcW w:w="0" w:type="dxa"/>
            <w:vAlign w:val="bottom"/>
          </w:tcPr>
          <w:p>
            <w:pPr>
              <w:spacing w:after="0"/>
              <w:rPr>
                <w:sz w:val="1"/>
                <w:szCs w:val="1"/>
                <w:color w:val="auto"/>
              </w:rPr>
            </w:pPr>
          </w:p>
        </w:tc>
      </w:tr>
      <w:tr>
        <w:trPr>
          <w:trHeight w:val="230"/>
        </w:trPr>
        <w:tc>
          <w:tcPr>
            <w:tcW w:w="6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Finance lease obligations</w:t>
            </w:r>
          </w:p>
        </w:tc>
        <w:tc>
          <w:tcPr>
            <w:tcW w:w="3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28,613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30,750</w:t>
            </w:r>
          </w:p>
        </w:tc>
        <w:tc>
          <w:tcPr>
            <w:tcW w:w="0" w:type="dxa"/>
            <w:vAlign w:val="bottom"/>
          </w:tcPr>
          <w:p>
            <w:pPr>
              <w:spacing w:after="0"/>
              <w:rPr>
                <w:sz w:val="1"/>
                <w:szCs w:val="1"/>
                <w:color w:val="auto"/>
              </w:rPr>
            </w:pPr>
          </w:p>
        </w:tc>
      </w:tr>
      <w:tr>
        <w:trPr>
          <w:trHeight w:val="230"/>
        </w:trPr>
        <w:tc>
          <w:tcPr>
            <w:tcW w:w="68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current maturities</w:t>
            </w:r>
          </w:p>
        </w:tc>
        <w:tc>
          <w:tcPr>
            <w:tcW w:w="38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(4,285)</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(3,598)</w:t>
            </w:r>
          </w:p>
        </w:tc>
        <w:tc>
          <w:tcPr>
            <w:tcW w:w="0" w:type="dxa"/>
            <w:vAlign w:val="bottom"/>
          </w:tcPr>
          <w:p>
            <w:pPr>
              <w:spacing w:after="0"/>
              <w:rPr>
                <w:sz w:val="1"/>
                <w:szCs w:val="1"/>
                <w:color w:val="auto"/>
              </w:rPr>
            </w:pPr>
          </w:p>
        </w:tc>
      </w:tr>
      <w:tr>
        <w:trPr>
          <w:trHeight w:val="248"/>
        </w:trPr>
        <w:tc>
          <w:tcPr>
            <w:tcW w:w="6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Long-term debt and finance lease obligations, less current portion and debt discount</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616,160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651,763</w:t>
            </w:r>
          </w:p>
        </w:tc>
        <w:tc>
          <w:tcPr>
            <w:tcW w:w="0" w:type="dxa"/>
            <w:vAlign w:val="bottom"/>
          </w:tcPr>
          <w:p>
            <w:pPr>
              <w:spacing w:after="0"/>
              <w:rPr>
                <w:sz w:val="1"/>
                <w:szCs w:val="1"/>
                <w:color w:val="auto"/>
              </w:rPr>
            </w:pPr>
          </w:p>
        </w:tc>
      </w:tr>
      <w:tr>
        <w:trPr>
          <w:trHeight w:val="20"/>
        </w:trPr>
        <w:tc>
          <w:tcPr>
            <w:tcW w:w="6800" w:type="dxa"/>
            <w:vAlign w:val="bottom"/>
            <w:tcBorders>
              <w:top w:val="single" w:sz="8" w:color="CCEEFF"/>
              <w:bottom w:val="single" w:sz="8" w:color="CCEEFF"/>
            </w:tcBorders>
            <w:vMerge w:val="restart"/>
          </w:tcPr>
          <w:p>
            <w:pPr>
              <w:ind w:left="5540"/>
              <w:spacing w:after="0"/>
              <w:rPr>
                <w:sz w:val="20"/>
                <w:szCs w:val="20"/>
                <w:color w:val="auto"/>
              </w:rPr>
            </w:pPr>
            <w:r>
              <w:rPr>
                <w:rFonts w:ascii="Arial" w:cs="Arial" w:eastAsia="Arial" w:hAnsi="Arial"/>
                <w:sz w:val="18"/>
                <w:szCs w:val="18"/>
                <w:color w:val="auto"/>
              </w:rPr>
              <w:t>14</w:t>
            </w: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1"/>
        </w:trPr>
        <w:tc>
          <w:tcPr>
            <w:tcW w:w="680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680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7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8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 w:name="page15"/>
    <w:bookmarkEnd w:id="1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Agreement</w:t>
      </w:r>
    </w:p>
    <w:p>
      <w:pPr>
        <w:spacing w:after="0" w:line="117"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During the second quarter of 2021, the Company voluntarily prepaid $117.4 million of term loan principal and wrote off associated deferred debt issuance costs of $0.7 million. The Company also amended its credit agreement to, among other things, add customary LIBOR replacement provisions, modify the applicable margins used to calculate the rate of interest payable on the first lien term loans thereunder to a range of 1.25% to 2.00% for LIBOR Loans and a range of 0.25% to 1.00% for ABR Loans, modify certain financial covenants related to maximum leverage and minimum interest coverage and remove the LIBOR floor, such that LIBOR shall be deemed to be no less than 0.00% per annum (instead of 1.00% per annum previously in effect).</w:t>
      </w:r>
    </w:p>
    <w:p>
      <w:pPr>
        <w:spacing w:after="0" w:line="5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a result of the principal prepayments made by the Company, we have no additional mandatory principal payments on the remaining $200.0 million term loan balance until maturity on July 18, 2024.</w:t>
      </w:r>
    </w:p>
    <w:p>
      <w:pPr>
        <w:spacing w:after="0" w:line="6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Capitalized terms used but not defined herein shall have the meanings assigned to such terms in our credit agreement. Pursuant to our credit agreement, the Company will not permit (i) the Consolidated Total Debt to Consolidated EBITDA Ratio to be negative or greater than (x) 4.50 to 1.00 with respect to the last day of the Company’s second and third fiscal quarters of 2021 and (y) 4.25 to 1.00 from and after the last day of the Company’s fourth fiscal quarter of 2021, subject to certain step-ups after the consummation of a Material Acquisition, or (ii) the Consolidated Interest Coverage Ratio of the Company as of the last day of any fiscal quarter of the Company to be less than 3.00 to 1.00. We were in compliance with all covenants related to our long-term debt as of July 3, 2021.</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2025 Notes</w:t>
      </w:r>
    </w:p>
    <w:p>
      <w:pPr>
        <w:spacing w:after="0" w:line="11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adopted ASU 2020-06 as of January 3, 2021. ASU 2020-06 eliminates the cash conversion and the beneficial conversion feature models. Under the new convertible debt framework, the Company eliminated the equity components and increased the debt balance. Refer to Note 1. “Description of Business and Basis of Presentation” for further discussion of the adoption of ASU 2020-06. As a result of adopting ASU 2020-06, our effective interest rate decreased from 9.1% as of January 2, 2021 to 3.2% starting in the first quarter of 2021. We recognized $2.5 million and $0.5 million in interest expense for the interest coupon and amortization of issuance costs, respectively, during the three months ended July 3, 2021 and $5.0 million and $1.0 million, respectively during the six months ended July 3, 2021. As of July 3, 2021, the remaining period for the unamortized debt issuance costs balance was approximately four years.</w:t>
      </w:r>
    </w:p>
    <w:p>
      <w:pPr>
        <w:spacing w:after="0" w:line="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July 3, 2021, the 2025 Notes can be converted by holders. The conversion rate will be subject to adjustment upon the occurrence of certain specified events including, but not limited to: issuance of stock dividends, splits and combinations; distribution of rights, options and warrants; spin-offs and other distributed property; cash dividends or distributions; tender offers or exchange offers; and certain other corporate transactions. The holders of our term loan would have preference over the holders of the 2025 Notes in the event of a liquidation.</w:t>
      </w: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Interest Rate Derivatives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are party to an interest rate collar to offset the variability of cash flows in LIBOR-indexed debt interest payments. The aggregate notional amount of the interest rate collar was $375.0 million as of July 3, 2021. The fair value of our interest rate collar instrument was $8.3 million as of July 3, 2021 and is not designated as a cash flow hedge. The interest rate swaps we held at the end of fiscal year 2020 matured in the first quarter of 2021. The fair value of our interest rate derivative instruments was $12.8 million as of January 2, 2021, $1.5 million of which was designated as a cash flow hedge. See Note 3. “Fair Value Measurement” for further details.</w:t>
      </w:r>
    </w:p>
    <w:p>
      <w:pPr>
        <w:spacing w:after="0" w:line="8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Gains (losses) on the change in fair value of the interest rate collar of approximately $(0.5) million and $1.5 million were recorded in interest expense, net during the three and six months ended July 3, 2021, respectively. Interest expense, net related to our interest rate derivatives considered to be highly effective hedges for the six months ended July 3, 2021 was $1.5 million.</w:t>
      </w:r>
    </w:p>
    <w:p>
      <w:pPr>
        <w:spacing w:after="0" w:line="7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Cash flows related to derivatives qualifying as hedges are included in the same section of the Condensed Consolidated Statements of Cash Flows as the underlying assets and liabilities being hedged. Cash flows during the six months ended July 3, 2021 and June 27, 2020 related to derivatives not qualifying as hedges were included in the operating section of the Condensed Consolidated Statements of Cash Flows and were immaterial.</w:t>
      </w: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5" w:name="page16"/>
    <w:bookmarkEnd w:id="1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During the second quarter of 2021, as a result of the partial repayment of the Company’s LIBOR based term-loan debt balances, certain forecasted hedged transactions were deemed not probable of occurring. The Company subsequently reclassified unrealized losses of $2.5 million from AOCL to interest expense on $115.0 million of interest rate collar notional, during the three and six months ended July 3, 2021. As of July 3, 2021, the Company expects to reclassify approximately $0.9 million of unrealized losses on derivative instruments, net of tax, from Accumulated other comprehensive loss (“AOCL”) into earnings in the next 12 months as the derivative instruments mature. See Note 13. “Accumulated Other Comprehensive Loss” for further details.</w:t>
      </w:r>
    </w:p>
    <w:p>
      <w:pPr>
        <w:spacing w:after="0" w:line="5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During the second quarter of 2020, as a result of the partial repayment of the Company’s LIBOR based debt balances, certain forecasted hedged transactions were deemed not probable of occurring. The Company subsequently discontinued hedge accounting on $78.0 million of interest rate swap notional and $58.0 million of interest rate collar notional, reclassifying net unrealized losses of approximately $2.5 million from AOCL to interest expense, net during the three and six months ended June 27, 2020. Additionally, due to changes in the interest rates applicable to the Company’s term loan and revolver, the interest rate collar ceased to be a highly effective hedge. Losses on the change in fair value of the interest rate collar of approximately $2.6 million were recorded in interest expense, net during the quarter ended June 27, 2020. Interest expense, net related to derivatives considered to be highly effective hedges for the three and six months ended June 27, 2020 was $2.0 million and $3.9 million, respectively.</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Stock Incentive Plans</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During the six months ended July 3, 2021, the Company granted 107,319 stock options, 108,817 performance-based restricted stock units (“PSUs”) and 126,161 time-based restricted stock units (“RSUs”) to eligible employees under the National Vision Holdings, Inc. 2017 Omnibus Incentive Plan (the “2017 Omnibus Incentive Plan”). The time-based options granted in fiscal 2021 vest in three equal annual installments, with one-third of the total options vesting on each of the first, second, and third anniversaries of the grant date, subject to continued employment through the applicable vesting date. The PSUs granted in fiscal 2021 are settled after the end of the performance period (i.e., cliff vesting), which begins on the first day of our 2021 fiscal year and ends on the last day of our 2023 fiscal year, and are based on the Company’s achievement of certain performance targets. The RSUs granted in fiscal 2021 vest primarily in three equal installments.</w:t>
      </w:r>
    </w:p>
    <w:p>
      <w:pPr>
        <w:spacing w:after="0" w:line="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six months ended July 3, 2021, the Company granted 16,539 restricted stock awards (“RSAs”) to eligible members of the Company’s Board of Directors under the 2017 Omnibus Incentive Plan. The awards vest one year from the grant date.</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Revenue From Contracts With Customers</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majority of our revenues are recognized either at the point of sale or upon delivery and customer acceptance, paid for at the time of sale in cash, credit card, or on account with managed care payors having terms generally between 14 and 120 days, with most paying within 90 days. For sales of in-store non-prescription eyewear and related accessories, and paid eye exams, we recognize revenue at the point of sale. Our point in time revenues include 1) retail sales of prescription and non-prescription eyewear, contact lenses and related accessories to retail customers (including those covered by managed care), 2) eye exams and 3) wholesale sales of inventory in which our customer is another retail entity. Revenues recognized over time primarily include product protection plans, eye care club memberships and management fees earned from our legacy partner.</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disaggregation of revenues depicts our revenue based on the timing of revenue recognition:</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320" w:type="dxa"/>
            <w:vAlign w:val="bottom"/>
            <w:gridSpan w:val="5"/>
          </w:tcPr>
          <w:p>
            <w:pPr>
              <w:ind w:left="700"/>
              <w:spacing w:after="0"/>
              <w:rPr>
                <w:sz w:val="20"/>
                <w:szCs w:val="20"/>
                <w:color w:val="auto"/>
              </w:rPr>
            </w:pPr>
            <w:r>
              <w:rPr>
                <w:rFonts w:ascii="Arial" w:cs="Arial" w:eastAsia="Arial" w:hAnsi="Arial"/>
                <w:sz w:val="18"/>
                <w:szCs w:val="18"/>
                <w:color w:val="auto"/>
              </w:rPr>
              <w:t>Three Months Ended</w:t>
            </w:r>
          </w:p>
        </w:tc>
        <w:tc>
          <w:tcPr>
            <w:tcW w:w="240" w:type="dxa"/>
            <w:vAlign w:val="bottom"/>
          </w:tcPr>
          <w:p>
            <w:pPr>
              <w:spacing w:after="0"/>
              <w:rPr>
                <w:sz w:val="20"/>
                <w:szCs w:val="20"/>
                <w:color w:val="auto"/>
              </w:rPr>
            </w:pPr>
          </w:p>
        </w:tc>
        <w:tc>
          <w:tcPr>
            <w:tcW w:w="3220" w:type="dxa"/>
            <w:vAlign w:val="bottom"/>
            <w:gridSpan w:val="4"/>
          </w:tcPr>
          <w:p>
            <w:pPr>
              <w:jc w:val="right"/>
              <w:ind w:right="970"/>
              <w:spacing w:after="0"/>
              <w:rPr>
                <w:sz w:val="20"/>
                <w:szCs w:val="20"/>
                <w:color w:val="auto"/>
              </w:rPr>
            </w:pPr>
            <w:r>
              <w:rPr>
                <w:rFonts w:ascii="Arial" w:cs="Arial" w:eastAsia="Arial" w:hAnsi="Arial"/>
                <w:sz w:val="18"/>
                <w:szCs w:val="18"/>
                <w:color w:val="auto"/>
              </w:rPr>
              <w:t>Six Months Ended</w:t>
            </w:r>
          </w:p>
        </w:tc>
      </w:tr>
      <w:tr>
        <w:trPr>
          <w:trHeight w:val="223"/>
        </w:trPr>
        <w:tc>
          <w:tcPr>
            <w:tcW w:w="4200" w:type="dxa"/>
            <w:vAlign w:val="bottom"/>
          </w:tcPr>
          <w:p>
            <w:pPr>
              <w:ind w:left="20"/>
              <w:spacing w:after="0"/>
              <w:rPr>
                <w:sz w:val="20"/>
                <w:szCs w:val="20"/>
                <w:color w:val="auto"/>
              </w:rPr>
            </w:pPr>
            <w:r>
              <w:rPr>
                <w:rFonts w:ascii="Arial" w:cs="Arial" w:eastAsia="Arial" w:hAnsi="Arial"/>
                <w:sz w:val="18"/>
                <w:szCs w:val="18"/>
                <w:i w:val="1"/>
                <w:iCs w:val="1"/>
                <w:color w:val="auto"/>
              </w:rPr>
              <w:t>In thousands</w:t>
            </w:r>
          </w:p>
        </w:tc>
        <w:tc>
          <w:tcPr>
            <w:tcW w:w="260" w:type="dxa"/>
            <w:vAlign w:val="bottom"/>
            <w:tcBorders>
              <w:top w:val="single" w:sz="8" w:color="auto"/>
            </w:tcBorders>
          </w:tcPr>
          <w:p>
            <w:pPr>
              <w:spacing w:after="0"/>
              <w:rPr>
                <w:sz w:val="19"/>
                <w:szCs w:val="19"/>
                <w:color w:val="auto"/>
              </w:rPr>
            </w:pPr>
          </w:p>
        </w:tc>
        <w:tc>
          <w:tcPr>
            <w:tcW w:w="1520" w:type="dxa"/>
            <w:vAlign w:val="bottom"/>
            <w:tcBorders>
              <w:top w:val="single" w:sz="8" w:color="auto"/>
            </w:tcBorders>
            <w:gridSpan w:val="2"/>
          </w:tcPr>
          <w:p>
            <w:pPr>
              <w:ind w:left="140"/>
              <w:spacing w:after="0"/>
              <w:rPr>
                <w:sz w:val="20"/>
                <w:szCs w:val="20"/>
                <w:color w:val="auto"/>
              </w:rPr>
            </w:pPr>
            <w:r>
              <w:rPr>
                <w:rFonts w:ascii="Arial" w:cs="Arial" w:eastAsia="Arial" w:hAnsi="Arial"/>
                <w:sz w:val="18"/>
                <w:szCs w:val="18"/>
                <w:color w:val="auto"/>
              </w:rPr>
              <w:t>July 3, 2021</w:t>
            </w:r>
          </w:p>
        </w:tc>
        <w:tc>
          <w:tcPr>
            <w:tcW w:w="22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96"/>
              </w:rPr>
              <w:t>June 27, 2020</w:t>
            </w:r>
          </w:p>
        </w:tc>
        <w:tc>
          <w:tcPr>
            <w:tcW w:w="14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540" w:type="dxa"/>
            <w:vAlign w:val="bottom"/>
            <w:tcBorders>
              <w:top w:val="single" w:sz="8" w:color="auto"/>
            </w:tcBorders>
            <w:gridSpan w:val="2"/>
          </w:tcPr>
          <w:p>
            <w:pPr>
              <w:ind w:left="140"/>
              <w:spacing w:after="0"/>
              <w:rPr>
                <w:sz w:val="20"/>
                <w:szCs w:val="20"/>
                <w:color w:val="auto"/>
              </w:rPr>
            </w:pPr>
            <w:r>
              <w:rPr>
                <w:rFonts w:ascii="Arial" w:cs="Arial" w:eastAsia="Arial" w:hAnsi="Arial"/>
                <w:sz w:val="18"/>
                <w:szCs w:val="18"/>
                <w:color w:val="auto"/>
              </w:rPr>
              <w:t>July 3, 2021</w:t>
            </w:r>
          </w:p>
        </w:tc>
        <w:tc>
          <w:tcPr>
            <w:tcW w:w="22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w w:val="96"/>
              </w:rPr>
              <w:t>June 27, 2020</w:t>
            </w:r>
          </w:p>
        </w:tc>
      </w:tr>
      <w:tr>
        <w:trPr>
          <w:trHeight w:val="223"/>
        </w:trPr>
        <w:tc>
          <w:tcPr>
            <w:tcW w:w="4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Revenues recognized at a point in time</w:t>
            </w: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504,969</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229,536</w:t>
            </w:r>
          </w:p>
        </w:tc>
        <w:tc>
          <w:tcPr>
            <w:tcW w:w="14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998,407</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663,715</w:t>
            </w:r>
          </w:p>
        </w:tc>
      </w:tr>
      <w:tr>
        <w:trPr>
          <w:trHeight w:val="230"/>
        </w:trPr>
        <w:tc>
          <w:tcPr>
            <w:tcW w:w="42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Revenues recognized over time</w:t>
            </w:r>
          </w:p>
        </w:tc>
        <w:tc>
          <w:tcPr>
            <w:tcW w:w="2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44,520</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30,471</w:t>
            </w:r>
          </w:p>
        </w:tc>
        <w:tc>
          <w:tcPr>
            <w:tcW w:w="1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85,262</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65,996</w:t>
            </w:r>
          </w:p>
        </w:tc>
      </w:tr>
      <w:tr>
        <w:trPr>
          <w:trHeight w:val="248"/>
        </w:trPr>
        <w:tc>
          <w:tcPr>
            <w:tcW w:w="42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net revenue</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549,489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260,007</w:t>
            </w:r>
          </w:p>
        </w:tc>
        <w:tc>
          <w:tcPr>
            <w:tcW w:w="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1,083,669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729,711</w:t>
            </w:r>
          </w:p>
        </w:tc>
      </w:tr>
      <w:tr>
        <w:trPr>
          <w:trHeight w:val="20"/>
        </w:trPr>
        <w:tc>
          <w:tcPr>
            <w:tcW w:w="42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r>
      <w:tr>
        <w:trPr>
          <w:trHeight w:val="825"/>
        </w:trPr>
        <w:tc>
          <w:tcPr>
            <w:tcW w:w="4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0" w:type="dxa"/>
            <w:vAlign w:val="bottom"/>
          </w:tcPr>
          <w:p>
            <w:pPr>
              <w:jc w:val="right"/>
              <w:ind w:right="50"/>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115"/>
        </w:trPr>
        <w:tc>
          <w:tcPr>
            <w:tcW w:w="42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4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4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4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4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Refer to Note 10. “Segment Reporting” for the Company’s disaggregation of net revenue by reportable segment and product type. As the reportable segments are aligned by similar economic factors, trends and customers, the reportable segment disaggregation view best depicts how the nature, amount and uncertainty of revenue and cash flows are affected by economic factors.</w:t>
      </w:r>
    </w:p>
    <w:p>
      <w:pPr>
        <w:spacing w:after="0" w:line="7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record reductions in revenue for estimated price concessions granted to managed care providers. The Company considers its revenue from managed care customers to include variable consideration and estimates such amounts associated with managed care customer revenues using the history of concessions provided and cash receipts from managed care providers; we reduced our net revenue for variable considerations of $1.6 million and an immaterial amount during the three months ended July 3, 2021 and June 27, 2020, respectively, and $4.4 million and $3.7 million during the six months ended July 3, 2021 and June 27, 2020, respectively.</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Assets and Liabilities</w:t>
      </w:r>
    </w:p>
    <w:p>
      <w:pPr>
        <w:spacing w:after="0" w:line="11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Company’s contract assets and contract liabilities primarily result from timing differences between the performance of our obligations and the customer’s payment.</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Accounts Receivable</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Credit loss expense recognized on our receivables, which is presented in SG&amp;A expenses in the Company’s condensed consolidated statements of operations, were $0.2 million for the three months ended July 3, 2021 and $0.3 million for the six months ended July 3, 2021 as compared to an immaterial amount and $0.4 million for the three and six months ended June 27, 2020, respectively.</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Unsatisfied Performance Obligations (Contract Liabilities)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deferred revenue balance as of July 3, 2021 was $92.1 million. We expect future revenue recognition of this balance of $44.6 million, $34.0 million, $11.6 million, $1.8 million, and $0.1 million in fiscal years 2021, 2022, 2023, 2024, and 2025, respectively. We recognized $23.0 million and $37.3 million of previously deferred revenues during the three and six months ended July 3, 2021, respectively and $24.2 million and $52.2 million during the three and six months ended June 27, 2020, respectively.</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40" w:type="dxa"/>
            <w:vAlign w:val="bottom"/>
          </w:tcPr>
          <w:p>
            <w:pPr>
              <w:spacing w:after="0"/>
              <w:rPr>
                <w:sz w:val="20"/>
                <w:szCs w:val="20"/>
                <w:color w:val="auto"/>
              </w:rPr>
            </w:pPr>
            <w:r>
              <w:rPr>
                <w:rFonts w:ascii="Arial" w:cs="Arial" w:eastAsia="Arial" w:hAnsi="Arial"/>
                <w:sz w:val="18"/>
                <w:szCs w:val="18"/>
                <w:b w:val="1"/>
                <w:bCs w:val="1"/>
                <w:color w:val="auto"/>
              </w:rPr>
              <w:t>8. Leases</w:t>
            </w: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459"/>
        </w:trPr>
        <w:tc>
          <w:tcPr>
            <w:tcW w:w="6720" w:type="dxa"/>
            <w:vAlign w:val="bottom"/>
            <w:gridSpan w:val="5"/>
          </w:tcPr>
          <w:p>
            <w:pPr>
              <w:spacing w:after="0"/>
              <w:rPr>
                <w:sz w:val="20"/>
                <w:szCs w:val="20"/>
                <w:color w:val="auto"/>
              </w:rPr>
            </w:pPr>
            <w:r>
              <w:rPr>
                <w:rFonts w:ascii="Arial" w:cs="Arial" w:eastAsia="Arial" w:hAnsi="Arial"/>
                <w:sz w:val="18"/>
                <w:szCs w:val="18"/>
                <w:color w:val="auto"/>
                <w:w w:val="91"/>
              </w:rPr>
              <w:t>Our lease costs for the three months ended July 3, 2021 and June 27, 2020 were as follows:</w:t>
            </w: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57"/>
        </w:trPr>
        <w:tc>
          <w:tcPr>
            <w:tcW w:w="49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000" w:type="dxa"/>
            <w:vAlign w:val="bottom"/>
            <w:gridSpan w:val="5"/>
          </w:tcPr>
          <w:p>
            <w:pPr>
              <w:ind w:left="580"/>
              <w:spacing w:after="0"/>
              <w:rPr>
                <w:sz w:val="20"/>
                <w:szCs w:val="20"/>
                <w:color w:val="auto"/>
              </w:rPr>
            </w:pPr>
            <w:r>
              <w:rPr>
                <w:rFonts w:ascii="Arial" w:cs="Arial" w:eastAsia="Arial" w:hAnsi="Arial"/>
                <w:sz w:val="18"/>
                <w:szCs w:val="18"/>
                <w:color w:val="auto"/>
              </w:rPr>
              <w:t>Three Months Ended</w:t>
            </w:r>
          </w:p>
        </w:tc>
        <w:tc>
          <w:tcPr>
            <w:tcW w:w="220" w:type="dxa"/>
            <w:vAlign w:val="bottom"/>
          </w:tcPr>
          <w:p>
            <w:pPr>
              <w:spacing w:after="0"/>
              <w:rPr>
                <w:sz w:val="22"/>
                <w:szCs w:val="22"/>
                <w:color w:val="auto"/>
              </w:rPr>
            </w:pPr>
          </w:p>
        </w:tc>
        <w:tc>
          <w:tcPr>
            <w:tcW w:w="2880" w:type="dxa"/>
            <w:vAlign w:val="bottom"/>
            <w:gridSpan w:val="4"/>
          </w:tcPr>
          <w:p>
            <w:pPr>
              <w:jc w:val="right"/>
              <w:ind w:right="790"/>
              <w:spacing w:after="0"/>
              <w:rPr>
                <w:sz w:val="20"/>
                <w:szCs w:val="20"/>
                <w:color w:val="auto"/>
              </w:rPr>
            </w:pPr>
            <w:r>
              <w:rPr>
                <w:rFonts w:ascii="Arial" w:cs="Arial" w:eastAsia="Arial" w:hAnsi="Arial"/>
                <w:sz w:val="18"/>
                <w:szCs w:val="18"/>
                <w:color w:val="auto"/>
              </w:rPr>
              <w:t>Six Months Ended</w:t>
            </w:r>
          </w:p>
        </w:tc>
      </w:tr>
      <w:tr>
        <w:trPr>
          <w:trHeight w:val="223"/>
        </w:trPr>
        <w:tc>
          <w:tcPr>
            <w:tcW w:w="4940" w:type="dxa"/>
            <w:vAlign w:val="bottom"/>
          </w:tcPr>
          <w:p>
            <w:pPr>
              <w:ind w:left="20"/>
              <w:spacing w:after="0"/>
              <w:rPr>
                <w:sz w:val="20"/>
                <w:szCs w:val="20"/>
                <w:color w:val="auto"/>
              </w:rPr>
            </w:pPr>
            <w:r>
              <w:rPr>
                <w:rFonts w:ascii="Arial" w:cs="Arial" w:eastAsia="Arial" w:hAnsi="Arial"/>
                <w:sz w:val="18"/>
                <w:szCs w:val="18"/>
                <w:i w:val="1"/>
                <w:iCs w:val="1"/>
                <w:color w:val="auto"/>
              </w:rPr>
              <w:t>In thousands</w:t>
            </w:r>
          </w:p>
        </w:tc>
        <w:tc>
          <w:tcPr>
            <w:tcW w:w="200" w:type="dxa"/>
            <w:vAlign w:val="bottom"/>
            <w:tcBorders>
              <w:top w:val="single" w:sz="8" w:color="auto"/>
            </w:tcBorders>
          </w:tcPr>
          <w:p>
            <w:pPr>
              <w:spacing w:after="0"/>
              <w:rPr>
                <w:sz w:val="19"/>
                <w:szCs w:val="19"/>
                <w:color w:val="auto"/>
              </w:rPr>
            </w:pPr>
          </w:p>
        </w:tc>
        <w:tc>
          <w:tcPr>
            <w:tcW w:w="1400" w:type="dxa"/>
            <w:vAlign w:val="bottom"/>
            <w:tcBorders>
              <w:top w:val="single" w:sz="8" w:color="auto"/>
            </w:tcBorders>
            <w:gridSpan w:val="2"/>
          </w:tcPr>
          <w:p>
            <w:pPr>
              <w:ind w:left="100"/>
              <w:spacing w:after="0"/>
              <w:rPr>
                <w:sz w:val="20"/>
                <w:szCs w:val="20"/>
                <w:color w:val="auto"/>
              </w:rPr>
            </w:pPr>
            <w:r>
              <w:rPr>
                <w:rFonts w:ascii="Arial" w:cs="Arial" w:eastAsia="Arial" w:hAnsi="Arial"/>
                <w:sz w:val="18"/>
                <w:szCs w:val="18"/>
                <w:color w:val="auto"/>
              </w:rPr>
              <w:t>July 3, 2021</w:t>
            </w:r>
          </w:p>
        </w:tc>
        <w:tc>
          <w:tcPr>
            <w:tcW w:w="18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1"/>
              </w:rPr>
              <w:t>June 27, 2020</w:t>
            </w:r>
          </w:p>
        </w:tc>
        <w:tc>
          <w:tcPr>
            <w:tcW w:w="1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400" w:type="dxa"/>
            <w:vAlign w:val="bottom"/>
            <w:tcBorders>
              <w:top w:val="single" w:sz="8" w:color="auto"/>
            </w:tcBorders>
            <w:gridSpan w:val="2"/>
          </w:tcPr>
          <w:p>
            <w:pPr>
              <w:ind w:left="80"/>
              <w:spacing w:after="0"/>
              <w:rPr>
                <w:sz w:val="20"/>
                <w:szCs w:val="20"/>
                <w:color w:val="auto"/>
              </w:rPr>
            </w:pPr>
            <w:r>
              <w:rPr>
                <w:rFonts w:ascii="Arial" w:cs="Arial" w:eastAsia="Arial" w:hAnsi="Arial"/>
                <w:sz w:val="18"/>
                <w:szCs w:val="18"/>
                <w:color w:val="auto"/>
              </w:rPr>
              <w:t>July 3, 2021</w:t>
            </w:r>
          </w:p>
        </w:tc>
        <w:tc>
          <w:tcPr>
            <w:tcW w:w="16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2"/>
              </w:rPr>
              <w:t>June 27, 2020</w:t>
            </w:r>
          </w:p>
        </w:tc>
      </w:tr>
      <w:tr>
        <w:trPr>
          <w:trHeight w:val="210"/>
        </w:trPr>
        <w:tc>
          <w:tcPr>
            <w:tcW w:w="49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Operating lease cost</w:t>
            </w:r>
          </w:p>
        </w:tc>
        <w:tc>
          <w:tcPr>
            <w:tcW w:w="20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r>
      <w:tr>
        <w:trPr>
          <w:trHeight w:val="229"/>
        </w:trPr>
        <w:tc>
          <w:tcPr>
            <w:tcW w:w="494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Fixed lease cost </w:t>
            </w:r>
            <w:r>
              <w:rPr>
                <w:rFonts w:ascii="Arial" w:cs="Arial" w:eastAsia="Arial" w:hAnsi="Arial"/>
                <w:sz w:val="23"/>
                <w:szCs w:val="23"/>
                <w:color w:val="auto"/>
                <w:vertAlign w:val="superscript"/>
              </w:rPr>
              <w:t>(a)</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20,903</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19,100</w:t>
            </w:r>
          </w:p>
        </w:tc>
        <w:tc>
          <w:tcPr>
            <w:tcW w:w="12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41,554</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38,412</w:t>
            </w:r>
          </w:p>
        </w:tc>
      </w:tr>
      <w:tr>
        <w:trPr>
          <w:trHeight w:val="229"/>
        </w:trPr>
        <w:tc>
          <w:tcPr>
            <w:tcW w:w="494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Variable lease cost </w:t>
            </w:r>
            <w:r>
              <w:rPr>
                <w:rFonts w:ascii="Arial" w:cs="Arial" w:eastAsia="Arial" w:hAnsi="Arial"/>
                <w:sz w:val="23"/>
                <w:szCs w:val="23"/>
                <w:color w:val="auto"/>
                <w:vertAlign w:val="superscript"/>
              </w:rPr>
              <w:t>(b)</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7,515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6,356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14,918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13,166</w:t>
            </w:r>
          </w:p>
        </w:tc>
      </w:tr>
      <w:tr>
        <w:trPr>
          <w:trHeight w:val="230"/>
        </w:trPr>
        <w:tc>
          <w:tcPr>
            <w:tcW w:w="494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Sublease income </w:t>
            </w:r>
            <w:r>
              <w:rPr>
                <w:rFonts w:ascii="Arial" w:cs="Arial" w:eastAsia="Arial" w:hAnsi="Arial"/>
                <w:sz w:val="23"/>
                <w:szCs w:val="23"/>
                <w:color w:val="auto"/>
                <w:vertAlign w:val="superscript"/>
              </w:rPr>
              <w:t>(c)</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(919)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(292)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(1,829)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(882)</w:t>
            </w:r>
          </w:p>
        </w:tc>
      </w:tr>
      <w:tr>
        <w:trPr>
          <w:trHeight w:val="270"/>
        </w:trPr>
        <w:tc>
          <w:tcPr>
            <w:tcW w:w="49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r>
      <w:tr>
        <w:trPr>
          <w:trHeight w:val="229"/>
        </w:trPr>
        <w:tc>
          <w:tcPr>
            <w:tcW w:w="494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Finance lease cost</w:t>
            </w: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30"/>
        </w:trPr>
        <w:tc>
          <w:tcPr>
            <w:tcW w:w="4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of finance lease assets</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2,281</w:t>
            </w:r>
          </w:p>
        </w:tc>
      </w:tr>
      <w:tr>
        <w:trPr>
          <w:trHeight w:val="270"/>
        </w:trPr>
        <w:tc>
          <w:tcPr>
            <w:tcW w:w="49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20" w:type="dxa"/>
            <w:vAlign w:val="bottom"/>
          </w:tcPr>
          <w:p>
            <w:pPr>
              <w:spacing w:after="0"/>
              <w:rPr>
                <w:sz w:val="23"/>
                <w:szCs w:val="23"/>
                <w:color w:val="auto"/>
              </w:rPr>
            </w:pPr>
          </w:p>
        </w:tc>
      </w:tr>
      <w:tr>
        <w:trPr>
          <w:trHeight w:val="229"/>
        </w:trPr>
        <w:tc>
          <w:tcPr>
            <w:tcW w:w="494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Interest expense, net:</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29"/>
        </w:trPr>
        <w:tc>
          <w:tcPr>
            <w:tcW w:w="4940" w:type="dxa"/>
            <w:vAlign w:val="bottom"/>
          </w:tcPr>
          <w:p>
            <w:pPr>
              <w:ind w:left="20"/>
              <w:spacing w:after="0"/>
              <w:rPr>
                <w:sz w:val="20"/>
                <w:szCs w:val="20"/>
                <w:color w:val="auto"/>
              </w:rPr>
            </w:pPr>
            <w:r>
              <w:rPr>
                <w:rFonts w:ascii="Arial" w:cs="Arial" w:eastAsia="Arial" w:hAnsi="Arial"/>
                <w:sz w:val="18"/>
                <w:szCs w:val="18"/>
                <w:color w:val="auto"/>
              </w:rPr>
              <w:t>Interest on finance lease liabilities</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743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851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1,523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1,724</w:t>
            </w:r>
          </w:p>
        </w:tc>
      </w:tr>
      <w:tr>
        <w:trPr>
          <w:trHeight w:val="270"/>
        </w:trPr>
        <w:tc>
          <w:tcPr>
            <w:tcW w:w="494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spacing w:after="0"/>
              <w:rPr>
                <w:sz w:val="23"/>
                <w:szCs w:val="23"/>
                <w:color w:val="auto"/>
              </w:rPr>
            </w:pPr>
          </w:p>
        </w:tc>
      </w:tr>
      <w:tr>
        <w:trPr>
          <w:trHeight w:val="223"/>
        </w:trPr>
        <w:tc>
          <w:tcPr>
            <w:tcW w:w="4940" w:type="dxa"/>
            <w:vAlign w:val="bottom"/>
          </w:tcPr>
          <w:p>
            <w:pPr>
              <w:ind w:left="20"/>
              <w:spacing w:after="0"/>
              <w:rPr>
                <w:sz w:val="20"/>
                <w:szCs w:val="20"/>
                <w:color w:val="auto"/>
              </w:rPr>
            </w:pPr>
            <w:r>
              <w:rPr>
                <w:rFonts w:ascii="Arial" w:cs="Arial" w:eastAsia="Arial" w:hAnsi="Arial"/>
                <w:sz w:val="18"/>
                <w:szCs w:val="18"/>
                <w:b w:val="1"/>
                <w:bCs w:val="1"/>
                <w:color w:val="auto"/>
              </w:rPr>
              <w:t>Net lease cost</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29,355</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27,140</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58,402</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54,701</w:t>
            </w:r>
          </w:p>
        </w:tc>
      </w:tr>
      <w:tr>
        <w:trPr>
          <w:trHeight w:val="20"/>
        </w:trPr>
        <w:tc>
          <w:tcPr>
            <w:tcW w:w="49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left="220" w:hanging="194"/>
        <w:spacing w:after="0"/>
        <w:tabs>
          <w:tab w:leader="none" w:pos="220" w:val="left"/>
        </w:tabs>
        <w:numPr>
          <w:ilvl w:val="0"/>
          <w:numId w:val="8"/>
        </w:numPr>
        <w:rPr>
          <w:rFonts w:ascii="Arial" w:cs="Arial" w:eastAsia="Arial" w:hAnsi="Arial"/>
          <w:sz w:val="14"/>
          <w:szCs w:val="14"/>
          <w:color w:val="auto"/>
        </w:rPr>
      </w:pPr>
      <w:r>
        <w:rPr>
          <w:rFonts w:ascii="Arial" w:cs="Arial" w:eastAsia="Arial" w:hAnsi="Arial"/>
          <w:sz w:val="14"/>
          <w:szCs w:val="14"/>
          <w:color w:val="auto"/>
        </w:rPr>
        <w:t>Includes short-term leases, which are immaterial.</w:t>
      </w:r>
    </w:p>
    <w:p>
      <w:pPr>
        <w:spacing w:after="0" w:line="28" w:lineRule="exact"/>
        <w:rPr>
          <w:rFonts w:ascii="Arial" w:cs="Arial" w:eastAsia="Arial" w:hAnsi="Arial"/>
          <w:sz w:val="14"/>
          <w:szCs w:val="14"/>
          <w:color w:val="auto"/>
        </w:rPr>
      </w:pPr>
    </w:p>
    <w:p>
      <w:pPr>
        <w:ind w:left="20" w:right="40" w:firstLine="6"/>
        <w:spacing w:after="0" w:line="236" w:lineRule="auto"/>
        <w:tabs>
          <w:tab w:leader="none" w:pos="225" w:val="left"/>
        </w:tabs>
        <w:numPr>
          <w:ilvl w:val="0"/>
          <w:numId w:val="8"/>
        </w:numPr>
        <w:rPr>
          <w:rFonts w:ascii="Arial" w:cs="Arial" w:eastAsia="Arial" w:hAnsi="Arial"/>
          <w:sz w:val="14"/>
          <w:szCs w:val="14"/>
          <w:color w:val="auto"/>
        </w:rPr>
      </w:pPr>
      <w:r>
        <w:rPr>
          <w:rFonts w:ascii="Arial" w:cs="Arial" w:eastAsia="Arial" w:hAnsi="Arial"/>
          <w:sz w:val="14"/>
          <w:szCs w:val="14"/>
          <w:color w:val="auto"/>
        </w:rPr>
        <w:t>Includes costs for insurance, real estate taxes and common area maintenance expenses, which are variable, as are lease costs above minimum thresholds for Fred Meyer stores and lease costs for Military stores.</w:t>
      </w:r>
    </w:p>
    <w:p>
      <w:pPr>
        <w:spacing w:after="0" w:line="7" w:lineRule="exact"/>
        <w:rPr>
          <w:rFonts w:ascii="Arial" w:cs="Arial" w:eastAsia="Arial" w:hAnsi="Arial"/>
          <w:sz w:val="14"/>
          <w:szCs w:val="14"/>
          <w:color w:val="auto"/>
        </w:rPr>
      </w:pPr>
    </w:p>
    <w:p>
      <w:pPr>
        <w:ind w:left="220" w:hanging="194"/>
        <w:spacing w:after="0"/>
        <w:tabs>
          <w:tab w:leader="none" w:pos="220" w:val="left"/>
        </w:tabs>
        <w:numPr>
          <w:ilvl w:val="0"/>
          <w:numId w:val="8"/>
        </w:numPr>
        <w:rPr>
          <w:rFonts w:ascii="Arial" w:cs="Arial" w:eastAsia="Arial" w:hAnsi="Arial"/>
          <w:sz w:val="14"/>
          <w:szCs w:val="14"/>
          <w:color w:val="auto"/>
        </w:rPr>
      </w:pPr>
      <w:r>
        <w:rPr>
          <w:rFonts w:ascii="Arial" w:cs="Arial" w:eastAsia="Arial" w:hAnsi="Arial"/>
          <w:sz w:val="14"/>
          <w:szCs w:val="14"/>
          <w:color w:val="auto"/>
        </w:rPr>
        <w:t>Income from sub-leasing of stores includes rental income from leasing space to ophthalmologists and optometrists who are independent contractors.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40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Lease Term and Discount Rate</w:t>
            </w:r>
          </w:p>
        </w:tc>
        <w:tc>
          <w:tcPr>
            <w:tcW w:w="1980" w:type="dxa"/>
            <w:vAlign w:val="bottom"/>
            <w:gridSpan w:val="2"/>
          </w:tcPr>
          <w:p>
            <w:pPr>
              <w:jc w:val="center"/>
              <w:ind w:right="140"/>
              <w:spacing w:after="0"/>
              <w:rPr>
                <w:sz w:val="20"/>
                <w:szCs w:val="20"/>
                <w:color w:val="auto"/>
              </w:rPr>
            </w:pPr>
            <w:r>
              <w:rPr>
                <w:rFonts w:ascii="Arial" w:cs="Arial" w:eastAsia="Arial" w:hAnsi="Arial"/>
                <w:sz w:val="18"/>
                <w:szCs w:val="18"/>
                <w:color w:val="auto"/>
                <w:w w:val="97"/>
              </w:rPr>
              <w:t>As of</w:t>
            </w:r>
          </w:p>
        </w:tc>
        <w:tc>
          <w:tcPr>
            <w:tcW w:w="1860" w:type="dxa"/>
            <w:vAlign w:val="bottom"/>
          </w:tcPr>
          <w:p>
            <w:pPr>
              <w:jc w:val="right"/>
              <w:ind w:right="650"/>
              <w:spacing w:after="0"/>
              <w:rPr>
                <w:sz w:val="20"/>
                <w:szCs w:val="20"/>
                <w:color w:val="auto"/>
              </w:rPr>
            </w:pPr>
            <w:r>
              <w:rPr>
                <w:rFonts w:ascii="Arial" w:cs="Arial" w:eastAsia="Arial" w:hAnsi="Arial"/>
                <w:sz w:val="18"/>
                <w:szCs w:val="18"/>
                <w:color w:val="auto"/>
              </w:rPr>
              <w:t>As of</w:t>
            </w:r>
          </w:p>
        </w:tc>
        <w:tc>
          <w:tcPr>
            <w:tcW w:w="0" w:type="dxa"/>
            <w:vAlign w:val="bottom"/>
          </w:tcPr>
          <w:p>
            <w:pPr>
              <w:spacing w:after="0"/>
              <w:rPr>
                <w:sz w:val="1"/>
                <w:szCs w:val="1"/>
                <w:color w:val="auto"/>
              </w:rPr>
            </w:pPr>
          </w:p>
        </w:tc>
      </w:tr>
      <w:tr>
        <w:trPr>
          <w:trHeight w:val="230"/>
        </w:trPr>
        <w:tc>
          <w:tcPr>
            <w:tcW w:w="7400" w:type="dxa"/>
            <w:vAlign w:val="bottom"/>
            <w:gridSpan w:val="2"/>
            <w:vMerge w:val="continue"/>
          </w:tcPr>
          <w:p>
            <w:pPr>
              <w:spacing w:after="0"/>
              <w:rPr>
                <w:sz w:val="19"/>
                <w:szCs w:val="19"/>
                <w:color w:val="auto"/>
              </w:rPr>
            </w:pPr>
          </w:p>
        </w:tc>
        <w:tc>
          <w:tcPr>
            <w:tcW w:w="1980" w:type="dxa"/>
            <w:vAlign w:val="bottom"/>
            <w:gridSpan w:val="2"/>
          </w:tcPr>
          <w:p>
            <w:pPr>
              <w:jc w:val="center"/>
              <w:ind w:right="140"/>
              <w:spacing w:after="0"/>
              <w:rPr>
                <w:sz w:val="20"/>
                <w:szCs w:val="20"/>
                <w:color w:val="auto"/>
              </w:rPr>
            </w:pPr>
            <w:r>
              <w:rPr>
                <w:rFonts w:ascii="Arial" w:cs="Arial" w:eastAsia="Arial" w:hAnsi="Arial"/>
                <w:sz w:val="18"/>
                <w:szCs w:val="18"/>
                <w:color w:val="auto"/>
                <w:w w:val="90"/>
              </w:rPr>
              <w:t>July 3, 2021</w:t>
            </w:r>
          </w:p>
        </w:tc>
        <w:tc>
          <w:tcPr>
            <w:tcW w:w="1860" w:type="dxa"/>
            <w:vAlign w:val="bottom"/>
          </w:tcPr>
          <w:p>
            <w:pPr>
              <w:jc w:val="right"/>
              <w:ind w:right="270"/>
              <w:spacing w:after="0"/>
              <w:rPr>
                <w:sz w:val="20"/>
                <w:szCs w:val="20"/>
                <w:color w:val="auto"/>
              </w:rPr>
            </w:pPr>
            <w:r>
              <w:rPr>
                <w:rFonts w:ascii="Arial" w:cs="Arial" w:eastAsia="Arial" w:hAnsi="Arial"/>
                <w:sz w:val="18"/>
                <w:szCs w:val="18"/>
                <w:color w:val="auto"/>
              </w:rPr>
              <w:t>January 2, 2021</w:t>
            </w:r>
          </w:p>
        </w:tc>
        <w:tc>
          <w:tcPr>
            <w:tcW w:w="0" w:type="dxa"/>
            <w:vAlign w:val="bottom"/>
          </w:tcPr>
          <w:p>
            <w:pPr>
              <w:spacing w:after="0"/>
              <w:rPr>
                <w:sz w:val="1"/>
                <w:szCs w:val="1"/>
                <w:color w:val="auto"/>
              </w:rPr>
            </w:pPr>
          </w:p>
        </w:tc>
      </w:tr>
      <w:tr>
        <w:trPr>
          <w:trHeight w:val="223"/>
        </w:trPr>
        <w:tc>
          <w:tcPr>
            <w:tcW w:w="72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Weighted average remaining lease term (months)</w:t>
            </w:r>
          </w:p>
        </w:tc>
        <w:tc>
          <w:tcPr>
            <w:tcW w:w="120" w:type="dxa"/>
            <w:vAlign w:val="bottom"/>
            <w:tcBorders>
              <w:top w:val="single" w:sz="8" w:color="CCEEFF"/>
            </w:tcBorders>
            <w:shd w:val="clear" w:color="auto" w:fill="CCEEFF"/>
          </w:tcPr>
          <w:p>
            <w:pPr>
              <w:spacing w:after="0"/>
              <w:rPr>
                <w:sz w:val="19"/>
                <w:szCs w:val="19"/>
                <w:color w:val="auto"/>
              </w:rPr>
            </w:pPr>
          </w:p>
        </w:tc>
        <w:tc>
          <w:tcPr>
            <w:tcW w:w="186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86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00" w:type="dxa"/>
            <w:vAlign w:val="bottom"/>
            <w:gridSpan w:val="2"/>
          </w:tcPr>
          <w:p>
            <w:pPr>
              <w:ind w:left="20"/>
              <w:spacing w:after="0"/>
              <w:rPr>
                <w:sz w:val="20"/>
                <w:szCs w:val="20"/>
                <w:color w:val="auto"/>
              </w:rPr>
            </w:pPr>
            <w:r>
              <w:rPr>
                <w:rFonts w:ascii="Arial" w:cs="Arial" w:eastAsia="Arial" w:hAnsi="Arial"/>
                <w:sz w:val="18"/>
                <w:szCs w:val="18"/>
                <w:color w:val="auto"/>
              </w:rPr>
              <w:t>Operating leases</w:t>
            </w:r>
          </w:p>
        </w:tc>
        <w:tc>
          <w:tcPr>
            <w:tcW w:w="1860" w:type="dxa"/>
            <w:vAlign w:val="bottom"/>
          </w:tcPr>
          <w:p>
            <w:pPr>
              <w:jc w:val="right"/>
              <w:spacing w:after="0"/>
              <w:rPr>
                <w:sz w:val="20"/>
                <w:szCs w:val="20"/>
                <w:color w:val="auto"/>
              </w:rPr>
            </w:pPr>
            <w:r>
              <w:rPr>
                <w:rFonts w:ascii="Arial" w:cs="Arial" w:eastAsia="Arial" w:hAnsi="Arial"/>
                <w:sz w:val="18"/>
                <w:szCs w:val="18"/>
                <w:color w:val="auto"/>
              </w:rPr>
              <w:t>77</w:t>
            </w:r>
          </w:p>
        </w:tc>
        <w:tc>
          <w:tcPr>
            <w:tcW w:w="12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29"/>
        </w:trPr>
        <w:tc>
          <w:tcPr>
            <w:tcW w:w="74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Finance leases</w:t>
            </w: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2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30"/>
        </w:trPr>
        <w:tc>
          <w:tcPr>
            <w:tcW w:w="7400" w:type="dxa"/>
            <w:vAlign w:val="bottom"/>
            <w:gridSpan w:val="2"/>
          </w:tcPr>
          <w:p>
            <w:pPr>
              <w:ind w:left="20"/>
              <w:spacing w:after="0" w:line="230" w:lineRule="exact"/>
              <w:rPr>
                <w:sz w:val="20"/>
                <w:szCs w:val="20"/>
                <w:color w:val="auto"/>
              </w:rPr>
            </w:pPr>
            <w:r>
              <w:rPr>
                <w:rFonts w:ascii="Arial" w:cs="Arial" w:eastAsia="Arial" w:hAnsi="Arial"/>
                <w:sz w:val="18"/>
                <w:szCs w:val="18"/>
                <w:i w:val="1"/>
                <w:iCs w:val="1"/>
                <w:color w:val="auto"/>
              </w:rPr>
              <w:t xml:space="preserve">Weighted average discount rate </w:t>
            </w:r>
            <w:r>
              <w:rPr>
                <w:rFonts w:ascii="Arial" w:cs="Arial" w:eastAsia="Arial" w:hAnsi="Arial"/>
                <w:sz w:val="23"/>
                <w:szCs w:val="23"/>
                <w:i w:val="1"/>
                <w:iCs w:val="1"/>
                <w:color w:val="auto"/>
                <w:vertAlign w:val="superscript"/>
              </w:rPr>
              <w:t>(a)</w:t>
            </w:r>
          </w:p>
        </w:tc>
        <w:tc>
          <w:tcPr>
            <w:tcW w:w="1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Operating leases</w:t>
            </w: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4.7 %</w:t>
            </w:r>
          </w:p>
        </w:tc>
        <w:tc>
          <w:tcPr>
            <w:tcW w:w="12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4.7 %</w:t>
            </w:r>
          </w:p>
        </w:tc>
        <w:tc>
          <w:tcPr>
            <w:tcW w:w="0" w:type="dxa"/>
            <w:vAlign w:val="bottom"/>
          </w:tcPr>
          <w:p>
            <w:pPr>
              <w:spacing w:after="0"/>
              <w:rPr>
                <w:sz w:val="1"/>
                <w:szCs w:val="1"/>
                <w:color w:val="auto"/>
              </w:rPr>
            </w:pPr>
          </w:p>
        </w:tc>
      </w:tr>
      <w:tr>
        <w:trPr>
          <w:trHeight w:val="304"/>
        </w:trPr>
        <w:tc>
          <w:tcPr>
            <w:tcW w:w="7400" w:type="dxa"/>
            <w:vAlign w:val="bottom"/>
            <w:gridSpan w:val="2"/>
          </w:tcPr>
          <w:p>
            <w:pPr>
              <w:ind w:left="20"/>
              <w:spacing w:after="0"/>
              <w:rPr>
                <w:sz w:val="20"/>
                <w:szCs w:val="20"/>
                <w:color w:val="auto"/>
              </w:rPr>
            </w:pPr>
            <w:r>
              <w:rPr>
                <w:rFonts w:ascii="Arial" w:cs="Arial" w:eastAsia="Arial" w:hAnsi="Arial"/>
                <w:sz w:val="18"/>
                <w:szCs w:val="18"/>
                <w:color w:val="auto"/>
              </w:rPr>
              <w:t xml:space="preserve">Finance leases </w:t>
            </w:r>
            <w:r>
              <w:rPr>
                <w:rFonts w:ascii="Arial" w:cs="Arial" w:eastAsia="Arial" w:hAnsi="Arial"/>
                <w:sz w:val="23"/>
                <w:szCs w:val="23"/>
                <w:color w:val="auto"/>
                <w:vertAlign w:val="superscript"/>
              </w:rPr>
              <w:t>(b)</w:t>
            </w:r>
          </w:p>
        </w:tc>
        <w:tc>
          <w:tcPr>
            <w:tcW w:w="1860" w:type="dxa"/>
            <w:vAlign w:val="bottom"/>
          </w:tcPr>
          <w:p>
            <w:pPr>
              <w:jc w:val="right"/>
              <w:spacing w:after="0"/>
              <w:rPr>
                <w:sz w:val="20"/>
                <w:szCs w:val="20"/>
                <w:color w:val="auto"/>
              </w:rPr>
            </w:pPr>
            <w:r>
              <w:rPr>
                <w:rFonts w:ascii="Arial" w:cs="Arial" w:eastAsia="Arial" w:hAnsi="Arial"/>
                <w:sz w:val="18"/>
                <w:szCs w:val="18"/>
                <w:color w:val="auto"/>
              </w:rPr>
              <w:t>12.0 %</w:t>
            </w:r>
          </w:p>
        </w:tc>
        <w:tc>
          <w:tcPr>
            <w:tcW w:w="120" w:type="dxa"/>
            <w:vAlign w:val="bottom"/>
          </w:tcPr>
          <w:p>
            <w:pPr>
              <w:spacing w:after="0"/>
              <w:rPr>
                <w:sz w:val="24"/>
                <w:szCs w:val="24"/>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12.3 %</w:t>
            </w:r>
          </w:p>
        </w:tc>
        <w:tc>
          <w:tcPr>
            <w:tcW w:w="0" w:type="dxa"/>
            <w:vAlign w:val="bottom"/>
          </w:tcPr>
          <w:p>
            <w:pPr>
              <w:spacing w:after="0"/>
              <w:rPr>
                <w:sz w:val="1"/>
                <w:szCs w:val="1"/>
                <w:color w:val="auto"/>
              </w:rPr>
            </w:pPr>
          </w:p>
        </w:tc>
      </w:tr>
    </w:tbl>
    <w:p>
      <w:pPr>
        <w:spacing w:after="0" w:line="82" w:lineRule="exact"/>
        <w:rPr>
          <w:sz w:val="20"/>
          <w:szCs w:val="20"/>
          <w:color w:val="auto"/>
        </w:rPr>
      </w:pPr>
    </w:p>
    <w:p>
      <w:pPr>
        <w:ind w:left="20" w:right="40" w:firstLine="6"/>
        <w:spacing w:after="0" w:line="224" w:lineRule="auto"/>
        <w:tabs>
          <w:tab w:leader="none" w:pos="216" w:val="left"/>
        </w:tabs>
        <w:numPr>
          <w:ilvl w:val="0"/>
          <w:numId w:val="9"/>
        </w:numPr>
        <w:rPr>
          <w:rFonts w:ascii="Arial" w:cs="Arial" w:eastAsia="Arial" w:hAnsi="Arial"/>
          <w:sz w:val="14"/>
          <w:szCs w:val="14"/>
          <w:color w:val="auto"/>
        </w:rPr>
      </w:pPr>
      <w:r>
        <w:rPr>
          <w:rFonts w:ascii="Arial" w:cs="Arial" w:eastAsia="Arial" w:hAnsi="Arial"/>
          <w:sz w:val="14"/>
          <w:szCs w:val="14"/>
          <w:color w:val="auto"/>
        </w:rPr>
        <w:t>The discount rate used to determine the lease assets and lease liabilities was derived upon considering (i) incremental borrowing rates on our term loan and revolving credit facility; (ii) fixed rates on interest rate swaps; (iii) LIBOR margins for issuers of similar credit rating; and (iv) effect of collateralization. As a majority of our leases are five-year and 10-year leases, we determined a lease discount rate for such tenors and determined this discount rate is reasonable for leases that were entered into during the period.</w:t>
      </w:r>
    </w:p>
    <w:p>
      <w:pPr>
        <w:spacing w:after="0" w:line="8" w:lineRule="exact"/>
        <w:rPr>
          <w:rFonts w:ascii="Arial" w:cs="Arial" w:eastAsia="Arial" w:hAnsi="Arial"/>
          <w:sz w:val="14"/>
          <w:szCs w:val="14"/>
          <w:color w:val="auto"/>
        </w:rPr>
      </w:pPr>
    </w:p>
    <w:p>
      <w:pPr>
        <w:ind w:left="20" w:right="140" w:firstLine="6"/>
        <w:spacing w:after="0" w:line="236" w:lineRule="auto"/>
        <w:tabs>
          <w:tab w:leader="none" w:pos="224" w:val="left"/>
        </w:tabs>
        <w:numPr>
          <w:ilvl w:val="0"/>
          <w:numId w:val="9"/>
        </w:numPr>
        <w:rPr>
          <w:rFonts w:ascii="Arial" w:cs="Arial" w:eastAsia="Arial" w:hAnsi="Arial"/>
          <w:sz w:val="14"/>
          <w:szCs w:val="14"/>
          <w:color w:val="auto"/>
        </w:rPr>
      </w:pPr>
      <w:r>
        <w:rPr>
          <w:rFonts w:ascii="Arial" w:cs="Arial" w:eastAsia="Arial" w:hAnsi="Arial"/>
          <w:sz w:val="14"/>
          <w:szCs w:val="14"/>
          <w:color w:val="auto"/>
        </w:rPr>
        <w:t>The discount rate on finance leases is higher than operating leases because the present value of minimum lease payments was higher than the fair value of leased properties for certain leases entered into prior to adoption of ASC 842. The discount rate differential for those leases is not material to our results of operations.</w:t>
      </w: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620" w:type="dxa"/>
            <w:vAlign w:val="bottom"/>
          </w:tcPr>
          <w:p>
            <w:pPr>
              <w:ind w:left="20"/>
              <w:spacing w:after="0"/>
              <w:rPr>
                <w:sz w:val="20"/>
                <w:szCs w:val="20"/>
                <w:color w:val="auto"/>
              </w:rPr>
            </w:pPr>
            <w:r>
              <w:rPr>
                <w:rFonts w:ascii="Arial" w:cs="Arial" w:eastAsia="Arial" w:hAnsi="Arial"/>
                <w:sz w:val="18"/>
                <w:szCs w:val="18"/>
                <w:i w:val="1"/>
                <w:iCs w:val="1"/>
                <w:color w:val="auto"/>
              </w:rPr>
              <w:t>In thousands</w:t>
            </w:r>
          </w:p>
        </w:tc>
        <w:tc>
          <w:tcPr>
            <w:tcW w:w="2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20" w:type="dxa"/>
            <w:vAlign w:val="bottom"/>
            <w:gridSpan w:val="3"/>
            <w:vMerge w:val="restart"/>
          </w:tcPr>
          <w:p>
            <w:pPr>
              <w:ind w:left="20"/>
              <w:spacing w:after="0"/>
              <w:rPr>
                <w:sz w:val="20"/>
                <w:szCs w:val="20"/>
                <w:color w:val="auto"/>
              </w:rPr>
            </w:pPr>
            <w:r>
              <w:rPr>
                <w:rFonts w:ascii="Arial" w:cs="Arial" w:eastAsia="Arial" w:hAnsi="Arial"/>
                <w:sz w:val="18"/>
                <w:szCs w:val="18"/>
                <w:color w:val="auto"/>
                <w:w w:val="97"/>
              </w:rPr>
              <w:t>Six Months Ended July 3,</w:t>
            </w:r>
          </w:p>
        </w:tc>
        <w:tc>
          <w:tcPr>
            <w:tcW w:w="120" w:type="dxa"/>
            <w:vAlign w:val="bottom"/>
          </w:tcPr>
          <w:p>
            <w:pPr>
              <w:spacing w:after="0"/>
              <w:rPr>
                <w:sz w:val="20"/>
                <w:szCs w:val="20"/>
                <w:color w:val="auto"/>
              </w:rPr>
            </w:pPr>
          </w:p>
        </w:tc>
        <w:tc>
          <w:tcPr>
            <w:tcW w:w="1820" w:type="dxa"/>
            <w:vAlign w:val="bottom"/>
            <w:vMerge w:val="restart"/>
          </w:tcPr>
          <w:p>
            <w:pPr>
              <w:jc w:val="right"/>
              <w:ind w:right="10"/>
              <w:spacing w:after="0"/>
              <w:rPr>
                <w:sz w:val="20"/>
                <w:szCs w:val="20"/>
                <w:color w:val="auto"/>
              </w:rPr>
            </w:pPr>
            <w:r>
              <w:rPr>
                <w:rFonts w:ascii="Arial" w:cs="Arial" w:eastAsia="Arial" w:hAnsi="Arial"/>
                <w:sz w:val="18"/>
                <w:szCs w:val="18"/>
                <w:color w:val="auto"/>
                <w:w w:val="89"/>
              </w:rPr>
              <w:t>Six Months Ended June</w:t>
            </w:r>
          </w:p>
        </w:tc>
        <w:tc>
          <w:tcPr>
            <w:tcW w:w="0" w:type="dxa"/>
            <w:vAlign w:val="bottom"/>
          </w:tcPr>
          <w:p>
            <w:pPr>
              <w:spacing w:after="0"/>
              <w:rPr>
                <w:sz w:val="1"/>
                <w:szCs w:val="1"/>
                <w:color w:val="auto"/>
              </w:rPr>
            </w:pPr>
          </w:p>
        </w:tc>
      </w:tr>
      <w:tr>
        <w:trPr>
          <w:trHeight w:val="40"/>
        </w:trPr>
        <w:tc>
          <w:tcPr>
            <w:tcW w:w="462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Other Information</w:t>
            </w:r>
          </w:p>
        </w:tc>
        <w:tc>
          <w:tcPr>
            <w:tcW w:w="252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20" w:type="dxa"/>
            <w:vAlign w:val="bottom"/>
            <w:gridSpan w:val="3"/>
            <w:vMerge w:val="continue"/>
          </w:tcPr>
          <w:p>
            <w:pPr>
              <w:spacing w:after="0"/>
              <w:rPr>
                <w:sz w:val="3"/>
                <w:szCs w:val="3"/>
                <w:color w:val="auto"/>
              </w:rPr>
            </w:pPr>
          </w:p>
        </w:tc>
        <w:tc>
          <w:tcPr>
            <w:tcW w:w="120" w:type="dxa"/>
            <w:vAlign w:val="bottom"/>
          </w:tcPr>
          <w:p>
            <w:pPr>
              <w:spacing w:after="0"/>
              <w:rPr>
                <w:sz w:val="3"/>
                <w:szCs w:val="3"/>
                <w:color w:val="auto"/>
              </w:rPr>
            </w:pPr>
          </w:p>
        </w:tc>
        <w:tc>
          <w:tcPr>
            <w:tcW w:w="18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4620" w:type="dxa"/>
            <w:vAlign w:val="bottom"/>
            <w:tcBorders>
              <w:bottom w:val="single" w:sz="8" w:color="auto"/>
            </w:tcBorders>
            <w:vMerge w:val="continue"/>
          </w:tcPr>
          <w:p>
            <w:pPr>
              <w:spacing w:after="0"/>
              <w:rPr>
                <w:sz w:val="19"/>
                <w:szCs w:val="19"/>
                <w:color w:val="auto"/>
              </w:rPr>
            </w:pPr>
          </w:p>
        </w:tc>
        <w:tc>
          <w:tcPr>
            <w:tcW w:w="252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color w:val="auto"/>
              </w:rPr>
              <w:t>2021</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color w:val="auto"/>
              </w:rPr>
              <w:t>27, 2020</w:t>
            </w:r>
          </w:p>
        </w:tc>
        <w:tc>
          <w:tcPr>
            <w:tcW w:w="0" w:type="dxa"/>
            <w:vAlign w:val="bottom"/>
          </w:tcPr>
          <w:p>
            <w:pPr>
              <w:spacing w:after="0"/>
              <w:rPr>
                <w:sz w:val="1"/>
                <w:szCs w:val="1"/>
                <w:color w:val="auto"/>
              </w:rPr>
            </w:pPr>
          </w:p>
        </w:tc>
      </w:tr>
      <w:tr>
        <w:trPr>
          <w:trHeight w:val="223"/>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cash outflows - operating leases</w:t>
            </w:r>
          </w:p>
        </w:tc>
        <w:tc>
          <w:tcPr>
            <w:tcW w:w="25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43,860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35,548</w:t>
            </w:r>
          </w:p>
        </w:tc>
        <w:tc>
          <w:tcPr>
            <w:tcW w:w="0" w:type="dxa"/>
            <w:vAlign w:val="bottom"/>
          </w:tcPr>
          <w:p>
            <w:pPr>
              <w:spacing w:after="0"/>
              <w:rPr>
                <w:sz w:val="1"/>
                <w:szCs w:val="1"/>
                <w:color w:val="auto"/>
              </w:rPr>
            </w:pPr>
          </w:p>
        </w:tc>
      </w:tr>
      <w:tr>
        <w:trPr>
          <w:trHeight w:val="230"/>
        </w:trPr>
        <w:tc>
          <w:tcPr>
            <w:tcW w:w="4620" w:type="dxa"/>
            <w:vAlign w:val="bottom"/>
          </w:tcPr>
          <w:p>
            <w:pPr>
              <w:ind w:left="20"/>
              <w:spacing w:after="0"/>
              <w:rPr>
                <w:sz w:val="20"/>
                <w:szCs w:val="20"/>
                <w:color w:val="auto"/>
              </w:rPr>
            </w:pPr>
            <w:r>
              <w:rPr>
                <w:rFonts w:ascii="Arial" w:cs="Arial" w:eastAsia="Arial" w:hAnsi="Arial"/>
                <w:sz w:val="18"/>
                <w:szCs w:val="18"/>
                <w:color w:val="auto"/>
              </w:rPr>
              <w:t>Right of use assets acquired under finance leases</w:t>
            </w:r>
          </w:p>
        </w:tc>
        <w:tc>
          <w:tcPr>
            <w:tcW w:w="3100" w:type="dxa"/>
            <w:vAlign w:val="bottom"/>
            <w:gridSpan w:val="3"/>
          </w:tcPr>
          <w:p>
            <w:pPr>
              <w:ind w:left="266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820" w:type="dxa"/>
            <w:vAlign w:val="bottom"/>
          </w:tcPr>
          <w:p>
            <w:pPr>
              <w:jc w:val="right"/>
              <w:spacing w:after="0"/>
              <w:rPr>
                <w:sz w:val="20"/>
                <w:szCs w:val="20"/>
                <w:color w:val="auto"/>
              </w:rPr>
            </w:pPr>
            <w:r>
              <w:rPr>
                <w:rFonts w:ascii="Arial" w:cs="Arial" w:eastAsia="Arial" w:hAnsi="Arial"/>
                <w:sz w:val="18"/>
                <w:szCs w:val="18"/>
                <w:color w:val="auto"/>
              </w:rPr>
              <w:t>1,257</w:t>
            </w:r>
          </w:p>
        </w:tc>
        <w:tc>
          <w:tcPr>
            <w:tcW w:w="0" w:type="dxa"/>
            <w:vAlign w:val="bottom"/>
          </w:tcPr>
          <w:p>
            <w:pPr>
              <w:spacing w:after="0"/>
              <w:rPr>
                <w:sz w:val="1"/>
                <w:szCs w:val="1"/>
                <w:color w:val="auto"/>
              </w:rPr>
            </w:pPr>
          </w:p>
        </w:tc>
      </w:tr>
      <w:tr>
        <w:trPr>
          <w:trHeight w:val="229"/>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Right of use assets acquired under operating leases</w:t>
            </w:r>
          </w:p>
        </w:tc>
        <w:tc>
          <w:tcPr>
            <w:tcW w:w="3100" w:type="dxa"/>
            <w:vAlign w:val="bottom"/>
            <w:gridSpan w:val="3"/>
            <w:shd w:val="clear" w:color="auto" w:fill="CCEEFF"/>
          </w:tcPr>
          <w:p>
            <w:pPr>
              <w:ind w:left="266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44,544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35,870</w:t>
            </w:r>
          </w:p>
        </w:tc>
        <w:tc>
          <w:tcPr>
            <w:tcW w:w="0" w:type="dxa"/>
            <w:vAlign w:val="bottom"/>
          </w:tcPr>
          <w:p>
            <w:pPr>
              <w:spacing w:after="0"/>
              <w:rPr>
                <w:sz w:val="1"/>
                <w:szCs w:val="1"/>
                <w:color w:val="auto"/>
              </w:rPr>
            </w:pPr>
          </w:p>
        </w:tc>
      </w:tr>
      <w:tr>
        <w:trPr>
          <w:trHeight w:val="851"/>
        </w:trPr>
        <w:tc>
          <w:tcPr>
            <w:tcW w:w="4620" w:type="dxa"/>
            <w:vAlign w:val="bottom"/>
          </w:tcPr>
          <w:p>
            <w:pPr>
              <w:spacing w:after="0"/>
              <w:rPr>
                <w:sz w:val="24"/>
                <w:szCs w:val="24"/>
                <w:color w:val="auto"/>
              </w:rPr>
            </w:pPr>
          </w:p>
        </w:tc>
        <w:tc>
          <w:tcPr>
            <w:tcW w:w="2520" w:type="dxa"/>
            <w:vAlign w:val="bottom"/>
          </w:tcPr>
          <w:p>
            <w:pPr>
              <w:jc w:val="right"/>
              <w:ind w:right="1330"/>
              <w:spacing w:after="0"/>
              <w:rPr>
                <w:sz w:val="20"/>
                <w:szCs w:val="20"/>
                <w:color w:val="auto"/>
              </w:rPr>
            </w:pPr>
            <w:r>
              <w:rPr>
                <w:rFonts w:ascii="Arial" w:cs="Arial" w:eastAsia="Arial" w:hAnsi="Arial"/>
                <w:sz w:val="18"/>
                <w:szCs w:val="18"/>
                <w:color w:val="auto"/>
              </w:rPr>
              <w:t>18</w:t>
            </w: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620" w:type="dxa"/>
            <w:vAlign w:val="bottom"/>
            <w:tcBorders>
              <w:bottom w:val="single" w:sz="8" w:color="9A9A9A"/>
            </w:tcBorders>
          </w:tcPr>
          <w:p>
            <w:pPr>
              <w:spacing w:after="0"/>
              <w:rPr>
                <w:sz w:val="10"/>
                <w:szCs w:val="10"/>
                <w:color w:val="auto"/>
              </w:rPr>
            </w:pPr>
          </w:p>
        </w:tc>
        <w:tc>
          <w:tcPr>
            <w:tcW w:w="25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14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8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maturity of our lease liabilities as of July 3, 2021:</w:t>
      </w:r>
    </w:p>
    <w:p>
      <w:pPr>
        <w:spacing w:after="0" w:line="198"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In thousands</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6320" w:type="dxa"/>
            <w:vAlign w:val="bottom"/>
            <w:gridSpan w:val="2"/>
          </w:tcPr>
          <w:p>
            <w:pPr>
              <w:ind w:left="20"/>
              <w:spacing w:after="0"/>
              <w:rPr>
                <w:sz w:val="20"/>
                <w:szCs w:val="20"/>
                <w:color w:val="auto"/>
              </w:rPr>
            </w:pPr>
            <w:r>
              <w:rPr>
                <w:rFonts w:ascii="Arial" w:cs="Arial" w:eastAsia="Arial" w:hAnsi="Arial"/>
                <w:sz w:val="18"/>
                <w:szCs w:val="18"/>
                <w:b w:val="1"/>
                <w:bCs w:val="1"/>
                <w:color w:val="auto"/>
              </w:rPr>
              <w:t>Fiscal Year</w:t>
            </w:r>
          </w:p>
        </w:tc>
        <w:tc>
          <w:tcPr>
            <w:tcW w:w="280" w:type="dxa"/>
            <w:vAlign w:val="bottom"/>
          </w:tcPr>
          <w:p>
            <w:pPr>
              <w:spacing w:after="0"/>
              <w:rPr>
                <w:sz w:val="22"/>
                <w:szCs w:val="22"/>
                <w:color w:val="auto"/>
              </w:rPr>
            </w:pPr>
          </w:p>
        </w:tc>
        <w:tc>
          <w:tcPr>
            <w:tcW w:w="2200" w:type="dxa"/>
            <w:vAlign w:val="bottom"/>
            <w:gridSpan w:val="2"/>
          </w:tcPr>
          <w:p>
            <w:pPr>
              <w:ind w:left="200"/>
              <w:spacing w:after="0"/>
              <w:rPr>
                <w:sz w:val="20"/>
                <w:szCs w:val="20"/>
                <w:color w:val="auto"/>
              </w:rPr>
            </w:pPr>
            <w:r>
              <w:rPr>
                <w:rFonts w:ascii="Arial" w:cs="Arial" w:eastAsia="Arial" w:hAnsi="Arial"/>
                <w:sz w:val="18"/>
                <w:szCs w:val="18"/>
                <w:color w:val="auto"/>
              </w:rPr>
              <w:t xml:space="preserve">Operating Leases </w:t>
            </w:r>
            <w:r>
              <w:rPr>
                <w:rFonts w:ascii="Arial" w:cs="Arial" w:eastAsia="Arial" w:hAnsi="Arial"/>
                <w:sz w:val="23"/>
                <w:szCs w:val="23"/>
                <w:color w:val="auto"/>
                <w:vertAlign w:val="superscript"/>
              </w:rPr>
              <w:t>(a)</w:t>
            </w:r>
          </w:p>
        </w:tc>
        <w:tc>
          <w:tcPr>
            <w:tcW w:w="340" w:type="dxa"/>
            <w:vAlign w:val="bottom"/>
          </w:tcPr>
          <w:p>
            <w:pPr>
              <w:spacing w:after="0"/>
              <w:rPr>
                <w:sz w:val="22"/>
                <w:szCs w:val="22"/>
                <w:color w:val="auto"/>
              </w:rPr>
            </w:pPr>
          </w:p>
        </w:tc>
        <w:tc>
          <w:tcPr>
            <w:tcW w:w="2080" w:type="dxa"/>
            <w:vAlign w:val="bottom"/>
          </w:tcPr>
          <w:p>
            <w:pPr>
              <w:jc w:val="right"/>
              <w:ind w:right="490"/>
              <w:spacing w:after="0"/>
              <w:rPr>
                <w:sz w:val="20"/>
                <w:szCs w:val="20"/>
                <w:color w:val="auto"/>
              </w:rPr>
            </w:pPr>
            <w:r>
              <w:rPr>
                <w:rFonts w:ascii="Arial" w:cs="Arial" w:eastAsia="Arial" w:hAnsi="Arial"/>
                <w:sz w:val="18"/>
                <w:szCs w:val="18"/>
                <w:color w:val="auto"/>
                <w:w w:val="98"/>
              </w:rPr>
              <w:t xml:space="preserve">Finance Leases </w:t>
            </w:r>
            <w:r>
              <w:rPr>
                <w:rFonts w:ascii="Arial" w:cs="Arial" w:eastAsia="Arial" w:hAnsi="Arial"/>
                <w:sz w:val="23"/>
                <w:szCs w:val="23"/>
                <w:color w:val="auto"/>
                <w:w w:val="98"/>
                <w:vertAlign w:val="superscript"/>
              </w:rPr>
              <w:t>(b)</w:t>
            </w:r>
          </w:p>
        </w:tc>
      </w:tr>
      <w:tr>
        <w:trPr>
          <w:trHeight w:val="223"/>
        </w:trPr>
        <w:tc>
          <w:tcPr>
            <w:tcW w:w="62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2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38,606</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2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3,637</w:t>
            </w:r>
          </w:p>
        </w:tc>
      </w:tr>
      <w:tr>
        <w:trPr>
          <w:trHeight w:val="229"/>
        </w:trPr>
        <w:tc>
          <w:tcPr>
            <w:tcW w:w="6200" w:type="dxa"/>
            <w:vAlign w:val="bottom"/>
          </w:tcPr>
          <w:p>
            <w:pPr>
              <w:ind w:left="20"/>
              <w:spacing w:after="0"/>
              <w:rPr>
                <w:sz w:val="20"/>
                <w:szCs w:val="20"/>
                <w:color w:val="auto"/>
              </w:rPr>
            </w:pPr>
            <w:r>
              <w:rPr>
                <w:rFonts w:ascii="Arial" w:cs="Arial" w:eastAsia="Arial" w:hAnsi="Arial"/>
                <w:sz w:val="18"/>
                <w:szCs w:val="18"/>
                <w:color w:val="auto"/>
              </w:rPr>
              <w:t>2022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100" w:type="dxa"/>
            <w:vAlign w:val="bottom"/>
          </w:tcPr>
          <w:p>
            <w:pPr>
              <w:jc w:val="right"/>
              <w:spacing w:after="0"/>
              <w:rPr>
                <w:sz w:val="20"/>
                <w:szCs w:val="20"/>
                <w:color w:val="auto"/>
              </w:rPr>
            </w:pPr>
            <w:r>
              <w:rPr>
                <w:rFonts w:ascii="Arial" w:cs="Arial" w:eastAsia="Arial" w:hAnsi="Arial"/>
                <w:sz w:val="18"/>
                <w:szCs w:val="18"/>
                <w:color w:val="auto"/>
              </w:rPr>
              <w:t>77,235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80" w:type="dxa"/>
            <w:vAlign w:val="bottom"/>
          </w:tcPr>
          <w:p>
            <w:pPr>
              <w:jc w:val="right"/>
              <w:spacing w:after="0"/>
              <w:rPr>
                <w:sz w:val="20"/>
                <w:szCs w:val="20"/>
                <w:color w:val="auto"/>
              </w:rPr>
            </w:pPr>
            <w:r>
              <w:rPr>
                <w:rFonts w:ascii="Arial" w:cs="Arial" w:eastAsia="Arial" w:hAnsi="Arial"/>
                <w:sz w:val="18"/>
                <w:szCs w:val="18"/>
                <w:color w:val="auto"/>
              </w:rPr>
              <w:t>6,635</w:t>
            </w:r>
          </w:p>
        </w:tc>
      </w:tr>
      <w:tr>
        <w:trPr>
          <w:trHeight w:val="229"/>
        </w:trPr>
        <w:tc>
          <w:tcPr>
            <w:tcW w:w="6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76,376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6,252</w:t>
            </w:r>
          </w:p>
        </w:tc>
      </w:tr>
      <w:tr>
        <w:trPr>
          <w:trHeight w:val="230"/>
        </w:trPr>
        <w:tc>
          <w:tcPr>
            <w:tcW w:w="6200" w:type="dxa"/>
            <w:vAlign w:val="bottom"/>
          </w:tcPr>
          <w:p>
            <w:pPr>
              <w:ind w:left="20"/>
              <w:spacing w:after="0"/>
              <w:rPr>
                <w:sz w:val="20"/>
                <w:szCs w:val="20"/>
                <w:color w:val="auto"/>
              </w:rPr>
            </w:pPr>
            <w:r>
              <w:rPr>
                <w:rFonts w:ascii="Arial" w:cs="Arial" w:eastAsia="Arial" w:hAnsi="Arial"/>
                <w:sz w:val="18"/>
                <w:szCs w:val="18"/>
                <w:color w:val="auto"/>
              </w:rPr>
              <w:t>2024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100" w:type="dxa"/>
            <w:vAlign w:val="bottom"/>
          </w:tcPr>
          <w:p>
            <w:pPr>
              <w:jc w:val="right"/>
              <w:spacing w:after="0"/>
              <w:rPr>
                <w:sz w:val="20"/>
                <w:szCs w:val="20"/>
                <w:color w:val="auto"/>
              </w:rPr>
            </w:pPr>
            <w:r>
              <w:rPr>
                <w:rFonts w:ascii="Arial" w:cs="Arial" w:eastAsia="Arial" w:hAnsi="Arial"/>
                <w:sz w:val="18"/>
                <w:szCs w:val="18"/>
                <w:color w:val="auto"/>
              </w:rPr>
              <w:t>66,456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80" w:type="dxa"/>
            <w:vAlign w:val="bottom"/>
          </w:tcPr>
          <w:p>
            <w:pPr>
              <w:jc w:val="right"/>
              <w:spacing w:after="0"/>
              <w:rPr>
                <w:sz w:val="20"/>
                <w:szCs w:val="20"/>
                <w:color w:val="auto"/>
              </w:rPr>
            </w:pPr>
            <w:r>
              <w:rPr>
                <w:rFonts w:ascii="Arial" w:cs="Arial" w:eastAsia="Arial" w:hAnsi="Arial"/>
                <w:sz w:val="18"/>
                <w:szCs w:val="18"/>
                <w:color w:val="auto"/>
              </w:rPr>
              <w:t>4,753</w:t>
            </w:r>
          </w:p>
        </w:tc>
      </w:tr>
      <w:tr>
        <w:trPr>
          <w:trHeight w:val="229"/>
        </w:trPr>
        <w:tc>
          <w:tcPr>
            <w:tcW w:w="6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61,320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4,913</w:t>
            </w:r>
          </w:p>
        </w:tc>
      </w:tr>
      <w:tr>
        <w:trPr>
          <w:trHeight w:val="229"/>
        </w:trPr>
        <w:tc>
          <w:tcPr>
            <w:tcW w:w="63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Thereafter</w:t>
            </w:r>
          </w:p>
        </w:tc>
        <w:tc>
          <w:tcPr>
            <w:tcW w:w="280" w:type="dxa"/>
            <w:vAlign w:val="bottom"/>
            <w:tcBorders>
              <w:bottom w:val="single" w:sz="8" w:color="auto"/>
            </w:tcBorders>
          </w:tcPr>
          <w:p>
            <w:pPr>
              <w:spacing w:after="0"/>
              <w:rPr>
                <w:sz w:val="19"/>
                <w:szCs w:val="19"/>
                <w:color w:val="auto"/>
              </w:rPr>
            </w:pPr>
          </w:p>
        </w:tc>
        <w:tc>
          <w:tcPr>
            <w:tcW w:w="2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135,804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2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11,400</w:t>
            </w:r>
          </w:p>
        </w:tc>
      </w:tr>
      <w:tr>
        <w:trPr>
          <w:trHeight w:val="223"/>
        </w:trPr>
        <w:tc>
          <w:tcPr>
            <w:tcW w:w="63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lease liabilities</w:t>
            </w:r>
          </w:p>
        </w:tc>
        <w:tc>
          <w:tcPr>
            <w:tcW w:w="280" w:type="dxa"/>
            <w:vAlign w:val="bottom"/>
            <w:shd w:val="clear" w:color="auto" w:fill="CCEEFF"/>
          </w:tcPr>
          <w:p>
            <w:pPr>
              <w:spacing w:after="0"/>
              <w:rPr>
                <w:sz w:val="19"/>
                <w:szCs w:val="19"/>
                <w:color w:val="auto"/>
              </w:rPr>
            </w:pPr>
          </w:p>
        </w:tc>
        <w:tc>
          <w:tcPr>
            <w:tcW w:w="2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455,797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37,590</w:t>
            </w:r>
          </w:p>
        </w:tc>
      </w:tr>
      <w:tr>
        <w:trPr>
          <w:trHeight w:val="229"/>
        </w:trPr>
        <w:tc>
          <w:tcPr>
            <w:tcW w:w="63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Less: Interest</w:t>
            </w:r>
          </w:p>
        </w:tc>
        <w:tc>
          <w:tcPr>
            <w:tcW w:w="280" w:type="dxa"/>
            <w:vAlign w:val="bottom"/>
            <w:tcBorders>
              <w:bottom w:val="single" w:sz="8" w:color="auto"/>
            </w:tcBorders>
          </w:tcPr>
          <w:p>
            <w:pPr>
              <w:spacing w:after="0"/>
              <w:rPr>
                <w:sz w:val="19"/>
                <w:szCs w:val="19"/>
                <w:color w:val="auto"/>
              </w:rPr>
            </w:pPr>
          </w:p>
        </w:tc>
        <w:tc>
          <w:tcPr>
            <w:tcW w:w="2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64,989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2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8,977</w:t>
            </w:r>
          </w:p>
        </w:tc>
      </w:tr>
      <w:tr>
        <w:trPr>
          <w:trHeight w:val="248"/>
        </w:trPr>
        <w:tc>
          <w:tcPr>
            <w:tcW w:w="6320" w:type="dxa"/>
            <w:vAlign w:val="bottom"/>
            <w:tcBorders>
              <w:bottom w:val="single" w:sz="8" w:color="CCEEFF"/>
            </w:tcBorders>
            <w:gridSpan w:val="2"/>
            <w:shd w:val="clear" w:color="auto" w:fill="CCEEFF"/>
          </w:tcPr>
          <w:p>
            <w:pPr>
              <w:ind w:left="20"/>
              <w:spacing w:after="0" w:line="223" w:lineRule="exact"/>
              <w:rPr>
                <w:sz w:val="20"/>
                <w:szCs w:val="20"/>
                <w:color w:val="auto"/>
              </w:rPr>
            </w:pPr>
            <w:r>
              <w:rPr>
                <w:rFonts w:ascii="Arial" w:cs="Arial" w:eastAsia="Arial" w:hAnsi="Arial"/>
                <w:sz w:val="18"/>
                <w:szCs w:val="18"/>
                <w:color w:val="auto"/>
              </w:rPr>
              <w:t xml:space="preserve">Present value of lease liabilities </w:t>
            </w:r>
            <w:r>
              <w:rPr>
                <w:rFonts w:ascii="Arial" w:cs="Arial" w:eastAsia="Arial" w:hAnsi="Arial"/>
                <w:sz w:val="23"/>
                <w:szCs w:val="23"/>
                <w:color w:val="auto"/>
                <w:vertAlign w:val="superscript"/>
              </w:rPr>
              <w:t>(c)</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2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390,808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2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28,613</w:t>
            </w:r>
          </w:p>
        </w:tc>
      </w:tr>
      <w:tr>
        <w:trPr>
          <w:trHeight w:val="20"/>
        </w:trPr>
        <w:tc>
          <w:tcPr>
            <w:tcW w:w="6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2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2080" w:type="dxa"/>
            <w:vAlign w:val="bottom"/>
            <w:tcBorders>
              <w:top w:val="single" w:sz="8" w:color="CCEEFF"/>
              <w:bottom w:val="single" w:sz="8" w:color="auto"/>
            </w:tcBorders>
          </w:tcPr>
          <w:p>
            <w:pPr>
              <w:spacing w:after="0" w:line="20" w:lineRule="exact"/>
              <w:rPr>
                <w:sz w:val="1"/>
                <w:szCs w:val="1"/>
                <w:color w:val="auto"/>
              </w:rPr>
            </w:pPr>
          </w:p>
        </w:tc>
      </w:tr>
    </w:tbl>
    <w:p>
      <w:pPr>
        <w:spacing w:after="0" w:line="116" w:lineRule="exact"/>
        <w:rPr>
          <w:sz w:val="20"/>
          <w:szCs w:val="20"/>
          <w:color w:val="auto"/>
        </w:rPr>
      </w:pPr>
    </w:p>
    <w:p>
      <w:pPr>
        <w:ind w:left="220" w:hanging="194"/>
        <w:spacing w:after="0"/>
        <w:tabs>
          <w:tab w:leader="none" w:pos="220" w:val="left"/>
        </w:tabs>
        <w:numPr>
          <w:ilvl w:val="1"/>
          <w:numId w:val="10"/>
        </w:numPr>
        <w:rPr>
          <w:rFonts w:ascii="Arial" w:cs="Arial" w:eastAsia="Arial" w:hAnsi="Arial"/>
          <w:sz w:val="14"/>
          <w:szCs w:val="14"/>
          <w:color w:val="auto"/>
        </w:rPr>
      </w:pPr>
      <w:r>
        <w:rPr>
          <w:rFonts w:ascii="Arial" w:cs="Arial" w:eastAsia="Arial" w:hAnsi="Arial"/>
          <w:sz w:val="14"/>
          <w:szCs w:val="14"/>
          <w:color w:val="auto"/>
        </w:rPr>
        <w:t>Operating lease payments include $54.4 million related to options to extend lease terms that are reasonably certain of being exercised.</w:t>
      </w:r>
    </w:p>
    <w:p>
      <w:pPr>
        <w:spacing w:after="0" w:line="28" w:lineRule="exact"/>
        <w:rPr>
          <w:rFonts w:ascii="Arial" w:cs="Arial" w:eastAsia="Arial" w:hAnsi="Arial"/>
          <w:sz w:val="14"/>
          <w:szCs w:val="14"/>
          <w:color w:val="auto"/>
        </w:rPr>
      </w:pPr>
    </w:p>
    <w:p>
      <w:pPr>
        <w:ind w:left="220" w:hanging="194"/>
        <w:spacing w:after="0"/>
        <w:tabs>
          <w:tab w:leader="none" w:pos="220" w:val="left"/>
        </w:tabs>
        <w:numPr>
          <w:ilvl w:val="1"/>
          <w:numId w:val="10"/>
        </w:numPr>
        <w:rPr>
          <w:rFonts w:ascii="Arial" w:cs="Arial" w:eastAsia="Arial" w:hAnsi="Arial"/>
          <w:sz w:val="14"/>
          <w:szCs w:val="14"/>
          <w:color w:val="auto"/>
        </w:rPr>
      </w:pPr>
      <w:r>
        <w:rPr>
          <w:rFonts w:ascii="Arial" w:cs="Arial" w:eastAsia="Arial" w:hAnsi="Arial"/>
          <w:sz w:val="14"/>
          <w:szCs w:val="14"/>
          <w:color w:val="auto"/>
        </w:rPr>
        <w:t>Finance lease payments include $1.7 million related to options to extend lease terms that are reasonably certain of being exercised.</w:t>
      </w:r>
    </w:p>
    <w:p>
      <w:pPr>
        <w:spacing w:after="0" w:line="28" w:lineRule="exact"/>
        <w:rPr>
          <w:rFonts w:ascii="Arial" w:cs="Arial" w:eastAsia="Arial" w:hAnsi="Arial"/>
          <w:sz w:val="14"/>
          <w:szCs w:val="14"/>
          <w:color w:val="auto"/>
        </w:rPr>
      </w:pPr>
    </w:p>
    <w:p>
      <w:pPr>
        <w:ind w:left="220" w:hanging="194"/>
        <w:spacing w:after="0"/>
        <w:tabs>
          <w:tab w:leader="none" w:pos="220" w:val="left"/>
        </w:tabs>
        <w:numPr>
          <w:ilvl w:val="1"/>
          <w:numId w:val="10"/>
        </w:numPr>
        <w:rPr>
          <w:rFonts w:ascii="Arial" w:cs="Arial" w:eastAsia="Arial" w:hAnsi="Arial"/>
          <w:sz w:val="14"/>
          <w:szCs w:val="14"/>
          <w:color w:val="auto"/>
        </w:rPr>
      </w:pPr>
      <w:r>
        <w:rPr>
          <w:rFonts w:ascii="Arial" w:cs="Arial" w:eastAsia="Arial" w:hAnsi="Arial"/>
          <w:sz w:val="14"/>
          <w:szCs w:val="14"/>
          <w:color w:val="auto"/>
        </w:rPr>
        <w:t>The present value of lease liabilities excludes $20.1 million of legally binding minimum lease payments for leases signed but not yet commenced.</w:t>
      </w:r>
    </w:p>
    <w:p>
      <w:pPr>
        <w:spacing w:after="0" w:line="200" w:lineRule="exact"/>
        <w:rPr>
          <w:rFonts w:ascii="Arial" w:cs="Arial" w:eastAsia="Arial" w:hAnsi="Arial"/>
          <w:sz w:val="14"/>
          <w:szCs w:val="14"/>
          <w:color w:val="auto"/>
        </w:rPr>
      </w:pPr>
    </w:p>
    <w:p>
      <w:pPr>
        <w:spacing w:after="0" w:line="273" w:lineRule="exact"/>
        <w:rPr>
          <w:rFonts w:ascii="Arial" w:cs="Arial" w:eastAsia="Arial" w:hAnsi="Arial"/>
          <w:sz w:val="14"/>
          <w:szCs w:val="14"/>
          <w:color w:val="auto"/>
        </w:rPr>
      </w:pPr>
    </w:p>
    <w:p>
      <w:pPr>
        <w:ind w:left="180" w:hanging="172"/>
        <w:spacing w:after="0"/>
        <w:tabs>
          <w:tab w:leader="none" w:pos="18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Legal Proceedings</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From time to time, the Company is involved in various legal proceedings incidental to its business. Because of the nature and inherent uncertainties of litigation, we cannot predict with certainty the ultimate resolution of these actions and, should the outcome of these actions be unfavorable, the Company’s business, financial position, results of operations or cash flows could be materially and adversely affected.</w:t>
      </w:r>
    </w:p>
    <w:p>
      <w:pPr>
        <w:spacing w:after="0" w:line="7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reviews the status of its legal proceedings and records a provision for a liability when it is considered probable that both a liability has been incurred and the amount of the loss can be reasonably estimated. This review is updated periodically as additional information becomes available. If either or both of the criteria are not met, we reassess whether there is at least a reasonable possibility that a loss, or additional losses, may be incurred. If there is a reasonable possibility that a loss may be incurred, we disclose the estimate of the amount of the loss or range of losses, or that an estimate of loss cannot be made. The Company expenses its legal fees as incurred.</w:t>
      </w:r>
    </w:p>
    <w:p>
      <w:pPr>
        <w:spacing w:after="0" w:line="80" w:lineRule="exact"/>
        <w:rPr>
          <w:sz w:val="20"/>
          <w:szCs w:val="20"/>
          <w:color w:val="auto"/>
        </w:rPr>
      </w:pPr>
    </w:p>
    <w:p>
      <w:pPr>
        <w:spacing w:after="0"/>
        <w:rPr>
          <w:sz w:val="20"/>
          <w:szCs w:val="20"/>
          <w:color w:val="auto"/>
        </w:rPr>
      </w:pPr>
      <w:r>
        <w:rPr>
          <w:rFonts w:ascii="Arial" w:cs="Arial" w:eastAsia="Arial" w:hAnsi="Arial"/>
          <w:sz w:val="17"/>
          <w:szCs w:val="17"/>
          <w:color w:val="auto"/>
        </w:rPr>
        <w:t>We are currently and may in the future become subject to various claims and pending or threatened lawsuits in the ordinary course of our business.</w:t>
      </w:r>
    </w:p>
    <w:p>
      <w:pPr>
        <w:spacing w:after="0" w:line="129"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Our subsidiary, FirstSight Vision Services, Inc. (“FirstSight”), is a defendant in a purported class action in the U.S. District Court for the Southern District of California that alleges that FirstSight participated in arrangements that caused the illegal delivery of eye examinations and that FirstSight thereby violated, among other laws, the corporate practice of optometry and the unfair competition and false advertising laws of California. The lawsuit was filed in 2013 and FirstSight was added as a defendant in 2016. In March 2017, the court granted the motion to dismiss previously filed by FirstSight and dismissed the complaint with prejudice. The plaintiffs filed an appeal with the U.S. Court of Appeals for the Ninth Circuit in April 2017. In July 2018, the U.S. Court of Appeals for the Ninth Circuit vacated in part, and reversed in part, the district court’s dismissal and remanded for further proceedings. In October 2018, the plaintiffs filed a second amended complaint with the district court, and, in November 2018, FirstSight filed a motion to dismiss. On March 23, 2020, the district court granted FirstSight’s motion to dismiss the second amended complaint. On April 24, 2020, the plaintiffs filed a third amended complaint. FirstSight filed a motion to dismiss the third amended complaint on May 8, 2020. On February 4, 2021, the district court granted FirstSight’s motion in part and denied it in part. FirstSight’s answer to the remaining claims was filed February 18, 2021. The parties participated in mediation on July 6, 2021 and, in order to avoid the burden and expense of litigation, agreed to a settlement of all claims alleged by the named plaintiffs.</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9" w:name="page20"/>
    <w:bookmarkEnd w:id="1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In November 2019, the Company agreed to enter into a pre-litigation settlement with six former associates who asserted, on behalf of themselves and a proposed class, violations of the Fair Labor Standards Act and of California wage and hour laws. In order to avoid the burden and expense of litigation, and without admitting liability, the Company agreed to a settlement with the named claimants and all participating class members for a maximum settlement amount of $895,000. This settlement was submitted by the parties for approval through arbitration and an order granting final approval of the settlement and dismissing the action was issued by the arbitrator on July 13, 2021.</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Segment Reporting</w:t>
      </w:r>
    </w:p>
    <w:p>
      <w:pPr>
        <w:spacing w:after="0" w:line="25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Company provides its principal products and services through two reportable segments: Owned &amp; Host and Legacy. The “Corporate/Other” category includes the results of operations of our other operating segments, AC Lens and FirstSight, as well as corporate overhead support. The “Reconciliations” category represents other adjustments to reportable segment results necessary for the presentation of consolidated financial results in accordance with U.S. GAAP for the two reportable segments. Beginning in the first quarter of 2021, incremental expenses related to the COVID-19 pandemic were allocated to the reportable segments but were included in the Corporate/Other category in 2020. Changes in unearned revenue and deferred revenue recognized in the Reconciliations category reflect the effects of our stores being temporarily closed to the public for a portion of 2020.</w:t>
      </w:r>
    </w:p>
    <w:p>
      <w:pPr>
        <w:spacing w:after="0" w:line="56"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Our reportable segment profit measure is earnings before interest, tax, depreciation and amortization (“EBITDA”), or net revenue, less costs applicable to revenue, less SG&amp;A expenses. Depreciation and amortization, asset impairment, litigation settlement and other corporate costs that are not allocated to the reportable segments, including interest expense are excluded from segment EBITDA. There are no revenue transactions between our reportable segments. There are no differences between the measurement of our reportable segments’ assets and consolidated assets. There have been no changes from prior periods in the measurement methods used to determine reportable segment profit or loss, and there have been no asymmetrical allocations to segments.</w:t>
      </w:r>
    </w:p>
    <w:p>
      <w:pPr>
        <w:spacing w:after="0" w:line="5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following is a summary of certain financial data for each of our segments. Reportable segment information is presented on the same basis as our consolidated financial statements, except for net revenue and associated costs applicable to revenue, which are presented on a cash basis, including point of sales for managed care payors and excluding the effects of unearned and deferred revenue, consistent with what the Chief Operating Decision Maker (“CODM”) regularly reviews.</w:t>
      </w:r>
    </w:p>
    <w:p>
      <w:pPr>
        <w:spacing w:after="0" w:line="79" w:lineRule="exact"/>
        <w:rPr>
          <w:sz w:val="20"/>
          <w:szCs w:val="20"/>
          <w:color w:val="auto"/>
        </w:rPr>
      </w:pPr>
    </w:p>
    <w:p>
      <w:pPr>
        <w:spacing w:after="0"/>
        <w:rPr>
          <w:sz w:val="20"/>
          <w:szCs w:val="20"/>
          <w:color w:val="auto"/>
        </w:rPr>
      </w:pPr>
      <w:r>
        <w:rPr>
          <w:rFonts w:ascii="Arial" w:cs="Arial" w:eastAsia="Arial" w:hAnsi="Arial"/>
          <w:sz w:val="17"/>
          <w:szCs w:val="17"/>
          <w:color w:val="auto"/>
        </w:rPr>
        <w:t>Asset information is not included in the following summary since the CODM does not regularly review such information for the reportable segments.</w:t>
      </w:r>
    </w:p>
    <w:p>
      <w:pPr>
        <w:spacing w:after="0" w:line="156"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36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4460" w:type="dxa"/>
            <w:vAlign w:val="bottom"/>
            <w:tcBorders>
              <w:bottom w:val="single" w:sz="8" w:color="auto"/>
            </w:tcBorders>
            <w:gridSpan w:val="8"/>
          </w:tcPr>
          <w:p>
            <w:pPr>
              <w:ind w:left="820"/>
              <w:spacing w:after="0"/>
              <w:rPr>
                <w:sz w:val="20"/>
                <w:szCs w:val="20"/>
                <w:color w:val="auto"/>
              </w:rPr>
            </w:pPr>
            <w:r>
              <w:rPr>
                <w:rFonts w:ascii="Arial" w:cs="Arial" w:eastAsia="Arial" w:hAnsi="Arial"/>
                <w:sz w:val="18"/>
                <w:szCs w:val="18"/>
                <w:color w:val="auto"/>
              </w:rPr>
              <w:t>Three Months Ended July 3, 2021</w:t>
            </w: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640" w:type="dxa"/>
            <w:vAlign w:val="bottom"/>
          </w:tcPr>
          <w:p>
            <w:pPr>
              <w:ind w:left="20"/>
              <w:spacing w:after="0"/>
              <w:rPr>
                <w:sz w:val="20"/>
                <w:szCs w:val="20"/>
                <w:color w:val="auto"/>
              </w:rPr>
            </w:pPr>
            <w:r>
              <w:rPr>
                <w:rFonts w:ascii="Arial" w:cs="Arial" w:eastAsia="Arial" w:hAnsi="Arial"/>
                <w:sz w:val="18"/>
                <w:szCs w:val="18"/>
                <w:i w:val="1"/>
                <w:iCs w:val="1"/>
                <w:color w:val="auto"/>
              </w:rPr>
              <w:t>In thousands</w:t>
            </w:r>
          </w:p>
        </w:tc>
        <w:tc>
          <w:tcPr>
            <w:tcW w:w="120" w:type="dxa"/>
            <w:vAlign w:val="bottom"/>
          </w:tcPr>
          <w:p>
            <w:pPr>
              <w:spacing w:after="0"/>
              <w:rPr>
                <w:sz w:val="19"/>
                <w:szCs w:val="19"/>
                <w:color w:val="auto"/>
              </w:rPr>
            </w:pPr>
          </w:p>
        </w:tc>
        <w:tc>
          <w:tcPr>
            <w:tcW w:w="1360" w:type="dxa"/>
            <w:vAlign w:val="bottom"/>
            <w:gridSpan w:val="2"/>
          </w:tcPr>
          <w:p>
            <w:pPr>
              <w:ind w:left="20"/>
              <w:spacing w:after="0"/>
              <w:rPr>
                <w:sz w:val="20"/>
                <w:szCs w:val="20"/>
                <w:color w:val="auto"/>
              </w:rPr>
            </w:pPr>
            <w:r>
              <w:rPr>
                <w:rFonts w:ascii="Arial" w:cs="Arial" w:eastAsia="Arial" w:hAnsi="Arial"/>
                <w:sz w:val="18"/>
                <w:szCs w:val="18"/>
                <w:color w:val="auto"/>
              </w:rPr>
              <w:t>Owned &amp; Host</w:t>
            </w:r>
          </w:p>
        </w:tc>
        <w:tc>
          <w:tcPr>
            <w:tcW w:w="260" w:type="dxa"/>
            <w:vAlign w:val="bottom"/>
          </w:tcPr>
          <w:p>
            <w:pPr>
              <w:spacing w:after="0"/>
              <w:rPr>
                <w:sz w:val="19"/>
                <w:szCs w:val="19"/>
                <w:color w:val="auto"/>
              </w:rPr>
            </w:pPr>
          </w:p>
        </w:tc>
        <w:tc>
          <w:tcPr>
            <w:tcW w:w="1200" w:type="dxa"/>
            <w:vAlign w:val="bottom"/>
            <w:gridSpan w:val="2"/>
          </w:tcPr>
          <w:p>
            <w:pPr>
              <w:ind w:left="160"/>
              <w:spacing w:after="0"/>
              <w:rPr>
                <w:sz w:val="20"/>
                <w:szCs w:val="20"/>
                <w:color w:val="auto"/>
              </w:rPr>
            </w:pPr>
            <w:r>
              <w:rPr>
                <w:rFonts w:ascii="Arial" w:cs="Arial" w:eastAsia="Arial" w:hAnsi="Arial"/>
                <w:sz w:val="18"/>
                <w:szCs w:val="18"/>
                <w:color w:val="auto"/>
              </w:rPr>
              <w:t>Legacy</w:t>
            </w:r>
          </w:p>
        </w:tc>
        <w:tc>
          <w:tcPr>
            <w:tcW w:w="1500" w:type="dxa"/>
            <w:vAlign w:val="bottom"/>
            <w:gridSpan w:val="3"/>
          </w:tcPr>
          <w:p>
            <w:pPr>
              <w:ind w:left="100"/>
              <w:spacing w:after="0"/>
              <w:rPr>
                <w:sz w:val="20"/>
                <w:szCs w:val="20"/>
                <w:color w:val="auto"/>
              </w:rPr>
            </w:pPr>
            <w:r>
              <w:rPr>
                <w:rFonts w:ascii="Arial" w:cs="Arial" w:eastAsia="Arial" w:hAnsi="Arial"/>
                <w:sz w:val="18"/>
                <w:szCs w:val="18"/>
                <w:color w:val="auto"/>
              </w:rPr>
              <w:t>Corporate/Other</w:t>
            </w:r>
          </w:p>
        </w:tc>
        <w:tc>
          <w:tcPr>
            <w:tcW w:w="180" w:type="dxa"/>
            <w:vAlign w:val="bottom"/>
          </w:tcPr>
          <w:p>
            <w:pPr>
              <w:spacing w:after="0"/>
              <w:rPr>
                <w:sz w:val="19"/>
                <w:szCs w:val="19"/>
                <w:color w:val="auto"/>
              </w:rPr>
            </w:pPr>
          </w:p>
        </w:tc>
        <w:tc>
          <w:tcPr>
            <w:tcW w:w="1580" w:type="dxa"/>
            <w:vAlign w:val="bottom"/>
            <w:gridSpan w:val="2"/>
          </w:tcPr>
          <w:p>
            <w:pPr>
              <w:ind w:left="80"/>
              <w:spacing w:after="0"/>
              <w:rPr>
                <w:sz w:val="20"/>
                <w:szCs w:val="20"/>
                <w:color w:val="auto"/>
              </w:rPr>
            </w:pPr>
            <w:r>
              <w:rPr>
                <w:rFonts w:ascii="Arial" w:cs="Arial" w:eastAsia="Arial" w:hAnsi="Arial"/>
                <w:sz w:val="18"/>
                <w:szCs w:val="18"/>
                <w:color w:val="auto"/>
              </w:rPr>
              <w:t>Reconciliations</w:t>
            </w:r>
          </w:p>
        </w:tc>
        <w:tc>
          <w:tcPr>
            <w:tcW w:w="300" w:type="dxa"/>
            <w:vAlign w:val="bottom"/>
          </w:tcPr>
          <w:p>
            <w:pPr>
              <w:spacing w:after="0"/>
              <w:rPr>
                <w:sz w:val="19"/>
                <w:szCs w:val="19"/>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23"/>
        </w:trPr>
        <w:tc>
          <w:tcPr>
            <w:tcW w:w="36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product services</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361,377</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26,855</w:t>
            </w:r>
          </w:p>
        </w:tc>
        <w:tc>
          <w:tcPr>
            <w:tcW w:w="10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61,520</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8,454</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458,206</w:t>
            </w:r>
          </w:p>
        </w:tc>
        <w:tc>
          <w:tcPr>
            <w:tcW w:w="0" w:type="dxa"/>
            <w:vAlign w:val="bottom"/>
          </w:tcPr>
          <w:p>
            <w:pPr>
              <w:spacing w:after="0"/>
              <w:rPr>
                <w:sz w:val="1"/>
                <w:szCs w:val="1"/>
                <w:color w:val="auto"/>
              </w:rPr>
            </w:pPr>
          </w:p>
        </w:tc>
      </w:tr>
      <w:tr>
        <w:trPr>
          <w:trHeight w:val="229"/>
        </w:trPr>
        <w:tc>
          <w:tcPr>
            <w:tcW w:w="3640" w:type="dxa"/>
            <w:vAlign w:val="bottom"/>
          </w:tcPr>
          <w:p>
            <w:pPr>
              <w:ind w:left="20"/>
              <w:spacing w:after="0"/>
              <w:rPr>
                <w:sz w:val="20"/>
                <w:szCs w:val="20"/>
                <w:color w:val="auto"/>
              </w:rPr>
            </w:pPr>
            <w:r>
              <w:rPr>
                <w:rFonts w:ascii="Arial" w:cs="Arial" w:eastAsia="Arial" w:hAnsi="Arial"/>
                <w:sz w:val="18"/>
                <w:szCs w:val="18"/>
                <w:color w:val="auto"/>
              </w:rPr>
              <w:t>Net sales of services and plans</w:t>
            </w: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78,780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16,745</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(4,242)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91,283</w:t>
            </w:r>
          </w:p>
        </w:tc>
        <w:tc>
          <w:tcPr>
            <w:tcW w:w="0" w:type="dxa"/>
            <w:vAlign w:val="bottom"/>
          </w:tcPr>
          <w:p>
            <w:pPr>
              <w:spacing w:after="0"/>
              <w:rPr>
                <w:sz w:val="1"/>
                <w:szCs w:val="1"/>
                <w:color w:val="auto"/>
              </w:rPr>
            </w:pPr>
          </w:p>
        </w:tc>
      </w:tr>
      <w:tr>
        <w:trPr>
          <w:trHeight w:val="223"/>
        </w:trPr>
        <w:tc>
          <w:tcPr>
            <w:tcW w:w="364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net revenue</w:t>
            </w:r>
          </w:p>
        </w:tc>
        <w:tc>
          <w:tcPr>
            <w:tcW w:w="12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440,157</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43,600</w:t>
            </w:r>
          </w:p>
        </w:tc>
        <w:tc>
          <w:tcPr>
            <w:tcW w:w="10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61,520</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4,212</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549,489</w:t>
            </w:r>
          </w:p>
        </w:tc>
        <w:tc>
          <w:tcPr>
            <w:tcW w:w="0" w:type="dxa"/>
            <w:vAlign w:val="bottom"/>
          </w:tcPr>
          <w:p>
            <w:pPr>
              <w:spacing w:after="0"/>
              <w:rPr>
                <w:sz w:val="1"/>
                <w:szCs w:val="1"/>
                <w:color w:val="auto"/>
              </w:rPr>
            </w:pPr>
          </w:p>
        </w:tc>
      </w:tr>
      <w:tr>
        <w:trPr>
          <w:trHeight w:val="229"/>
        </w:trPr>
        <w:tc>
          <w:tcPr>
            <w:tcW w:w="3640" w:type="dxa"/>
            <w:vAlign w:val="bottom"/>
          </w:tcPr>
          <w:p>
            <w:pPr>
              <w:ind w:left="20"/>
              <w:spacing w:after="0"/>
              <w:rPr>
                <w:sz w:val="20"/>
                <w:szCs w:val="20"/>
                <w:color w:val="auto"/>
              </w:rPr>
            </w:pPr>
            <w:r>
              <w:rPr>
                <w:rFonts w:ascii="Arial" w:cs="Arial" w:eastAsia="Arial" w:hAnsi="Arial"/>
                <w:sz w:val="18"/>
                <w:szCs w:val="18"/>
                <w:color w:val="auto"/>
              </w:rPr>
              <w:t>Cost of products</w:t>
            </w: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98,539</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12,910</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53,683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1,896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167,028</w:t>
            </w:r>
          </w:p>
        </w:tc>
        <w:tc>
          <w:tcPr>
            <w:tcW w:w="0" w:type="dxa"/>
            <w:vAlign w:val="bottom"/>
          </w:tcPr>
          <w:p>
            <w:pPr>
              <w:spacing w:after="0"/>
              <w:rPr>
                <w:sz w:val="1"/>
                <w:szCs w:val="1"/>
                <w:color w:val="auto"/>
              </w:rPr>
            </w:pPr>
          </w:p>
        </w:tc>
      </w:tr>
      <w:tr>
        <w:trPr>
          <w:trHeight w:val="230"/>
        </w:trPr>
        <w:tc>
          <w:tcPr>
            <w:tcW w:w="3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services and plans</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62,448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6,470</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68,918</w:t>
            </w:r>
          </w:p>
        </w:tc>
        <w:tc>
          <w:tcPr>
            <w:tcW w:w="0" w:type="dxa"/>
            <w:vAlign w:val="bottom"/>
          </w:tcPr>
          <w:p>
            <w:pPr>
              <w:spacing w:after="0"/>
              <w:rPr>
                <w:sz w:val="1"/>
                <w:szCs w:val="1"/>
                <w:color w:val="auto"/>
              </w:rPr>
            </w:pPr>
          </w:p>
        </w:tc>
      </w:tr>
      <w:tr>
        <w:trPr>
          <w:trHeight w:val="223"/>
        </w:trPr>
        <w:tc>
          <w:tcPr>
            <w:tcW w:w="3640" w:type="dxa"/>
            <w:vAlign w:val="bottom"/>
          </w:tcPr>
          <w:p>
            <w:pPr>
              <w:ind w:left="140"/>
              <w:spacing w:after="0"/>
              <w:rPr>
                <w:sz w:val="20"/>
                <w:szCs w:val="20"/>
                <w:color w:val="auto"/>
              </w:rPr>
            </w:pPr>
            <w:r>
              <w:rPr>
                <w:rFonts w:ascii="Arial" w:cs="Arial" w:eastAsia="Arial" w:hAnsi="Arial"/>
                <w:sz w:val="18"/>
                <w:szCs w:val="18"/>
                <w:color w:val="auto"/>
              </w:rPr>
              <w:t>Total costs applicable to revenue</w:t>
            </w:r>
          </w:p>
        </w:tc>
        <w:tc>
          <w:tcPr>
            <w:tcW w:w="12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160,987</w:t>
            </w:r>
          </w:p>
        </w:tc>
        <w:tc>
          <w:tcPr>
            <w:tcW w:w="1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19,380</w:t>
            </w:r>
          </w:p>
        </w:tc>
        <w:tc>
          <w:tcPr>
            <w:tcW w:w="100" w:type="dxa"/>
            <w:vAlign w:val="bottom"/>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53,683</w:t>
            </w:r>
          </w:p>
        </w:tc>
        <w:tc>
          <w:tcPr>
            <w:tcW w:w="1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1,896</w:t>
            </w:r>
          </w:p>
        </w:tc>
        <w:tc>
          <w:tcPr>
            <w:tcW w:w="1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235,946</w:t>
            </w:r>
          </w:p>
        </w:tc>
        <w:tc>
          <w:tcPr>
            <w:tcW w:w="0" w:type="dxa"/>
            <w:vAlign w:val="bottom"/>
          </w:tcPr>
          <w:p>
            <w:pPr>
              <w:spacing w:after="0"/>
              <w:rPr>
                <w:sz w:val="1"/>
                <w:szCs w:val="1"/>
                <w:color w:val="auto"/>
              </w:rPr>
            </w:pPr>
          </w:p>
        </w:tc>
      </w:tr>
      <w:tr>
        <w:trPr>
          <w:trHeight w:val="230"/>
        </w:trPr>
        <w:tc>
          <w:tcPr>
            <w:tcW w:w="3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SG&amp;A</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158,913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14,802</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60,520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234,235</w:t>
            </w:r>
          </w:p>
        </w:tc>
        <w:tc>
          <w:tcPr>
            <w:tcW w:w="0" w:type="dxa"/>
            <w:vAlign w:val="bottom"/>
          </w:tcPr>
          <w:p>
            <w:pPr>
              <w:spacing w:after="0"/>
              <w:rPr>
                <w:sz w:val="1"/>
                <w:szCs w:val="1"/>
                <w:color w:val="auto"/>
              </w:rPr>
            </w:pPr>
          </w:p>
        </w:tc>
      </w:tr>
      <w:tr>
        <w:trPr>
          <w:trHeight w:val="230"/>
        </w:trPr>
        <w:tc>
          <w:tcPr>
            <w:tcW w:w="3640" w:type="dxa"/>
            <w:vAlign w:val="bottom"/>
          </w:tcPr>
          <w:p>
            <w:pPr>
              <w:ind w:left="20"/>
              <w:spacing w:after="0"/>
              <w:rPr>
                <w:sz w:val="20"/>
                <w:szCs w:val="20"/>
                <w:color w:val="auto"/>
              </w:rPr>
            </w:pPr>
            <w:r>
              <w:rPr>
                <w:rFonts w:ascii="Arial" w:cs="Arial" w:eastAsia="Arial" w:hAnsi="Arial"/>
                <w:sz w:val="18"/>
                <w:szCs w:val="18"/>
                <w:color w:val="auto"/>
              </w:rPr>
              <w:t>Asset impairment</w:t>
            </w:r>
          </w:p>
        </w:tc>
        <w:tc>
          <w:tcPr>
            <w:tcW w:w="12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519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519</w:t>
            </w:r>
          </w:p>
        </w:tc>
        <w:tc>
          <w:tcPr>
            <w:tcW w:w="0" w:type="dxa"/>
            <w:vAlign w:val="bottom"/>
          </w:tcPr>
          <w:p>
            <w:pPr>
              <w:spacing w:after="0"/>
              <w:rPr>
                <w:sz w:val="1"/>
                <w:szCs w:val="1"/>
                <w:color w:val="auto"/>
              </w:rPr>
            </w:pPr>
          </w:p>
        </w:tc>
      </w:tr>
      <w:tr>
        <w:trPr>
          <w:trHeight w:val="230"/>
        </w:trPr>
        <w:tc>
          <w:tcPr>
            <w:tcW w:w="3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expense (income), net</w:t>
            </w:r>
          </w:p>
        </w:tc>
        <w:tc>
          <w:tcPr>
            <w:tcW w:w="1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29"/>
        </w:trPr>
        <w:tc>
          <w:tcPr>
            <w:tcW w:w="3640" w:type="dxa"/>
            <w:vAlign w:val="bottom"/>
          </w:tcPr>
          <w:p>
            <w:pPr>
              <w:ind w:left="20"/>
              <w:spacing w:after="0"/>
              <w:rPr>
                <w:sz w:val="20"/>
                <w:szCs w:val="20"/>
                <w:color w:val="auto"/>
              </w:rPr>
            </w:pPr>
            <w:r>
              <w:rPr>
                <w:rFonts w:ascii="Arial" w:cs="Arial" w:eastAsia="Arial" w:hAnsi="Arial"/>
                <w:sz w:val="18"/>
                <w:szCs w:val="18"/>
                <w:color w:val="auto"/>
              </w:rPr>
              <w:t>Debt issuance costs</w:t>
            </w:r>
          </w:p>
        </w:tc>
        <w:tc>
          <w:tcPr>
            <w:tcW w:w="12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48"/>
        </w:trPr>
        <w:tc>
          <w:tcPr>
            <w:tcW w:w="36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EBITDA</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120,257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9,418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40" w:type="dxa"/>
            <w:vAlign w:val="bottom"/>
            <w:tcBorders>
              <w:top w:val="single" w:sz="8" w:color="auto"/>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(53,229)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CCEEFF"/>
              <w:bottom w:val="single" w:sz="8" w:color="CCEEFF"/>
            </w:tcBorders>
            <w:shd w:val="clear" w:color="auto" w:fill="CCEEFF"/>
          </w:tcPr>
          <w:p>
            <w:pPr>
              <w:spacing w:after="0"/>
              <w:rPr>
                <w:sz w:val="21"/>
                <w:szCs w:val="21"/>
                <w:color w:val="auto"/>
              </w:rPr>
            </w:pPr>
          </w:p>
        </w:tc>
        <w:tc>
          <w:tcPr>
            <w:tcW w:w="1060" w:type="dxa"/>
            <w:vAlign w:val="bottom"/>
            <w:tcBorders>
              <w:top w:val="single" w:sz="8" w:color="CCEEFF"/>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6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Depreciation and amortization</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24,025</w:t>
            </w:r>
          </w:p>
        </w:tc>
        <w:tc>
          <w:tcPr>
            <w:tcW w:w="0" w:type="dxa"/>
            <w:vAlign w:val="bottom"/>
          </w:tcPr>
          <w:p>
            <w:pPr>
              <w:spacing w:after="0" w:line="20" w:lineRule="exact"/>
              <w:rPr>
                <w:sz w:val="1"/>
                <w:szCs w:val="1"/>
                <w:color w:val="auto"/>
              </w:rPr>
            </w:pPr>
          </w:p>
        </w:tc>
      </w:tr>
      <w:tr>
        <w:trPr>
          <w:trHeight w:val="177"/>
        </w:trPr>
        <w:tc>
          <w:tcPr>
            <w:tcW w:w="36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 net</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10,096</w:t>
            </w:r>
          </w:p>
        </w:tc>
        <w:tc>
          <w:tcPr>
            <w:tcW w:w="0" w:type="dxa"/>
            <w:vAlign w:val="bottom"/>
          </w:tcPr>
          <w:p>
            <w:pPr>
              <w:spacing w:after="0"/>
              <w:rPr>
                <w:sz w:val="1"/>
                <w:szCs w:val="1"/>
                <w:color w:val="auto"/>
              </w:rPr>
            </w:pPr>
          </w:p>
        </w:tc>
      </w:tr>
      <w:tr>
        <w:trPr>
          <w:trHeight w:val="223"/>
        </w:trPr>
        <w:tc>
          <w:tcPr>
            <w:tcW w:w="3640" w:type="dxa"/>
            <w:vAlign w:val="bottom"/>
          </w:tcPr>
          <w:p>
            <w:pPr>
              <w:ind w:left="20"/>
              <w:spacing w:after="0"/>
              <w:rPr>
                <w:sz w:val="20"/>
                <w:szCs w:val="20"/>
                <w:color w:val="auto"/>
              </w:rPr>
            </w:pPr>
            <w:r>
              <w:rPr>
                <w:rFonts w:ascii="Arial" w:cs="Arial" w:eastAsia="Arial" w:hAnsi="Arial"/>
                <w:sz w:val="18"/>
                <w:szCs w:val="18"/>
                <w:color w:val="auto"/>
              </w:rPr>
              <w:t>Earnings before income taxes</w:t>
            </w: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44,641</w:t>
            </w:r>
          </w:p>
        </w:tc>
        <w:tc>
          <w:tcPr>
            <w:tcW w:w="0" w:type="dxa"/>
            <w:vAlign w:val="bottom"/>
          </w:tcPr>
          <w:p>
            <w:pPr>
              <w:spacing w:after="0"/>
              <w:rPr>
                <w:sz w:val="1"/>
                <w:szCs w:val="1"/>
                <w:color w:val="auto"/>
              </w:rPr>
            </w:pPr>
          </w:p>
        </w:tc>
      </w:tr>
      <w:tr>
        <w:trPr>
          <w:trHeight w:val="20"/>
        </w:trPr>
        <w:tc>
          <w:tcPr>
            <w:tcW w:w="3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0" w:name="page21"/>
    <w:bookmarkEnd w:id="2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3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4380" w:type="dxa"/>
            <w:vAlign w:val="bottom"/>
            <w:tcBorders>
              <w:bottom w:val="single" w:sz="8" w:color="auto"/>
            </w:tcBorders>
            <w:gridSpan w:val="12"/>
          </w:tcPr>
          <w:p>
            <w:pPr>
              <w:jc w:val="right"/>
              <w:ind w:right="1020"/>
              <w:spacing w:after="0"/>
              <w:rPr>
                <w:sz w:val="20"/>
                <w:szCs w:val="20"/>
                <w:color w:val="auto"/>
              </w:rPr>
            </w:pPr>
            <w:r>
              <w:rPr>
                <w:rFonts w:ascii="Arial" w:cs="Arial" w:eastAsia="Arial" w:hAnsi="Arial"/>
                <w:sz w:val="18"/>
                <w:szCs w:val="18"/>
                <w:color w:val="auto"/>
              </w:rPr>
              <w:t>Three Months Ended June 27, 2020</w:t>
            </w:r>
          </w:p>
        </w:tc>
        <w:tc>
          <w:tcPr>
            <w:tcW w:w="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20" w:type="dxa"/>
            <w:vAlign w:val="bottom"/>
            <w:tcBorders>
              <w:bottom w:val="single" w:sz="8" w:color="CCEEFF"/>
            </w:tcBorders>
          </w:tcPr>
          <w:p>
            <w:pPr>
              <w:ind w:left="20"/>
              <w:spacing w:after="0"/>
              <w:rPr>
                <w:sz w:val="20"/>
                <w:szCs w:val="20"/>
                <w:color w:val="auto"/>
              </w:rPr>
            </w:pPr>
            <w:r>
              <w:rPr>
                <w:rFonts w:ascii="Arial" w:cs="Arial" w:eastAsia="Arial" w:hAnsi="Arial"/>
                <w:sz w:val="18"/>
                <w:szCs w:val="18"/>
                <w:i w:val="1"/>
                <w:iCs w:val="1"/>
                <w:color w:val="auto"/>
              </w:rPr>
              <w:t>In thousands</w:t>
            </w:r>
          </w:p>
        </w:tc>
        <w:tc>
          <w:tcPr>
            <w:tcW w:w="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Owned &amp; Host</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gridSpan w:val="2"/>
          </w:tcPr>
          <w:p>
            <w:pPr>
              <w:ind w:left="180"/>
              <w:spacing w:after="0"/>
              <w:rPr>
                <w:sz w:val="20"/>
                <w:szCs w:val="20"/>
                <w:color w:val="auto"/>
              </w:rPr>
            </w:pPr>
            <w:r>
              <w:rPr>
                <w:rFonts w:ascii="Arial" w:cs="Arial" w:eastAsia="Arial" w:hAnsi="Arial"/>
                <w:sz w:val="18"/>
                <w:szCs w:val="18"/>
                <w:color w:val="auto"/>
              </w:rPr>
              <w:t>Legacy</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380" w:type="dxa"/>
            <w:vAlign w:val="bottom"/>
            <w:tcBorders>
              <w:bottom w:val="single" w:sz="8" w:color="auto"/>
            </w:tcBorders>
            <w:gridSpan w:val="3"/>
          </w:tcPr>
          <w:p>
            <w:pPr>
              <w:ind w:left="100"/>
              <w:spacing w:after="0"/>
              <w:rPr>
                <w:sz w:val="20"/>
                <w:szCs w:val="20"/>
                <w:color w:val="auto"/>
              </w:rPr>
            </w:pPr>
            <w:r>
              <w:rPr>
                <w:rFonts w:ascii="Arial" w:cs="Arial" w:eastAsia="Arial" w:hAnsi="Arial"/>
                <w:sz w:val="18"/>
                <w:szCs w:val="18"/>
                <w:color w:val="auto"/>
                <w:w w:val="96"/>
              </w:rPr>
              <w:t>Corporate/Other</w:t>
            </w: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8"/>
                <w:szCs w:val="18"/>
                <w:color w:val="auto"/>
                <w:w w:val="97"/>
              </w:rPr>
              <w:t>Reconciliations</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Total</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product sales</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177,430</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16,254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50,472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(34,449)</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209,707</w:t>
            </w:r>
          </w:p>
        </w:tc>
        <w:tc>
          <w:tcPr>
            <w:tcW w:w="40" w:type="dxa"/>
            <w:vAlign w:val="bottom"/>
            <w:tcBorders>
              <w:left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sales of services and plans</w:t>
            </w:r>
          </w:p>
        </w:tc>
        <w:tc>
          <w:tcPr>
            <w:tcW w:w="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34,275</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9,159</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6,866</w:t>
            </w: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50,300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 net revenue</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211,705</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25,413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50,472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(27,583)</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260,007</w:t>
            </w:r>
          </w:p>
        </w:tc>
        <w:tc>
          <w:tcPr>
            <w:tcW w:w="40" w:type="dxa"/>
            <w:vAlign w:val="bottom"/>
            <w:tcBorders>
              <w:left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20" w:type="dxa"/>
            <w:vAlign w:val="bottom"/>
          </w:tcPr>
          <w:p>
            <w:pPr>
              <w:ind w:left="20"/>
              <w:spacing w:after="0"/>
              <w:rPr>
                <w:sz w:val="20"/>
                <w:szCs w:val="20"/>
                <w:color w:val="auto"/>
              </w:rPr>
            </w:pPr>
            <w:r>
              <w:rPr>
                <w:rFonts w:ascii="Arial" w:cs="Arial" w:eastAsia="Arial" w:hAnsi="Arial"/>
                <w:sz w:val="18"/>
                <w:szCs w:val="18"/>
                <w:color w:val="auto"/>
              </w:rPr>
              <w:t>Cost of products</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54,898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9,093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42,135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gridSpan w:val="2"/>
          </w:tcPr>
          <w:p>
            <w:pPr>
              <w:jc w:val="right"/>
              <w:ind w:right="40"/>
              <w:spacing w:after="0"/>
              <w:rPr>
                <w:sz w:val="20"/>
                <w:szCs w:val="20"/>
                <w:color w:val="auto"/>
              </w:rPr>
            </w:pPr>
            <w:r>
              <w:rPr>
                <w:rFonts w:ascii="Arial" w:cs="Arial" w:eastAsia="Arial" w:hAnsi="Arial"/>
                <w:sz w:val="18"/>
                <w:szCs w:val="18"/>
                <w:color w:val="auto"/>
              </w:rPr>
              <w:t>(8,491)</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97,635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services and plans</w:t>
            </w:r>
          </w:p>
        </w:tc>
        <w:tc>
          <w:tcPr>
            <w:tcW w:w="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38,573</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4,572</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43,145</w:t>
            </w:r>
          </w:p>
        </w:tc>
        <w:tc>
          <w:tcPr>
            <w:tcW w:w="40" w:type="dxa"/>
            <w:vAlign w:val="bottom"/>
            <w:tcBorders>
              <w:left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20" w:type="dxa"/>
            <w:vAlign w:val="bottom"/>
          </w:tcPr>
          <w:p>
            <w:pPr>
              <w:ind w:left="140"/>
              <w:spacing w:after="0"/>
              <w:rPr>
                <w:sz w:val="20"/>
                <w:szCs w:val="20"/>
                <w:color w:val="auto"/>
              </w:rPr>
            </w:pPr>
            <w:r>
              <w:rPr>
                <w:rFonts w:ascii="Arial" w:cs="Arial" w:eastAsia="Arial" w:hAnsi="Arial"/>
                <w:sz w:val="18"/>
                <w:szCs w:val="18"/>
                <w:color w:val="auto"/>
              </w:rPr>
              <w:t>Total costs applicable to revenue</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93,471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13,665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42,135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gridSpan w:val="2"/>
          </w:tcPr>
          <w:p>
            <w:pPr>
              <w:jc w:val="right"/>
              <w:ind w:right="40"/>
              <w:spacing w:after="0"/>
              <w:rPr>
                <w:sz w:val="20"/>
                <w:szCs w:val="20"/>
                <w:color w:val="auto"/>
              </w:rPr>
            </w:pPr>
            <w:r>
              <w:rPr>
                <w:rFonts w:ascii="Arial" w:cs="Arial" w:eastAsia="Arial" w:hAnsi="Arial"/>
                <w:sz w:val="18"/>
                <w:szCs w:val="18"/>
                <w:color w:val="auto"/>
              </w:rPr>
              <w:t>(8,491)</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140,780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SG&amp;A</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86,704</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10,561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39,317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136,582</w:t>
            </w:r>
          </w:p>
        </w:tc>
        <w:tc>
          <w:tcPr>
            <w:tcW w:w="40" w:type="dxa"/>
            <w:vAlign w:val="bottom"/>
            <w:tcBorders>
              <w:left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20" w:type="dxa"/>
            <w:vAlign w:val="bottom"/>
          </w:tcPr>
          <w:p>
            <w:pPr>
              <w:ind w:left="20"/>
              <w:spacing w:after="0"/>
              <w:rPr>
                <w:sz w:val="20"/>
                <w:szCs w:val="20"/>
                <w:color w:val="auto"/>
              </w:rPr>
            </w:pPr>
            <w:r>
              <w:rPr>
                <w:rFonts w:ascii="Arial" w:cs="Arial" w:eastAsia="Arial" w:hAnsi="Arial"/>
                <w:sz w:val="18"/>
                <w:szCs w:val="18"/>
                <w:color w:val="auto"/>
              </w:rPr>
              <w:t>Asset impairment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2,411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2,411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expense (income), net</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(92)</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40" w:type="dxa"/>
            <w:vAlign w:val="bottom"/>
            <w:tcBorders>
              <w:left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6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Debt issuance costs</w:t>
            </w:r>
          </w:p>
        </w:tc>
        <w:tc>
          <w:tcPr>
            <w:tcW w:w="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10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136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3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EBITDA</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31,530</w:t>
            </w: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1,187</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(33,435)</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(19,092)</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left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Depreciation and amortization</w:t>
            </w: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21,924</w:t>
            </w: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20" w:type="dxa"/>
            <w:vAlign w:val="bottom"/>
          </w:tcPr>
          <w:p>
            <w:pPr>
              <w:spacing w:after="0"/>
              <w:rPr>
                <w:sz w:val="15"/>
                <w:szCs w:val="15"/>
                <w:color w:val="auto"/>
              </w:rPr>
            </w:pPr>
          </w:p>
        </w:tc>
        <w:tc>
          <w:tcPr>
            <w:tcW w:w="362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 net</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15,502</w:t>
            </w:r>
          </w:p>
        </w:tc>
        <w:tc>
          <w:tcPr>
            <w:tcW w:w="40" w:type="dxa"/>
            <w:vAlign w:val="bottom"/>
            <w:tcBorders>
              <w:left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20" w:type="dxa"/>
            <w:vAlign w:val="bottom"/>
          </w:tcPr>
          <w:p>
            <w:pPr>
              <w:ind w:left="20"/>
              <w:spacing w:after="0"/>
              <w:rPr>
                <w:sz w:val="20"/>
                <w:szCs w:val="20"/>
                <w:color w:val="auto"/>
              </w:rPr>
            </w:pPr>
            <w:r>
              <w:rPr>
                <w:rFonts w:ascii="Arial" w:cs="Arial" w:eastAsia="Arial" w:hAnsi="Arial"/>
                <w:sz w:val="18"/>
                <w:szCs w:val="18"/>
                <w:color w:val="auto"/>
              </w:rPr>
              <w:t>Earnings (loss) before income taxes</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(57,236)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380" w:type="dxa"/>
            <w:vAlign w:val="bottom"/>
            <w:gridSpan w:val="12"/>
            <w:vMerge w:val="restart"/>
          </w:tcPr>
          <w:p>
            <w:pPr>
              <w:jc w:val="right"/>
              <w:ind w:right="1200"/>
              <w:spacing w:after="0"/>
              <w:rPr>
                <w:sz w:val="20"/>
                <w:szCs w:val="20"/>
                <w:color w:val="auto"/>
              </w:rPr>
            </w:pPr>
            <w:r>
              <w:rPr>
                <w:rFonts w:ascii="Arial" w:cs="Arial" w:eastAsia="Arial" w:hAnsi="Arial"/>
                <w:sz w:val="18"/>
                <w:szCs w:val="18"/>
                <w:color w:val="auto"/>
              </w:rPr>
              <w:t>Six Months Ended July 3, 2021</w:t>
            </w: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6"/>
        </w:trPr>
        <w:tc>
          <w:tcPr>
            <w:tcW w:w="2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380" w:type="dxa"/>
            <w:vAlign w:val="bottom"/>
            <w:tcBorders>
              <w:bottom w:val="single" w:sz="8" w:color="auto"/>
            </w:tcBorders>
            <w:gridSpan w:val="12"/>
            <w:vMerge w:val="continue"/>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20" w:type="dxa"/>
            <w:vAlign w:val="bottom"/>
          </w:tcPr>
          <w:p>
            <w:pPr>
              <w:spacing w:after="0"/>
              <w:rPr>
                <w:sz w:val="20"/>
                <w:szCs w:val="20"/>
                <w:color w:val="auto"/>
              </w:rPr>
            </w:pPr>
            <w:r>
              <w:rPr>
                <w:rFonts w:ascii="Arial" w:cs="Arial" w:eastAsia="Arial" w:hAnsi="Arial"/>
                <w:sz w:val="18"/>
                <w:szCs w:val="18"/>
                <w:i w:val="1"/>
                <w:iCs w:val="1"/>
                <w:color w:val="auto"/>
              </w:rPr>
              <w:t>In thousands</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auto"/>
              </w:rPr>
              <w:t>Owned &amp; Host</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2"/>
          </w:tcPr>
          <w:p>
            <w:pPr>
              <w:ind w:left="140"/>
              <w:spacing w:after="0"/>
              <w:rPr>
                <w:sz w:val="20"/>
                <w:szCs w:val="20"/>
                <w:color w:val="auto"/>
              </w:rPr>
            </w:pPr>
            <w:r>
              <w:rPr>
                <w:rFonts w:ascii="Arial" w:cs="Arial" w:eastAsia="Arial" w:hAnsi="Arial"/>
                <w:sz w:val="18"/>
                <w:szCs w:val="18"/>
                <w:color w:val="auto"/>
              </w:rPr>
              <w:t>Legacy</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80" w:type="dxa"/>
            <w:vAlign w:val="bottom"/>
            <w:gridSpan w:val="3"/>
          </w:tcPr>
          <w:p>
            <w:pPr>
              <w:ind w:left="80"/>
              <w:spacing w:after="0"/>
              <w:rPr>
                <w:sz w:val="20"/>
                <w:szCs w:val="20"/>
                <w:color w:val="auto"/>
              </w:rPr>
            </w:pPr>
            <w:r>
              <w:rPr>
                <w:rFonts w:ascii="Arial" w:cs="Arial" w:eastAsia="Arial" w:hAnsi="Arial"/>
                <w:sz w:val="18"/>
                <w:szCs w:val="18"/>
                <w:color w:val="auto"/>
                <w:w w:val="98"/>
              </w:rPr>
              <w:t>Corporate/Other</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gridSpan w:val="2"/>
          </w:tcPr>
          <w:p>
            <w:pPr>
              <w:jc w:val="right"/>
              <w:ind w:right="300"/>
              <w:spacing w:after="0"/>
              <w:rPr>
                <w:sz w:val="20"/>
                <w:szCs w:val="20"/>
                <w:color w:val="auto"/>
              </w:rPr>
            </w:pPr>
            <w:r>
              <w:rPr>
                <w:rFonts w:ascii="Arial" w:cs="Arial" w:eastAsia="Arial" w:hAnsi="Arial"/>
                <w:sz w:val="18"/>
                <w:szCs w:val="18"/>
                <w:color w:val="auto"/>
                <w:w w:val="95"/>
              </w:rPr>
              <w:t>Reconciliations</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ind w:right="430"/>
              <w:spacing w:after="0"/>
              <w:rPr>
                <w:sz w:val="20"/>
                <w:szCs w:val="20"/>
                <w:color w:val="auto"/>
              </w:rPr>
            </w:pPr>
            <w:r>
              <w:rPr>
                <w:rFonts w:ascii="Arial" w:cs="Arial" w:eastAsia="Arial" w:hAnsi="Arial"/>
                <w:sz w:val="18"/>
                <w:szCs w:val="18"/>
                <w:color w:val="auto"/>
              </w:rPr>
              <w:t>Total</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CCEEFF"/>
            </w:tcBorders>
            <w:shd w:val="clear" w:color="auto" w:fill="CCEEFF"/>
          </w:tcPr>
          <w:p>
            <w:pPr>
              <w:spacing w:after="0"/>
              <w:rPr>
                <w:sz w:val="19"/>
                <w:szCs w:val="19"/>
                <w:color w:val="auto"/>
              </w:rPr>
            </w:pPr>
          </w:p>
        </w:tc>
        <w:tc>
          <w:tcPr>
            <w:tcW w:w="3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product sales</w:t>
            </w: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730,747</w:t>
            </w: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54,275</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gridSpan w:val="2"/>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122,738</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(6,487)</w:t>
            </w:r>
          </w:p>
        </w:tc>
        <w:tc>
          <w:tcPr>
            <w:tcW w:w="4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901,273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Net sales of services and plans</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161,857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32,907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(12,368)</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182,396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CCEEFF"/>
            </w:tcBorders>
            <w:shd w:val="clear" w:color="auto" w:fill="CCEEFF"/>
          </w:tcPr>
          <w:p>
            <w:pPr>
              <w:spacing w:after="0"/>
              <w:rPr>
                <w:sz w:val="19"/>
                <w:szCs w:val="19"/>
                <w:color w:val="auto"/>
              </w:rPr>
            </w:pPr>
          </w:p>
        </w:tc>
        <w:tc>
          <w:tcPr>
            <w:tcW w:w="3620" w:type="dxa"/>
            <w:vAlign w:val="bottom"/>
            <w:tcBorders>
              <w:top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 net revenue</w:t>
            </w:r>
          </w:p>
        </w:tc>
        <w:tc>
          <w:tcPr>
            <w:tcW w:w="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892,604</w:t>
            </w: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87,182</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122,738</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auto"/>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(18,855)</w:t>
            </w:r>
          </w:p>
        </w:tc>
        <w:tc>
          <w:tcPr>
            <w:tcW w:w="4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1,083,669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Costs of products</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195,643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25,769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106,709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(1,402)</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326,719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Costs of services and plans</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121,252</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12,665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133,917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20" w:type="dxa"/>
            <w:vAlign w:val="bottom"/>
          </w:tcPr>
          <w:p>
            <w:pPr>
              <w:ind w:left="120"/>
              <w:spacing w:after="0"/>
              <w:rPr>
                <w:sz w:val="20"/>
                <w:szCs w:val="20"/>
                <w:color w:val="auto"/>
              </w:rPr>
            </w:pPr>
            <w:r>
              <w:rPr>
                <w:rFonts w:ascii="Arial" w:cs="Arial" w:eastAsia="Arial" w:hAnsi="Arial"/>
                <w:sz w:val="18"/>
                <w:szCs w:val="18"/>
                <w:color w:val="auto"/>
              </w:rPr>
              <w:t>Total costs applicable to revenue</w:t>
            </w:r>
          </w:p>
        </w:tc>
        <w:tc>
          <w:tcPr>
            <w:tcW w:w="2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316,895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38,434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106,709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(1,402)</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460,636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SG&amp;A</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308,876</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29,095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119,857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457,828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Asset impairment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1,478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1,478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Other expense (income), net</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Debt issuance costs</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36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EBITDA</w:t>
            </w:r>
          </w:p>
        </w:tc>
        <w:tc>
          <w:tcPr>
            <w:tcW w:w="1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266,833</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19,653</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auto"/>
            </w:tcBorders>
            <w:gridSpan w:val="2"/>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(105,268)</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(17,453)</w:t>
            </w: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CCEEFF"/>
              <w:bottom w:val="single" w:sz="8" w:color="CCEEFF"/>
            </w:tcBorders>
            <w:shd w:val="clear" w:color="auto" w:fill="CCEEFF"/>
          </w:tcPr>
          <w:p>
            <w:pPr>
              <w:spacing w:after="0"/>
              <w:rPr>
                <w:sz w:val="21"/>
                <w:szCs w:val="21"/>
                <w:color w:val="auto"/>
              </w:rPr>
            </w:pPr>
          </w:p>
        </w:tc>
        <w:tc>
          <w:tcPr>
            <w:tcW w:w="106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36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Depreciation and amortization</w:t>
            </w: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47,580</w:t>
            </w: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362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16,426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Earnings before income taxes</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Borders>
              <w:bottom w:val="single" w:sz="8" w:color="auto"/>
            </w:tcBorders>
            <w:gridSpan w:val="2"/>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99,759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vMerge w:val="restart"/>
          </w:tcPr>
          <w:p>
            <w:pPr>
              <w:ind w:left="160"/>
              <w:spacing w:after="0"/>
              <w:rPr>
                <w:sz w:val="20"/>
                <w:szCs w:val="20"/>
                <w:color w:val="auto"/>
              </w:rPr>
            </w:pPr>
            <w:r>
              <w:rPr>
                <w:rFonts w:ascii="Arial" w:cs="Arial" w:eastAsia="Arial" w:hAnsi="Arial"/>
                <w:sz w:val="18"/>
                <w:szCs w:val="18"/>
                <w:color w:val="auto"/>
              </w:rPr>
              <w:t>21</w:t>
            </w: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50"/>
        </w:trPr>
        <w:tc>
          <w:tcPr>
            <w:tcW w:w="2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36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4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1" w:name="page22"/>
    <w:bookmarkEnd w:id="2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4460" w:type="dxa"/>
            <w:vAlign w:val="bottom"/>
            <w:tcBorders>
              <w:bottom w:val="single" w:sz="8" w:color="auto"/>
            </w:tcBorders>
            <w:gridSpan w:val="8"/>
          </w:tcPr>
          <w:p>
            <w:pPr>
              <w:ind w:left="860"/>
              <w:spacing w:after="0"/>
              <w:rPr>
                <w:sz w:val="20"/>
                <w:szCs w:val="20"/>
                <w:color w:val="auto"/>
              </w:rPr>
            </w:pPr>
            <w:r>
              <w:rPr>
                <w:rFonts w:ascii="Arial" w:cs="Arial" w:eastAsia="Arial" w:hAnsi="Arial"/>
                <w:sz w:val="18"/>
                <w:szCs w:val="18"/>
                <w:color w:val="auto"/>
              </w:rPr>
              <w:t>Six Months Ended June 27, 2020</w:t>
            </w:r>
          </w:p>
        </w:tc>
        <w:tc>
          <w:tcPr>
            <w:tcW w:w="3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r>
      <w:tr>
        <w:trPr>
          <w:trHeight w:val="223"/>
        </w:trPr>
        <w:tc>
          <w:tcPr>
            <w:tcW w:w="3660" w:type="dxa"/>
            <w:vAlign w:val="bottom"/>
          </w:tcPr>
          <w:p>
            <w:pPr>
              <w:ind w:left="20"/>
              <w:spacing w:after="0"/>
              <w:rPr>
                <w:sz w:val="20"/>
                <w:szCs w:val="20"/>
                <w:color w:val="auto"/>
              </w:rPr>
            </w:pPr>
            <w:r>
              <w:rPr>
                <w:rFonts w:ascii="Arial" w:cs="Arial" w:eastAsia="Arial" w:hAnsi="Arial"/>
                <w:sz w:val="18"/>
                <w:szCs w:val="18"/>
                <w:i w:val="1"/>
                <w:iCs w:val="1"/>
                <w:color w:val="auto"/>
              </w:rPr>
              <w:t>In thousands</w:t>
            </w:r>
          </w:p>
        </w:tc>
        <w:tc>
          <w:tcPr>
            <w:tcW w:w="120" w:type="dxa"/>
            <w:vAlign w:val="bottom"/>
          </w:tcPr>
          <w:p>
            <w:pPr>
              <w:spacing w:after="0"/>
              <w:rPr>
                <w:sz w:val="19"/>
                <w:szCs w:val="19"/>
                <w:color w:val="auto"/>
              </w:rPr>
            </w:pPr>
          </w:p>
        </w:tc>
        <w:tc>
          <w:tcPr>
            <w:tcW w:w="1340" w:type="dxa"/>
            <w:vAlign w:val="bottom"/>
            <w:gridSpan w:val="2"/>
          </w:tcPr>
          <w:p>
            <w:pPr>
              <w:spacing w:after="0"/>
              <w:rPr>
                <w:sz w:val="20"/>
                <w:szCs w:val="20"/>
                <w:color w:val="auto"/>
              </w:rPr>
            </w:pPr>
            <w:r>
              <w:rPr>
                <w:rFonts w:ascii="Arial" w:cs="Arial" w:eastAsia="Arial" w:hAnsi="Arial"/>
                <w:sz w:val="18"/>
                <w:szCs w:val="18"/>
                <w:color w:val="auto"/>
              </w:rPr>
              <w:t>Owned &amp; Host</w:t>
            </w:r>
          </w:p>
        </w:tc>
        <w:tc>
          <w:tcPr>
            <w:tcW w:w="260" w:type="dxa"/>
            <w:vAlign w:val="bottom"/>
          </w:tcPr>
          <w:p>
            <w:pPr>
              <w:spacing w:after="0"/>
              <w:rPr>
                <w:sz w:val="19"/>
                <w:szCs w:val="19"/>
                <w:color w:val="auto"/>
              </w:rPr>
            </w:pPr>
          </w:p>
        </w:tc>
        <w:tc>
          <w:tcPr>
            <w:tcW w:w="1220" w:type="dxa"/>
            <w:vAlign w:val="bottom"/>
            <w:gridSpan w:val="2"/>
          </w:tcPr>
          <w:p>
            <w:pPr>
              <w:ind w:left="160"/>
              <w:spacing w:after="0"/>
              <w:rPr>
                <w:sz w:val="20"/>
                <w:szCs w:val="20"/>
                <w:color w:val="auto"/>
              </w:rPr>
            </w:pPr>
            <w:r>
              <w:rPr>
                <w:rFonts w:ascii="Arial" w:cs="Arial" w:eastAsia="Arial" w:hAnsi="Arial"/>
                <w:sz w:val="18"/>
                <w:szCs w:val="18"/>
                <w:color w:val="auto"/>
              </w:rPr>
              <w:t>Legacy</w:t>
            </w:r>
          </w:p>
        </w:tc>
        <w:tc>
          <w:tcPr>
            <w:tcW w:w="1480" w:type="dxa"/>
            <w:vAlign w:val="bottom"/>
            <w:gridSpan w:val="3"/>
          </w:tcPr>
          <w:p>
            <w:pPr>
              <w:ind w:left="100"/>
              <w:spacing w:after="0"/>
              <w:rPr>
                <w:sz w:val="20"/>
                <w:szCs w:val="20"/>
                <w:color w:val="auto"/>
              </w:rPr>
            </w:pPr>
            <w:r>
              <w:rPr>
                <w:rFonts w:ascii="Arial" w:cs="Arial" w:eastAsia="Arial" w:hAnsi="Arial"/>
                <w:sz w:val="18"/>
                <w:szCs w:val="18"/>
                <w:color w:val="auto"/>
              </w:rPr>
              <w:t>Corporate/Other</w:t>
            </w:r>
          </w:p>
        </w:tc>
        <w:tc>
          <w:tcPr>
            <w:tcW w:w="200" w:type="dxa"/>
            <w:vAlign w:val="bottom"/>
          </w:tcPr>
          <w:p>
            <w:pPr>
              <w:spacing w:after="0"/>
              <w:rPr>
                <w:sz w:val="19"/>
                <w:szCs w:val="19"/>
                <w:color w:val="auto"/>
              </w:rPr>
            </w:pPr>
          </w:p>
        </w:tc>
        <w:tc>
          <w:tcPr>
            <w:tcW w:w="1560" w:type="dxa"/>
            <w:vAlign w:val="bottom"/>
            <w:gridSpan w:val="2"/>
          </w:tcPr>
          <w:p>
            <w:pPr>
              <w:ind w:left="80"/>
              <w:spacing w:after="0"/>
              <w:rPr>
                <w:sz w:val="20"/>
                <w:szCs w:val="20"/>
                <w:color w:val="auto"/>
              </w:rPr>
            </w:pPr>
            <w:r>
              <w:rPr>
                <w:rFonts w:ascii="Arial" w:cs="Arial" w:eastAsia="Arial" w:hAnsi="Arial"/>
                <w:sz w:val="18"/>
                <w:szCs w:val="18"/>
                <w:color w:val="auto"/>
              </w:rPr>
              <w:t>Reconciliations</w:t>
            </w:r>
          </w:p>
        </w:tc>
        <w:tc>
          <w:tcPr>
            <w:tcW w:w="320" w:type="dxa"/>
            <w:vAlign w:val="bottom"/>
          </w:tcPr>
          <w:p>
            <w:pPr>
              <w:spacing w:after="0"/>
              <w:rPr>
                <w:sz w:val="19"/>
                <w:szCs w:val="19"/>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color w:val="auto"/>
              </w:rPr>
              <w:t>Total</w:t>
            </w:r>
          </w:p>
        </w:tc>
      </w:tr>
      <w:tr>
        <w:trPr>
          <w:trHeight w:val="223"/>
        </w:trPr>
        <w:tc>
          <w:tcPr>
            <w:tcW w:w="36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product sales</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459,343</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40,672</w:t>
            </w:r>
          </w:p>
        </w:tc>
        <w:tc>
          <w:tcPr>
            <w:tcW w:w="12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117,044</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(14,511)</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602,548</w:t>
            </w:r>
          </w:p>
        </w:tc>
      </w:tr>
      <w:tr>
        <w:trPr>
          <w:trHeight w:val="230"/>
        </w:trPr>
        <w:tc>
          <w:tcPr>
            <w:tcW w:w="3660" w:type="dxa"/>
            <w:vAlign w:val="bottom"/>
          </w:tcPr>
          <w:p>
            <w:pPr>
              <w:ind w:left="20"/>
              <w:spacing w:after="0"/>
              <w:rPr>
                <w:sz w:val="20"/>
                <w:szCs w:val="20"/>
                <w:color w:val="auto"/>
              </w:rPr>
            </w:pPr>
            <w:r>
              <w:rPr>
                <w:rFonts w:ascii="Arial" w:cs="Arial" w:eastAsia="Arial" w:hAnsi="Arial"/>
                <w:sz w:val="18"/>
                <w:szCs w:val="18"/>
                <w:color w:val="auto"/>
              </w:rPr>
              <w:t>Net sales of services and plans</w:t>
            </w: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99,589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21,198</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6,376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127,163</w:t>
            </w:r>
          </w:p>
        </w:tc>
      </w:tr>
      <w:tr>
        <w:trPr>
          <w:trHeight w:val="223"/>
        </w:trPr>
        <w:tc>
          <w:tcPr>
            <w:tcW w:w="366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net revenue</w:t>
            </w:r>
          </w:p>
        </w:tc>
        <w:tc>
          <w:tcPr>
            <w:tcW w:w="12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558,932</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61,870</w:t>
            </w:r>
          </w:p>
        </w:tc>
        <w:tc>
          <w:tcPr>
            <w:tcW w:w="12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117,044</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(8,135)</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729,711</w:t>
            </w:r>
          </w:p>
        </w:tc>
      </w:tr>
      <w:tr>
        <w:trPr>
          <w:trHeight w:val="229"/>
        </w:trPr>
        <w:tc>
          <w:tcPr>
            <w:tcW w:w="3660" w:type="dxa"/>
            <w:vAlign w:val="bottom"/>
          </w:tcPr>
          <w:p>
            <w:pPr>
              <w:ind w:left="20"/>
              <w:spacing w:after="0"/>
              <w:rPr>
                <w:sz w:val="20"/>
                <w:szCs w:val="20"/>
                <w:color w:val="auto"/>
              </w:rPr>
            </w:pPr>
            <w:r>
              <w:rPr>
                <w:rFonts w:ascii="Arial" w:cs="Arial" w:eastAsia="Arial" w:hAnsi="Arial"/>
                <w:sz w:val="18"/>
                <w:szCs w:val="18"/>
                <w:color w:val="auto"/>
              </w:rPr>
              <w:t>Costs of products</w:t>
            </w: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136,814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20,496</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100,045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(3,350)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254,005</w:t>
            </w:r>
          </w:p>
        </w:tc>
      </w:tr>
      <w:tr>
        <w:trPr>
          <w:trHeight w:val="230"/>
        </w:trPr>
        <w:tc>
          <w:tcPr>
            <w:tcW w:w="3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Costs of services and plans</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94,167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11,162</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105,329</w:t>
            </w:r>
          </w:p>
        </w:tc>
      </w:tr>
      <w:tr>
        <w:trPr>
          <w:trHeight w:val="223"/>
        </w:trPr>
        <w:tc>
          <w:tcPr>
            <w:tcW w:w="3660" w:type="dxa"/>
            <w:vAlign w:val="bottom"/>
          </w:tcPr>
          <w:p>
            <w:pPr>
              <w:ind w:left="140"/>
              <w:spacing w:after="0"/>
              <w:rPr>
                <w:sz w:val="20"/>
                <w:szCs w:val="20"/>
                <w:color w:val="auto"/>
              </w:rPr>
            </w:pPr>
            <w:r>
              <w:rPr>
                <w:rFonts w:ascii="Arial" w:cs="Arial" w:eastAsia="Arial" w:hAnsi="Arial"/>
                <w:sz w:val="18"/>
                <w:szCs w:val="18"/>
                <w:color w:val="auto"/>
              </w:rPr>
              <w:t>Total costs applicable to revenue</w:t>
            </w:r>
          </w:p>
        </w:tc>
        <w:tc>
          <w:tcPr>
            <w:tcW w:w="12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230,981</w:t>
            </w: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31,658</w:t>
            </w:r>
          </w:p>
        </w:tc>
        <w:tc>
          <w:tcPr>
            <w:tcW w:w="12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100,045</w:t>
            </w: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(3,350)</w:t>
            </w:r>
          </w:p>
        </w:tc>
        <w:tc>
          <w:tcPr>
            <w:tcW w:w="1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359,334</w:t>
            </w:r>
          </w:p>
        </w:tc>
      </w:tr>
      <w:tr>
        <w:trPr>
          <w:trHeight w:val="230"/>
        </w:trPr>
        <w:tc>
          <w:tcPr>
            <w:tcW w:w="3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SG&amp;A</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221,418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24,192</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84,713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330,323</w:t>
            </w:r>
          </w:p>
        </w:tc>
      </w:tr>
      <w:tr>
        <w:trPr>
          <w:trHeight w:val="229"/>
        </w:trPr>
        <w:tc>
          <w:tcPr>
            <w:tcW w:w="3660" w:type="dxa"/>
            <w:vAlign w:val="bottom"/>
          </w:tcPr>
          <w:p>
            <w:pPr>
              <w:ind w:left="20"/>
              <w:spacing w:after="0"/>
              <w:rPr>
                <w:sz w:val="20"/>
                <w:szCs w:val="20"/>
                <w:color w:val="auto"/>
              </w:rPr>
            </w:pPr>
            <w:r>
              <w:rPr>
                <w:rFonts w:ascii="Arial" w:cs="Arial" w:eastAsia="Arial" w:hAnsi="Arial"/>
                <w:sz w:val="18"/>
                <w:szCs w:val="18"/>
                <w:color w:val="auto"/>
              </w:rPr>
              <w:t>Asset impairment</w:t>
            </w:r>
          </w:p>
        </w:tc>
        <w:tc>
          <w:tcPr>
            <w:tcW w:w="12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13,766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13,766</w:t>
            </w:r>
          </w:p>
        </w:tc>
      </w:tr>
      <w:tr>
        <w:trPr>
          <w:trHeight w:val="230"/>
        </w:trPr>
        <w:tc>
          <w:tcPr>
            <w:tcW w:w="3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Litigation settlement</w:t>
            </w:r>
          </w:p>
        </w:tc>
        <w:tc>
          <w:tcPr>
            <w:tcW w:w="1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4,395</w:t>
            </w:r>
          </w:p>
        </w:tc>
      </w:tr>
      <w:tr>
        <w:trPr>
          <w:trHeight w:val="229"/>
        </w:trPr>
        <w:tc>
          <w:tcPr>
            <w:tcW w:w="3660" w:type="dxa"/>
            <w:vAlign w:val="bottom"/>
          </w:tcPr>
          <w:p>
            <w:pPr>
              <w:ind w:left="20"/>
              <w:spacing w:after="0"/>
              <w:rPr>
                <w:sz w:val="20"/>
                <w:szCs w:val="20"/>
                <w:color w:val="auto"/>
              </w:rPr>
            </w:pPr>
            <w:r>
              <w:rPr>
                <w:rFonts w:ascii="Arial" w:cs="Arial" w:eastAsia="Arial" w:hAnsi="Arial"/>
                <w:sz w:val="18"/>
                <w:szCs w:val="18"/>
                <w:color w:val="auto"/>
              </w:rPr>
              <w:t>Other expense (income), net</w:t>
            </w:r>
          </w:p>
        </w:tc>
        <w:tc>
          <w:tcPr>
            <w:tcW w:w="12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(158)</w:t>
            </w:r>
          </w:p>
        </w:tc>
      </w:tr>
      <w:tr>
        <w:trPr>
          <w:trHeight w:val="229"/>
        </w:trPr>
        <w:tc>
          <w:tcPr>
            <w:tcW w:w="3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Debt issuance costs</w:t>
            </w:r>
          </w:p>
        </w:tc>
        <w:tc>
          <w:tcPr>
            <w:tcW w:w="1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w:t>
            </w:r>
          </w:p>
        </w:tc>
      </w:tr>
      <w:tr>
        <w:trPr>
          <w:trHeight w:val="223"/>
        </w:trPr>
        <w:tc>
          <w:tcPr>
            <w:tcW w:w="3660" w:type="dxa"/>
            <w:vAlign w:val="bottom"/>
          </w:tcPr>
          <w:p>
            <w:pPr>
              <w:ind w:left="20"/>
              <w:spacing w:after="0"/>
              <w:rPr>
                <w:sz w:val="20"/>
                <w:szCs w:val="20"/>
                <w:color w:val="auto"/>
              </w:rPr>
            </w:pPr>
            <w:r>
              <w:rPr>
                <w:rFonts w:ascii="Arial" w:cs="Arial" w:eastAsia="Arial" w:hAnsi="Arial"/>
                <w:sz w:val="18"/>
                <w:szCs w:val="18"/>
                <w:color w:val="auto"/>
              </w:rPr>
              <w:t>EBITDA</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106,533</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6,020</w:t>
            </w:r>
          </w:p>
        </w:tc>
        <w:tc>
          <w:tcPr>
            <w:tcW w:w="12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(85,853)</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(4,785)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0"/>
        </w:trPr>
        <w:tc>
          <w:tcPr>
            <w:tcW w:w="36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CCEEFF"/>
            </w:tcBorders>
          </w:tcPr>
          <w:p>
            <w:pPr>
              <w:spacing w:after="0" w:line="20" w:lineRule="exact"/>
              <w:rPr>
                <w:sz w:val="1"/>
                <w:szCs w:val="1"/>
                <w:color w:val="auto"/>
              </w:rPr>
            </w:pPr>
          </w:p>
        </w:tc>
      </w:tr>
      <w:tr>
        <w:trPr>
          <w:trHeight w:val="197"/>
        </w:trPr>
        <w:tc>
          <w:tcPr>
            <w:tcW w:w="366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Depreciation and amortization</w:t>
            </w: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46,734</w:t>
            </w:r>
          </w:p>
        </w:tc>
      </w:tr>
      <w:tr>
        <w:trPr>
          <w:trHeight w:val="229"/>
        </w:trPr>
        <w:tc>
          <w:tcPr>
            <w:tcW w:w="36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Interest expense, net</w:t>
            </w:r>
          </w:p>
        </w:tc>
        <w:tc>
          <w:tcPr>
            <w:tcW w:w="120" w:type="dxa"/>
            <w:vAlign w:val="bottom"/>
            <w:tcBorders>
              <w:bottom w:val="single" w:sz="8" w:color="CCEEFF"/>
            </w:tcBorders>
          </w:tcPr>
          <w:p>
            <w:pPr>
              <w:spacing w:after="0"/>
              <w:rPr>
                <w:sz w:val="19"/>
                <w:szCs w:val="19"/>
                <w:color w:val="auto"/>
              </w:rPr>
            </w:pPr>
          </w:p>
        </w:tc>
        <w:tc>
          <w:tcPr>
            <w:tcW w:w="12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1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CCEEFF"/>
            </w:tcBorders>
          </w:tcPr>
          <w:p>
            <w:pPr>
              <w:spacing w:after="0"/>
              <w:rPr>
                <w:sz w:val="19"/>
                <w:szCs w:val="19"/>
                <w:color w:val="auto"/>
              </w:rPr>
            </w:pPr>
          </w:p>
        </w:tc>
        <w:tc>
          <w:tcPr>
            <w:tcW w:w="9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4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22,957</w:t>
            </w:r>
          </w:p>
        </w:tc>
      </w:tr>
      <w:tr>
        <w:trPr>
          <w:trHeight w:val="248"/>
        </w:trPr>
        <w:tc>
          <w:tcPr>
            <w:tcW w:w="3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Earnings (loss) before income taxes</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(47,776)</w:t>
            </w:r>
          </w:p>
        </w:tc>
      </w:tr>
      <w:tr>
        <w:trPr>
          <w:trHeight w:val="20"/>
        </w:trPr>
        <w:tc>
          <w:tcPr>
            <w:tcW w:w="36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Earnings Per Share</w:t>
      </w:r>
    </w:p>
    <w:p>
      <w:pPr>
        <w:spacing w:after="0" w:line="25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Diluted EPS related to the 2025 Notes in the current year is calculated using the if-converted method; the number of dilutive shares is based on the initial conversion rate associated with the 2025 Notes. Prior to the fourth quarter of the fiscal year 2020, we intended to settle the principal amount of the outstanding 2025 Notes in cash and, therefore, used the treasury stock method for calculating the potential effect of dilutive securities related to the 2025 Notes, if applicable. A reconciliation of the numerators and denominators of the basic and diluted EPS calculations is as follows: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0" w:type="dxa"/>
            <w:vAlign w:val="bottom"/>
            <w:gridSpan w:val="5"/>
          </w:tcPr>
          <w:p>
            <w:pPr>
              <w:ind w:left="580"/>
              <w:spacing w:after="0"/>
              <w:rPr>
                <w:sz w:val="20"/>
                <w:szCs w:val="20"/>
                <w:color w:val="auto"/>
              </w:rPr>
            </w:pPr>
            <w:r>
              <w:rPr>
                <w:rFonts w:ascii="Arial" w:cs="Arial" w:eastAsia="Arial" w:hAnsi="Arial"/>
                <w:sz w:val="18"/>
                <w:szCs w:val="18"/>
                <w:color w:val="auto"/>
              </w:rPr>
              <w:t>Three Months Ended</w:t>
            </w:r>
          </w:p>
        </w:tc>
        <w:tc>
          <w:tcPr>
            <w:tcW w:w="260" w:type="dxa"/>
            <w:vAlign w:val="bottom"/>
          </w:tcPr>
          <w:p>
            <w:pPr>
              <w:spacing w:after="0"/>
              <w:rPr>
                <w:sz w:val="20"/>
                <w:szCs w:val="20"/>
                <w:color w:val="auto"/>
              </w:rPr>
            </w:pPr>
          </w:p>
        </w:tc>
        <w:tc>
          <w:tcPr>
            <w:tcW w:w="3200" w:type="dxa"/>
            <w:vAlign w:val="bottom"/>
            <w:gridSpan w:val="4"/>
          </w:tcPr>
          <w:p>
            <w:pPr>
              <w:jc w:val="right"/>
              <w:ind w:right="970"/>
              <w:spacing w:after="0"/>
              <w:rPr>
                <w:sz w:val="20"/>
                <w:szCs w:val="20"/>
                <w:color w:val="auto"/>
              </w:rPr>
            </w:pPr>
            <w:r>
              <w:rPr>
                <w:rFonts w:ascii="Arial" w:cs="Arial" w:eastAsia="Arial" w:hAnsi="Arial"/>
                <w:sz w:val="18"/>
                <w:szCs w:val="18"/>
                <w:color w:val="auto"/>
              </w:rPr>
              <w:t>Six Months Ended</w:t>
            </w:r>
          </w:p>
        </w:tc>
        <w:tc>
          <w:tcPr>
            <w:tcW w:w="0" w:type="dxa"/>
            <w:vAlign w:val="bottom"/>
          </w:tcPr>
          <w:p>
            <w:pPr>
              <w:spacing w:after="0"/>
              <w:rPr>
                <w:sz w:val="1"/>
                <w:szCs w:val="1"/>
                <w:color w:val="auto"/>
              </w:rPr>
            </w:pPr>
          </w:p>
        </w:tc>
      </w:tr>
      <w:tr>
        <w:trPr>
          <w:trHeight w:val="223"/>
        </w:trPr>
        <w:tc>
          <w:tcPr>
            <w:tcW w:w="4580" w:type="dxa"/>
            <w:vAlign w:val="bottom"/>
          </w:tcPr>
          <w:p>
            <w:pPr>
              <w:ind w:left="20"/>
              <w:spacing w:after="0"/>
              <w:rPr>
                <w:sz w:val="20"/>
                <w:szCs w:val="20"/>
                <w:color w:val="auto"/>
              </w:rPr>
            </w:pPr>
            <w:r>
              <w:rPr>
                <w:rFonts w:ascii="Arial" w:cs="Arial" w:eastAsia="Arial" w:hAnsi="Arial"/>
                <w:sz w:val="18"/>
                <w:szCs w:val="18"/>
                <w:i w:val="1"/>
                <w:iCs w:val="1"/>
                <w:color w:val="auto"/>
              </w:rPr>
              <w:t>In thousands, except EPS</w:t>
            </w:r>
          </w:p>
        </w:tc>
        <w:tc>
          <w:tcPr>
            <w:tcW w:w="20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gridSpan w:val="2"/>
          </w:tcPr>
          <w:p>
            <w:pPr>
              <w:ind w:left="100"/>
              <w:spacing w:after="0"/>
              <w:rPr>
                <w:sz w:val="20"/>
                <w:szCs w:val="20"/>
                <w:color w:val="auto"/>
              </w:rPr>
            </w:pPr>
            <w:r>
              <w:rPr>
                <w:rFonts w:ascii="Arial" w:cs="Arial" w:eastAsia="Arial" w:hAnsi="Arial"/>
                <w:sz w:val="18"/>
                <w:szCs w:val="18"/>
                <w:color w:val="auto"/>
              </w:rPr>
              <w:t>July 3, 2021</w:t>
            </w:r>
          </w:p>
        </w:tc>
        <w:tc>
          <w:tcPr>
            <w:tcW w:w="18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2"/>
              </w:rPr>
              <w:t>June 27, 2020</w:t>
            </w:r>
          </w:p>
        </w:tc>
        <w:tc>
          <w:tcPr>
            <w:tcW w:w="1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520" w:type="dxa"/>
            <w:vAlign w:val="bottom"/>
            <w:tcBorders>
              <w:top w:val="single" w:sz="8" w:color="auto"/>
            </w:tcBorders>
            <w:gridSpan w:val="2"/>
          </w:tcPr>
          <w:p>
            <w:pPr>
              <w:ind w:left="140"/>
              <w:spacing w:after="0"/>
              <w:rPr>
                <w:sz w:val="20"/>
                <w:szCs w:val="20"/>
                <w:color w:val="auto"/>
              </w:rPr>
            </w:pPr>
            <w:r>
              <w:rPr>
                <w:rFonts w:ascii="Arial" w:cs="Arial" w:eastAsia="Arial" w:hAnsi="Arial"/>
                <w:sz w:val="18"/>
                <w:szCs w:val="18"/>
                <w:color w:val="auto"/>
              </w:rPr>
              <w:t>July 3, 2021</w:t>
            </w:r>
          </w:p>
        </w:tc>
        <w:tc>
          <w:tcPr>
            <w:tcW w:w="22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w w:val="96"/>
              </w:rPr>
              <w:t>June 27, 2020</w:t>
            </w:r>
          </w:p>
        </w:tc>
        <w:tc>
          <w:tcPr>
            <w:tcW w:w="0" w:type="dxa"/>
            <w:vAlign w:val="bottom"/>
          </w:tcPr>
          <w:p>
            <w:pPr>
              <w:spacing w:after="0"/>
              <w:rPr>
                <w:sz w:val="1"/>
                <w:szCs w:val="1"/>
                <w:color w:val="auto"/>
              </w:rPr>
            </w:pPr>
          </w:p>
        </w:tc>
      </w:tr>
      <w:tr>
        <w:trPr>
          <w:trHeight w:val="223"/>
        </w:trPr>
        <w:tc>
          <w:tcPr>
            <w:tcW w:w="45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37,601</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(43,833)</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81,033</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(34,091)</w:t>
            </w:r>
          </w:p>
        </w:tc>
        <w:tc>
          <w:tcPr>
            <w:tcW w:w="0" w:type="dxa"/>
            <w:vAlign w:val="bottom"/>
          </w:tcPr>
          <w:p>
            <w:pPr>
              <w:spacing w:after="0"/>
              <w:rPr>
                <w:sz w:val="1"/>
                <w:szCs w:val="1"/>
                <w:color w:val="auto"/>
              </w:rPr>
            </w:pPr>
          </w:p>
        </w:tc>
      </w:tr>
      <w:tr>
        <w:trPr>
          <w:trHeight w:val="230"/>
        </w:trPr>
        <w:tc>
          <w:tcPr>
            <w:tcW w:w="4580" w:type="dxa"/>
            <w:vAlign w:val="bottom"/>
          </w:tcPr>
          <w:p>
            <w:pPr>
              <w:ind w:left="20"/>
              <w:spacing w:after="0"/>
              <w:rPr>
                <w:sz w:val="20"/>
                <w:szCs w:val="20"/>
                <w:color w:val="auto"/>
              </w:rPr>
            </w:pPr>
            <w:r>
              <w:rPr>
                <w:rFonts w:ascii="Arial" w:cs="Arial" w:eastAsia="Arial" w:hAnsi="Arial"/>
                <w:sz w:val="18"/>
                <w:szCs w:val="18"/>
                <w:color w:val="auto"/>
              </w:rPr>
              <w:t>After-tax interest expense for 2025 Notes</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2,362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4,694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5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Numerator for diluted EPS</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39,963</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(43,833)</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85,727</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(34,091)</w:t>
            </w:r>
          </w:p>
        </w:tc>
        <w:tc>
          <w:tcPr>
            <w:tcW w:w="0" w:type="dxa"/>
            <w:vAlign w:val="bottom"/>
          </w:tcPr>
          <w:p>
            <w:pPr>
              <w:spacing w:after="0"/>
              <w:rPr>
                <w:sz w:val="1"/>
                <w:szCs w:val="1"/>
                <w:color w:val="auto"/>
              </w:rPr>
            </w:pPr>
          </w:p>
        </w:tc>
      </w:tr>
      <w:tr>
        <w:trPr>
          <w:trHeight w:val="230"/>
        </w:trPr>
        <w:tc>
          <w:tcPr>
            <w:tcW w:w="4580" w:type="dxa"/>
            <w:vAlign w:val="bottom"/>
          </w:tcPr>
          <w:p>
            <w:pPr>
              <w:ind w:left="20"/>
              <w:spacing w:after="0"/>
              <w:rPr>
                <w:sz w:val="20"/>
                <w:szCs w:val="20"/>
                <w:color w:val="auto"/>
              </w:rPr>
            </w:pPr>
            <w:r>
              <w:rPr>
                <w:rFonts w:ascii="Arial" w:cs="Arial" w:eastAsia="Arial" w:hAnsi="Arial"/>
                <w:sz w:val="18"/>
                <w:szCs w:val="18"/>
                <w:color w:val="auto"/>
              </w:rPr>
              <w:t>Weighted average shares outstanding for basic EPS</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81,601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80,325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81,457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80,226</w:t>
            </w:r>
          </w:p>
        </w:tc>
        <w:tc>
          <w:tcPr>
            <w:tcW w:w="0" w:type="dxa"/>
            <w:vAlign w:val="bottom"/>
          </w:tcPr>
          <w:p>
            <w:pPr>
              <w:spacing w:after="0"/>
              <w:rPr>
                <w:sz w:val="1"/>
                <w:szCs w:val="1"/>
                <w:color w:val="auto"/>
              </w:rPr>
            </w:pPr>
          </w:p>
        </w:tc>
      </w:tr>
      <w:tr>
        <w:trPr>
          <w:trHeight w:val="230"/>
        </w:trPr>
        <w:tc>
          <w:tcPr>
            <w:tcW w:w="45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Effect of dilutive securities:</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80" w:type="dxa"/>
            <w:vAlign w:val="bottom"/>
          </w:tcPr>
          <w:p>
            <w:pPr>
              <w:ind w:left="220"/>
              <w:spacing w:after="0"/>
              <w:rPr>
                <w:sz w:val="20"/>
                <w:szCs w:val="20"/>
                <w:color w:val="auto"/>
              </w:rPr>
            </w:pPr>
            <w:r>
              <w:rPr>
                <w:rFonts w:ascii="Arial" w:cs="Arial" w:eastAsia="Arial" w:hAnsi="Arial"/>
                <w:sz w:val="18"/>
                <w:szCs w:val="18"/>
                <w:color w:val="auto"/>
              </w:rPr>
              <w:t>Stock options</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1,215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1,306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5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Restricted stock</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580" w:type="dxa"/>
            <w:vAlign w:val="bottom"/>
          </w:tcPr>
          <w:p>
            <w:pPr>
              <w:ind w:left="220"/>
              <w:spacing w:after="0"/>
              <w:rPr>
                <w:sz w:val="20"/>
                <w:szCs w:val="20"/>
                <w:color w:val="auto"/>
              </w:rPr>
            </w:pPr>
            <w:r>
              <w:rPr>
                <w:rFonts w:ascii="Arial" w:cs="Arial" w:eastAsia="Arial" w:hAnsi="Arial"/>
                <w:sz w:val="18"/>
                <w:szCs w:val="18"/>
                <w:color w:val="auto"/>
              </w:rPr>
              <w:t>2025 Notes</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12,912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12,912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5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 average shares outstanding for diluted EPS</w:t>
            </w:r>
          </w:p>
        </w:tc>
        <w:tc>
          <w:tcPr>
            <w:tcW w:w="20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96,082</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80,325</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96,044</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80,226</w:t>
            </w:r>
          </w:p>
        </w:tc>
        <w:tc>
          <w:tcPr>
            <w:tcW w:w="0" w:type="dxa"/>
            <w:vAlign w:val="bottom"/>
          </w:tcPr>
          <w:p>
            <w:pPr>
              <w:spacing w:after="0"/>
              <w:rPr>
                <w:sz w:val="1"/>
                <w:szCs w:val="1"/>
                <w:color w:val="auto"/>
              </w:rPr>
            </w:pPr>
          </w:p>
        </w:tc>
      </w:tr>
      <w:tr>
        <w:trPr>
          <w:trHeight w:val="230"/>
        </w:trPr>
        <w:tc>
          <w:tcPr>
            <w:tcW w:w="4580" w:type="dxa"/>
            <w:vAlign w:val="bottom"/>
          </w:tcPr>
          <w:p>
            <w:pPr>
              <w:ind w:left="20"/>
              <w:spacing w:after="0"/>
              <w:rPr>
                <w:sz w:val="20"/>
                <w:szCs w:val="20"/>
                <w:color w:val="auto"/>
              </w:rPr>
            </w:pPr>
            <w:r>
              <w:rPr>
                <w:rFonts w:ascii="Arial" w:cs="Arial" w:eastAsia="Arial" w:hAnsi="Arial"/>
                <w:sz w:val="18"/>
                <w:szCs w:val="18"/>
                <w:color w:val="auto"/>
              </w:rPr>
              <w:t>Basic EPS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0.46</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(0.55)</w:t>
            </w:r>
          </w:p>
        </w:tc>
        <w:tc>
          <w:tcPr>
            <w:tcW w:w="12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0.99</w:t>
            </w:r>
          </w:p>
        </w:tc>
        <w:tc>
          <w:tcPr>
            <w:tcW w:w="12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(0.42)</w:t>
            </w:r>
          </w:p>
        </w:tc>
        <w:tc>
          <w:tcPr>
            <w:tcW w:w="0" w:type="dxa"/>
            <w:vAlign w:val="bottom"/>
          </w:tcPr>
          <w:p>
            <w:pPr>
              <w:spacing w:after="0"/>
              <w:rPr>
                <w:sz w:val="1"/>
                <w:szCs w:val="1"/>
                <w:color w:val="auto"/>
              </w:rPr>
            </w:pPr>
          </w:p>
        </w:tc>
      </w:tr>
      <w:tr>
        <w:trPr>
          <w:trHeight w:val="230"/>
        </w:trPr>
        <w:tc>
          <w:tcPr>
            <w:tcW w:w="4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Diluted EPS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(0.42)</w:t>
            </w:r>
          </w:p>
        </w:tc>
        <w:tc>
          <w:tcPr>
            <w:tcW w:w="0" w:type="dxa"/>
            <w:vAlign w:val="bottom"/>
          </w:tcPr>
          <w:p>
            <w:pPr>
              <w:spacing w:after="0"/>
              <w:rPr>
                <w:sz w:val="1"/>
                <w:szCs w:val="1"/>
                <w:color w:val="auto"/>
              </w:rPr>
            </w:pPr>
          </w:p>
        </w:tc>
      </w:tr>
      <w:tr>
        <w:trPr>
          <w:trHeight w:val="175"/>
        </w:trPr>
        <w:tc>
          <w:tcPr>
            <w:tcW w:w="4580" w:type="dxa"/>
            <w:vAlign w:val="bottom"/>
          </w:tcPr>
          <w:p>
            <w:pPr>
              <w:ind w:left="20"/>
              <w:spacing w:after="0" w:line="176" w:lineRule="exact"/>
              <w:rPr>
                <w:sz w:val="20"/>
                <w:szCs w:val="20"/>
                <w:color w:val="auto"/>
              </w:rPr>
            </w:pPr>
            <w:r>
              <w:rPr>
                <w:rFonts w:ascii="Arial" w:cs="Arial" w:eastAsia="Arial" w:hAnsi="Arial"/>
                <w:sz w:val="18"/>
                <w:szCs w:val="18"/>
                <w:color w:val="auto"/>
                <w:w w:val="98"/>
              </w:rPr>
              <w:t>Anti-dilutive options and RSUs outstanding excluded from</w:t>
            </w:r>
          </w:p>
        </w:tc>
        <w:tc>
          <w:tcPr>
            <w:tcW w:w="200" w:type="dxa"/>
            <w:vAlign w:val="bottom"/>
          </w:tcPr>
          <w:p>
            <w:pPr>
              <w:spacing w:after="0"/>
              <w:rPr>
                <w:sz w:val="15"/>
                <w:szCs w:val="15"/>
                <w:color w:val="auto"/>
              </w:rPr>
            </w:pPr>
          </w:p>
        </w:tc>
        <w:tc>
          <w:tcPr>
            <w:tcW w:w="1280" w:type="dxa"/>
            <w:vAlign w:val="bottom"/>
            <w:vMerge w:val="restart"/>
          </w:tcPr>
          <w:p>
            <w:pPr>
              <w:jc w:val="right"/>
              <w:spacing w:after="0"/>
              <w:rPr>
                <w:sz w:val="20"/>
                <w:szCs w:val="20"/>
                <w:color w:val="auto"/>
              </w:rPr>
            </w:pPr>
            <w:r>
              <w:rPr>
                <w:rFonts w:ascii="Arial" w:cs="Arial" w:eastAsia="Arial" w:hAnsi="Arial"/>
                <w:sz w:val="18"/>
                <w:szCs w:val="18"/>
                <w:color w:val="auto"/>
              </w:rPr>
              <w:t>110</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vMerge w:val="restart"/>
          </w:tcPr>
          <w:p>
            <w:pPr>
              <w:jc w:val="right"/>
              <w:spacing w:after="0"/>
              <w:rPr>
                <w:sz w:val="20"/>
                <w:szCs w:val="20"/>
                <w:color w:val="auto"/>
              </w:rPr>
            </w:pPr>
            <w:r>
              <w:rPr>
                <w:rFonts w:ascii="Arial" w:cs="Arial" w:eastAsia="Arial" w:hAnsi="Arial"/>
                <w:sz w:val="18"/>
                <w:szCs w:val="18"/>
                <w:color w:val="auto"/>
              </w:rPr>
              <w:t>2,458</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0" w:type="dxa"/>
            <w:vAlign w:val="bottom"/>
            <w:vMerge w:val="restart"/>
          </w:tcPr>
          <w:p>
            <w:pPr>
              <w:jc w:val="right"/>
              <w:spacing w:after="0"/>
              <w:rPr>
                <w:sz w:val="20"/>
                <w:szCs w:val="20"/>
                <w:color w:val="auto"/>
              </w:rPr>
            </w:pPr>
            <w:r>
              <w:rPr>
                <w:rFonts w:ascii="Arial" w:cs="Arial" w:eastAsia="Arial" w:hAnsi="Arial"/>
                <w:sz w:val="18"/>
                <w:szCs w:val="18"/>
                <w:color w:val="auto"/>
              </w:rPr>
              <w:t>74</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60" w:type="dxa"/>
            <w:vAlign w:val="bottom"/>
            <w:vMerge w:val="restart"/>
          </w:tcPr>
          <w:p>
            <w:pPr>
              <w:jc w:val="right"/>
              <w:spacing w:after="0"/>
              <w:rPr>
                <w:sz w:val="20"/>
                <w:szCs w:val="20"/>
                <w:color w:val="auto"/>
              </w:rPr>
            </w:pPr>
            <w:r>
              <w:rPr>
                <w:rFonts w:ascii="Arial" w:cs="Arial" w:eastAsia="Arial" w:hAnsi="Arial"/>
                <w:sz w:val="18"/>
                <w:szCs w:val="18"/>
                <w:color w:val="auto"/>
              </w:rPr>
              <w:t>2,512</w:t>
            </w:r>
          </w:p>
        </w:tc>
        <w:tc>
          <w:tcPr>
            <w:tcW w:w="0" w:type="dxa"/>
            <w:vAlign w:val="bottom"/>
          </w:tcPr>
          <w:p>
            <w:pPr>
              <w:spacing w:after="0"/>
              <w:rPr>
                <w:sz w:val="1"/>
                <w:szCs w:val="1"/>
                <w:color w:val="auto"/>
              </w:rPr>
            </w:pPr>
          </w:p>
        </w:tc>
      </w:tr>
      <w:tr>
        <w:trPr>
          <w:trHeight w:val="230"/>
        </w:trPr>
        <w:tc>
          <w:tcPr>
            <w:tcW w:w="4580" w:type="dxa"/>
            <w:vAlign w:val="bottom"/>
          </w:tcPr>
          <w:p>
            <w:pPr>
              <w:ind w:left="20"/>
              <w:spacing w:after="0"/>
              <w:rPr>
                <w:sz w:val="20"/>
                <w:szCs w:val="20"/>
                <w:color w:val="auto"/>
              </w:rPr>
            </w:pPr>
            <w:r>
              <w:rPr>
                <w:rFonts w:ascii="Arial" w:cs="Arial" w:eastAsia="Arial" w:hAnsi="Arial"/>
                <w:sz w:val="18"/>
                <w:szCs w:val="18"/>
                <w:color w:val="auto"/>
              </w:rPr>
              <w:t>EPS</w:t>
            </w:r>
          </w:p>
        </w:tc>
        <w:tc>
          <w:tcPr>
            <w:tcW w:w="200" w:type="dxa"/>
            <w:vAlign w:val="bottom"/>
          </w:tcPr>
          <w:p>
            <w:pPr>
              <w:spacing w:after="0"/>
              <w:rPr>
                <w:sz w:val="20"/>
                <w:szCs w:val="20"/>
                <w:color w:val="auto"/>
              </w:rPr>
            </w:pPr>
          </w:p>
        </w:tc>
        <w:tc>
          <w:tcPr>
            <w:tcW w:w="128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Restricted Cash</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provides a reconciliation of cash and cash equivalents reported within the condensed consolidated balance sheets to the total of cash, cash equivalents and restricted cash shown in the condensed consolidated statement of cash flows:</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7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3220" w:type="dxa"/>
            <w:vAlign w:val="bottom"/>
            <w:tcBorders>
              <w:bottom w:val="single" w:sz="8" w:color="auto"/>
            </w:tcBorders>
            <w:gridSpan w:val="4"/>
          </w:tcPr>
          <w:p>
            <w:pPr>
              <w:jc w:val="right"/>
              <w:ind w:right="970"/>
              <w:spacing w:after="0"/>
              <w:rPr>
                <w:sz w:val="20"/>
                <w:szCs w:val="20"/>
                <w:color w:val="auto"/>
              </w:rPr>
            </w:pPr>
            <w:r>
              <w:rPr>
                <w:rFonts w:ascii="Arial" w:cs="Arial" w:eastAsia="Arial" w:hAnsi="Arial"/>
                <w:sz w:val="18"/>
                <w:szCs w:val="18"/>
                <w:color w:val="auto"/>
              </w:rPr>
              <w:t>Six Months Ended</w:t>
            </w:r>
          </w:p>
        </w:tc>
      </w:tr>
      <w:tr>
        <w:trPr>
          <w:trHeight w:val="223"/>
        </w:trPr>
        <w:tc>
          <w:tcPr>
            <w:tcW w:w="7760" w:type="dxa"/>
            <w:vAlign w:val="bottom"/>
          </w:tcPr>
          <w:p>
            <w:pPr>
              <w:ind w:left="20"/>
              <w:spacing w:after="0"/>
              <w:rPr>
                <w:sz w:val="20"/>
                <w:szCs w:val="20"/>
                <w:color w:val="auto"/>
              </w:rPr>
            </w:pPr>
            <w:r>
              <w:rPr>
                <w:rFonts w:ascii="Arial" w:cs="Arial" w:eastAsia="Arial" w:hAnsi="Arial"/>
                <w:sz w:val="18"/>
                <w:szCs w:val="18"/>
                <w:i w:val="1"/>
                <w:iCs w:val="1"/>
                <w:color w:val="auto"/>
              </w:rPr>
              <w:t>In thousands</w:t>
            </w:r>
          </w:p>
        </w:tc>
        <w:tc>
          <w:tcPr>
            <w:tcW w:w="240" w:type="dxa"/>
            <w:vAlign w:val="bottom"/>
          </w:tcPr>
          <w:p>
            <w:pPr>
              <w:spacing w:after="0"/>
              <w:rPr>
                <w:sz w:val="19"/>
                <w:szCs w:val="19"/>
                <w:color w:val="auto"/>
              </w:rPr>
            </w:pPr>
          </w:p>
        </w:tc>
        <w:tc>
          <w:tcPr>
            <w:tcW w:w="1540" w:type="dxa"/>
            <w:vAlign w:val="bottom"/>
            <w:gridSpan w:val="2"/>
          </w:tcPr>
          <w:p>
            <w:pPr>
              <w:ind w:left="160"/>
              <w:spacing w:after="0"/>
              <w:rPr>
                <w:sz w:val="20"/>
                <w:szCs w:val="20"/>
                <w:color w:val="auto"/>
              </w:rPr>
            </w:pPr>
            <w:r>
              <w:rPr>
                <w:rFonts w:ascii="Arial" w:cs="Arial" w:eastAsia="Arial" w:hAnsi="Arial"/>
                <w:sz w:val="18"/>
                <w:szCs w:val="18"/>
                <w:color w:val="auto"/>
              </w:rPr>
              <w:t>July 3, 2021</w:t>
            </w:r>
          </w:p>
        </w:tc>
        <w:tc>
          <w:tcPr>
            <w:tcW w:w="220" w:type="dxa"/>
            <w:vAlign w:val="bottom"/>
          </w:tcPr>
          <w:p>
            <w:pPr>
              <w:spacing w:after="0"/>
              <w:rPr>
                <w:sz w:val="19"/>
                <w:szCs w:val="19"/>
                <w:color w:val="auto"/>
              </w:rPr>
            </w:pPr>
          </w:p>
        </w:tc>
        <w:tc>
          <w:tcPr>
            <w:tcW w:w="1460" w:type="dxa"/>
            <w:vAlign w:val="bottom"/>
          </w:tcPr>
          <w:p>
            <w:pPr>
              <w:jc w:val="right"/>
              <w:ind w:right="250"/>
              <w:spacing w:after="0"/>
              <w:rPr>
                <w:sz w:val="20"/>
                <w:szCs w:val="20"/>
                <w:color w:val="auto"/>
              </w:rPr>
            </w:pPr>
            <w:r>
              <w:rPr>
                <w:rFonts w:ascii="Arial" w:cs="Arial" w:eastAsia="Arial" w:hAnsi="Arial"/>
                <w:sz w:val="18"/>
                <w:szCs w:val="18"/>
                <w:color w:val="auto"/>
                <w:w w:val="96"/>
              </w:rPr>
              <w:t>June 27, 2020</w:t>
            </w:r>
          </w:p>
        </w:tc>
      </w:tr>
      <w:tr>
        <w:trPr>
          <w:trHeight w:val="223"/>
        </w:trPr>
        <w:tc>
          <w:tcPr>
            <w:tcW w:w="7760" w:type="dxa"/>
            <w:vAlign w:val="bottom"/>
            <w:tcBorders>
              <w:top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Cash and cash equivalents</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408,301</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256,292</w:t>
            </w:r>
          </w:p>
        </w:tc>
      </w:tr>
      <w:tr>
        <w:trPr>
          <w:trHeight w:val="229"/>
        </w:trPr>
        <w:tc>
          <w:tcPr>
            <w:tcW w:w="77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Restricted cash included in other assets</w:t>
            </w:r>
          </w:p>
        </w:tc>
        <w:tc>
          <w:tcPr>
            <w:tcW w:w="2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1,347</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1,341</w:t>
            </w:r>
          </w:p>
        </w:tc>
      </w:tr>
      <w:tr>
        <w:trPr>
          <w:trHeight w:val="248"/>
        </w:trPr>
        <w:tc>
          <w:tcPr>
            <w:tcW w:w="7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cash, cash equivalents and restricted cash</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409,648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257,633</w:t>
            </w:r>
          </w:p>
        </w:tc>
      </w:tr>
      <w:tr>
        <w:trPr>
          <w:trHeight w:val="20"/>
        </w:trPr>
        <w:tc>
          <w:tcPr>
            <w:tcW w:w="77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Accumulated Other Comprehensive Loss</w:t>
      </w:r>
    </w:p>
    <w:p>
      <w:pPr>
        <w:spacing w:after="0" w:line="2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Changes in the fair value of the Company’s cash flow hedge derivative instruments from their inception are recorded in AOCL if the instruments are deemed to be highly effective as cash flow hedges. The following table presents the changes in AOCL, net of tax during the three and six months ended July 3, 2021 and June 27, 2020, respectively:</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120" w:type="dxa"/>
            <w:vAlign w:val="bottom"/>
            <w:gridSpan w:val="5"/>
          </w:tcPr>
          <w:p>
            <w:pPr>
              <w:ind w:left="640"/>
              <w:spacing w:after="0"/>
              <w:rPr>
                <w:sz w:val="20"/>
                <w:szCs w:val="20"/>
                <w:color w:val="auto"/>
              </w:rPr>
            </w:pPr>
            <w:r>
              <w:rPr>
                <w:rFonts w:ascii="Arial" w:cs="Arial" w:eastAsia="Arial" w:hAnsi="Arial"/>
                <w:sz w:val="18"/>
                <w:szCs w:val="18"/>
                <w:color w:val="auto"/>
              </w:rPr>
              <w:t>Three Months Ended</w:t>
            </w:r>
          </w:p>
        </w:tc>
        <w:tc>
          <w:tcPr>
            <w:tcW w:w="240" w:type="dxa"/>
            <w:vAlign w:val="bottom"/>
          </w:tcPr>
          <w:p>
            <w:pPr>
              <w:spacing w:after="0"/>
              <w:rPr>
                <w:sz w:val="20"/>
                <w:szCs w:val="20"/>
                <w:color w:val="auto"/>
              </w:rPr>
            </w:pPr>
          </w:p>
        </w:tc>
        <w:tc>
          <w:tcPr>
            <w:tcW w:w="3200" w:type="dxa"/>
            <w:vAlign w:val="bottom"/>
            <w:gridSpan w:val="4"/>
          </w:tcPr>
          <w:p>
            <w:pPr>
              <w:jc w:val="right"/>
              <w:ind w:right="970"/>
              <w:spacing w:after="0"/>
              <w:rPr>
                <w:sz w:val="20"/>
                <w:szCs w:val="20"/>
                <w:color w:val="auto"/>
              </w:rPr>
            </w:pPr>
            <w:r>
              <w:rPr>
                <w:rFonts w:ascii="Arial" w:cs="Arial" w:eastAsia="Arial" w:hAnsi="Arial"/>
                <w:sz w:val="18"/>
                <w:szCs w:val="18"/>
                <w:color w:val="auto"/>
              </w:rPr>
              <w:t>Six Months Ended</w:t>
            </w:r>
          </w:p>
        </w:tc>
        <w:tc>
          <w:tcPr>
            <w:tcW w:w="0" w:type="dxa"/>
            <w:vAlign w:val="bottom"/>
          </w:tcPr>
          <w:p>
            <w:pPr>
              <w:spacing w:after="0"/>
              <w:rPr>
                <w:sz w:val="1"/>
                <w:szCs w:val="1"/>
                <w:color w:val="auto"/>
              </w:rPr>
            </w:pPr>
          </w:p>
        </w:tc>
      </w:tr>
      <w:tr>
        <w:trPr>
          <w:trHeight w:val="223"/>
        </w:trPr>
        <w:tc>
          <w:tcPr>
            <w:tcW w:w="4460" w:type="dxa"/>
            <w:vAlign w:val="bottom"/>
          </w:tcPr>
          <w:p>
            <w:pPr>
              <w:ind w:left="20"/>
              <w:spacing w:after="0"/>
              <w:rPr>
                <w:sz w:val="20"/>
                <w:szCs w:val="20"/>
                <w:color w:val="auto"/>
              </w:rPr>
            </w:pPr>
            <w:r>
              <w:rPr>
                <w:rFonts w:ascii="Arial" w:cs="Arial" w:eastAsia="Arial" w:hAnsi="Arial"/>
                <w:sz w:val="18"/>
                <w:szCs w:val="18"/>
                <w:i w:val="1"/>
                <w:iCs w:val="1"/>
                <w:color w:val="auto"/>
              </w:rPr>
              <w:t>In thousands</w:t>
            </w:r>
          </w:p>
        </w:tc>
        <w:tc>
          <w:tcPr>
            <w:tcW w:w="22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gridSpan w:val="2"/>
          </w:tcPr>
          <w:p>
            <w:pPr>
              <w:ind w:left="100"/>
              <w:spacing w:after="0"/>
              <w:rPr>
                <w:sz w:val="20"/>
                <w:szCs w:val="20"/>
                <w:color w:val="auto"/>
              </w:rPr>
            </w:pPr>
            <w:r>
              <w:rPr>
                <w:rFonts w:ascii="Arial" w:cs="Arial" w:eastAsia="Arial" w:hAnsi="Arial"/>
                <w:sz w:val="18"/>
                <w:szCs w:val="18"/>
                <w:color w:val="auto"/>
              </w:rPr>
              <w:t>July 3, 2021</w:t>
            </w:r>
          </w:p>
        </w:tc>
        <w:tc>
          <w:tcPr>
            <w:tcW w:w="20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4"/>
              </w:rPr>
              <w:t>June 27, 2020</w:t>
            </w:r>
          </w:p>
        </w:tc>
        <w:tc>
          <w:tcPr>
            <w:tcW w:w="1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540" w:type="dxa"/>
            <w:vAlign w:val="bottom"/>
            <w:tcBorders>
              <w:top w:val="single" w:sz="8" w:color="auto"/>
            </w:tcBorders>
            <w:gridSpan w:val="2"/>
          </w:tcPr>
          <w:p>
            <w:pPr>
              <w:ind w:left="140"/>
              <w:spacing w:after="0"/>
              <w:rPr>
                <w:sz w:val="20"/>
                <w:szCs w:val="20"/>
                <w:color w:val="auto"/>
              </w:rPr>
            </w:pPr>
            <w:r>
              <w:rPr>
                <w:rFonts w:ascii="Arial" w:cs="Arial" w:eastAsia="Arial" w:hAnsi="Arial"/>
                <w:sz w:val="18"/>
                <w:szCs w:val="18"/>
                <w:color w:val="auto"/>
              </w:rPr>
              <w:t>July 3, 2021</w:t>
            </w:r>
          </w:p>
        </w:tc>
        <w:tc>
          <w:tcPr>
            <w:tcW w:w="22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96"/>
              </w:rPr>
              <w:t>June 27, 2020</w:t>
            </w:r>
          </w:p>
        </w:tc>
        <w:tc>
          <w:tcPr>
            <w:tcW w:w="0" w:type="dxa"/>
            <w:vAlign w:val="bottom"/>
          </w:tcPr>
          <w:p>
            <w:pPr>
              <w:spacing w:after="0"/>
              <w:rPr>
                <w:sz w:val="1"/>
                <w:szCs w:val="1"/>
                <w:color w:val="auto"/>
              </w:rPr>
            </w:pPr>
          </w:p>
        </w:tc>
      </w:tr>
      <w:tr>
        <w:trPr>
          <w:trHeight w:val="209"/>
        </w:trPr>
        <w:tc>
          <w:tcPr>
            <w:tcW w:w="44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Cash flow hedging activity:</w:t>
            </w:r>
          </w:p>
        </w:tc>
        <w:tc>
          <w:tcPr>
            <w:tcW w:w="22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Balance at beginning of period</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(5,296)</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(10,416)</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(4,400)</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(3,814)</w:t>
            </w:r>
          </w:p>
        </w:tc>
        <w:tc>
          <w:tcPr>
            <w:tcW w:w="0" w:type="dxa"/>
            <w:vAlign w:val="bottom"/>
          </w:tcPr>
          <w:p>
            <w:pPr>
              <w:spacing w:after="0"/>
              <w:rPr>
                <w:sz w:val="1"/>
                <w:szCs w:val="1"/>
                <w:color w:val="auto"/>
              </w:rPr>
            </w:pPr>
          </w:p>
        </w:tc>
      </w:tr>
      <w:tr>
        <w:trPr>
          <w:trHeight w:val="223"/>
        </w:trPr>
        <w:tc>
          <w:tcPr>
            <w:tcW w:w="446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1"/>
              </w:rPr>
              <w:t>Other comprehensive income (loss) before reclassification</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(11,041)</w:t>
            </w:r>
          </w:p>
        </w:tc>
        <w:tc>
          <w:tcPr>
            <w:tcW w:w="0" w:type="dxa"/>
            <w:vAlign w:val="bottom"/>
          </w:tcPr>
          <w:p>
            <w:pPr>
              <w:spacing w:after="0"/>
              <w:rPr>
                <w:sz w:val="1"/>
                <w:szCs w:val="1"/>
                <w:color w:val="auto"/>
              </w:rPr>
            </w:pPr>
          </w:p>
        </w:tc>
      </w:tr>
      <w:tr>
        <w:trPr>
          <w:trHeight w:val="175"/>
        </w:trPr>
        <w:tc>
          <w:tcPr>
            <w:tcW w:w="4460" w:type="dxa"/>
            <w:vAlign w:val="bottom"/>
          </w:tcPr>
          <w:p>
            <w:pPr>
              <w:ind w:left="220"/>
              <w:spacing w:after="0" w:line="176" w:lineRule="exact"/>
              <w:rPr>
                <w:sz w:val="20"/>
                <w:szCs w:val="20"/>
                <w:color w:val="auto"/>
              </w:rPr>
            </w:pPr>
            <w:r>
              <w:rPr>
                <w:rFonts w:ascii="Arial" w:cs="Arial" w:eastAsia="Arial" w:hAnsi="Arial"/>
                <w:sz w:val="18"/>
                <w:szCs w:val="18"/>
                <w:color w:val="auto"/>
                <w:w w:val="95"/>
              </w:rPr>
              <w:t>Tax effect of other comprehensive income (loss) before</w:t>
            </w:r>
          </w:p>
        </w:tc>
        <w:tc>
          <w:tcPr>
            <w:tcW w:w="220" w:type="dxa"/>
            <w:vAlign w:val="bottom"/>
          </w:tcPr>
          <w:p>
            <w:pPr>
              <w:spacing w:after="0"/>
              <w:rPr>
                <w:sz w:val="15"/>
                <w:szCs w:val="15"/>
                <w:color w:val="auto"/>
              </w:rPr>
            </w:pPr>
          </w:p>
        </w:tc>
        <w:tc>
          <w:tcPr>
            <w:tcW w:w="142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5"/>
                <w:szCs w:val="15"/>
                <w:color w:val="auto"/>
              </w:rPr>
            </w:pPr>
          </w:p>
        </w:tc>
        <w:tc>
          <w:tcPr>
            <w:tcW w:w="1380" w:type="dxa"/>
            <w:vAlign w:val="bottom"/>
            <w:vMerge w:val="restart"/>
          </w:tcPr>
          <w:p>
            <w:pPr>
              <w:jc w:val="right"/>
              <w:spacing w:after="0"/>
              <w:rPr>
                <w:sz w:val="20"/>
                <w:szCs w:val="20"/>
                <w:color w:val="auto"/>
              </w:rPr>
            </w:pPr>
            <w:r>
              <w:rPr>
                <w:rFonts w:ascii="Arial" w:cs="Arial" w:eastAsia="Arial" w:hAnsi="Arial"/>
                <w:sz w:val="18"/>
                <w:szCs w:val="18"/>
                <w:color w:val="auto"/>
              </w:rPr>
              <w:t>92</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20" w:type="dxa"/>
            <w:vAlign w:val="bottom"/>
            <w:vMerge w:val="restart"/>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40" w:type="dxa"/>
            <w:vAlign w:val="bottom"/>
            <w:vMerge w:val="restart"/>
          </w:tcPr>
          <w:p>
            <w:pPr>
              <w:jc w:val="right"/>
              <w:spacing w:after="0"/>
              <w:rPr>
                <w:sz w:val="20"/>
                <w:szCs w:val="20"/>
                <w:color w:val="auto"/>
              </w:rPr>
            </w:pPr>
            <w:r>
              <w:rPr>
                <w:rFonts w:ascii="Arial" w:cs="Arial" w:eastAsia="Arial" w:hAnsi="Arial"/>
                <w:sz w:val="18"/>
                <w:szCs w:val="18"/>
                <w:color w:val="auto"/>
              </w:rPr>
              <w:t>2,813</w:t>
            </w:r>
          </w:p>
        </w:tc>
        <w:tc>
          <w:tcPr>
            <w:tcW w:w="0" w:type="dxa"/>
            <w:vAlign w:val="bottom"/>
          </w:tcPr>
          <w:p>
            <w:pPr>
              <w:spacing w:after="0"/>
              <w:rPr>
                <w:sz w:val="1"/>
                <w:szCs w:val="1"/>
                <w:color w:val="auto"/>
              </w:rPr>
            </w:pPr>
          </w:p>
        </w:tc>
      </w:tr>
      <w:tr>
        <w:trPr>
          <w:trHeight w:val="230"/>
        </w:trPr>
        <w:tc>
          <w:tcPr>
            <w:tcW w:w="4460" w:type="dxa"/>
            <w:vAlign w:val="bottom"/>
          </w:tcPr>
          <w:p>
            <w:pPr>
              <w:ind w:left="220"/>
              <w:spacing w:after="0"/>
              <w:rPr>
                <w:sz w:val="20"/>
                <w:szCs w:val="20"/>
                <w:color w:val="auto"/>
              </w:rPr>
            </w:pPr>
            <w:r>
              <w:rPr>
                <w:rFonts w:ascii="Arial" w:cs="Arial" w:eastAsia="Arial" w:hAnsi="Arial"/>
                <w:sz w:val="18"/>
                <w:szCs w:val="18"/>
                <w:color w:val="auto"/>
              </w:rPr>
              <w:t>reclassification</w:t>
            </w:r>
          </w:p>
        </w:tc>
        <w:tc>
          <w:tcPr>
            <w:tcW w:w="220" w:type="dxa"/>
            <w:vAlign w:val="bottom"/>
          </w:tcPr>
          <w:p>
            <w:pPr>
              <w:spacing w:after="0"/>
              <w:rPr>
                <w:sz w:val="19"/>
                <w:szCs w:val="19"/>
                <w:color w:val="auto"/>
              </w:rPr>
            </w:pPr>
          </w:p>
        </w:tc>
        <w:tc>
          <w:tcPr>
            <w:tcW w:w="142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6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9"/>
              </w:rPr>
              <w:t>Amount reclassified from AOCL into interest expense</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6,294</w:t>
            </w:r>
          </w:p>
        </w:tc>
        <w:tc>
          <w:tcPr>
            <w:tcW w:w="0" w:type="dxa"/>
            <w:vAlign w:val="bottom"/>
          </w:tcPr>
          <w:p>
            <w:pPr>
              <w:spacing w:after="0"/>
              <w:rPr>
                <w:sz w:val="1"/>
                <w:szCs w:val="1"/>
                <w:color w:val="auto"/>
              </w:rPr>
            </w:pPr>
          </w:p>
        </w:tc>
      </w:tr>
      <w:tr>
        <w:trPr>
          <w:trHeight w:val="176"/>
        </w:trPr>
        <w:tc>
          <w:tcPr>
            <w:tcW w:w="4460" w:type="dxa"/>
            <w:vAlign w:val="bottom"/>
          </w:tcPr>
          <w:p>
            <w:pPr>
              <w:ind w:left="220"/>
              <w:spacing w:after="0" w:line="176" w:lineRule="exact"/>
              <w:rPr>
                <w:sz w:val="20"/>
                <w:szCs w:val="20"/>
                <w:color w:val="auto"/>
              </w:rPr>
            </w:pPr>
            <w:r>
              <w:rPr>
                <w:rFonts w:ascii="Arial" w:cs="Arial" w:eastAsia="Arial" w:hAnsi="Arial"/>
                <w:sz w:val="18"/>
                <w:szCs w:val="18"/>
                <w:color w:val="auto"/>
                <w:w w:val="93"/>
              </w:rPr>
              <w:t>Tax effect of amount reclassified from AOCL into interest</w:t>
            </w:r>
          </w:p>
        </w:tc>
        <w:tc>
          <w:tcPr>
            <w:tcW w:w="220" w:type="dxa"/>
            <w:vAlign w:val="bottom"/>
          </w:tcPr>
          <w:p>
            <w:pPr>
              <w:spacing w:after="0"/>
              <w:rPr>
                <w:sz w:val="15"/>
                <w:szCs w:val="15"/>
                <w:color w:val="auto"/>
              </w:rPr>
            </w:pPr>
          </w:p>
        </w:tc>
        <w:tc>
          <w:tcPr>
            <w:tcW w:w="1300" w:type="dxa"/>
            <w:vAlign w:val="bottom"/>
            <w:vMerge w:val="restart"/>
          </w:tcPr>
          <w:p>
            <w:pPr>
              <w:jc w:val="right"/>
              <w:spacing w:after="0"/>
              <w:rPr>
                <w:sz w:val="20"/>
                <w:szCs w:val="20"/>
                <w:color w:val="auto"/>
              </w:rPr>
            </w:pPr>
            <w:r>
              <w:rPr>
                <w:rFonts w:ascii="Arial" w:cs="Arial" w:eastAsia="Arial" w:hAnsi="Arial"/>
                <w:sz w:val="18"/>
                <w:szCs w:val="18"/>
                <w:color w:val="auto"/>
              </w:rPr>
              <w:t>(756)</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vMerge w:val="restart"/>
          </w:tcPr>
          <w:p>
            <w:pPr>
              <w:jc w:val="right"/>
              <w:spacing w:after="0"/>
              <w:rPr>
                <w:sz w:val="20"/>
                <w:szCs w:val="20"/>
                <w:color w:val="auto"/>
              </w:rPr>
            </w:pPr>
            <w:r>
              <w:rPr>
                <w:rFonts w:ascii="Arial" w:cs="Arial" w:eastAsia="Arial" w:hAnsi="Arial"/>
                <w:sz w:val="18"/>
                <w:szCs w:val="18"/>
                <w:color w:val="auto"/>
              </w:rPr>
              <w:t>(1,142)</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20" w:type="dxa"/>
            <w:vAlign w:val="bottom"/>
            <w:vMerge w:val="restart"/>
          </w:tcPr>
          <w:p>
            <w:pPr>
              <w:jc w:val="right"/>
              <w:spacing w:after="0"/>
              <w:rPr>
                <w:sz w:val="20"/>
                <w:szCs w:val="20"/>
                <w:color w:val="auto"/>
              </w:rPr>
            </w:pPr>
            <w:r>
              <w:rPr>
                <w:rFonts w:ascii="Arial" w:cs="Arial" w:eastAsia="Arial" w:hAnsi="Arial"/>
                <w:sz w:val="18"/>
                <w:szCs w:val="18"/>
                <w:color w:val="auto"/>
              </w:rPr>
              <w:t>(1,180)</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40" w:type="dxa"/>
            <w:vAlign w:val="bottom"/>
            <w:vMerge w:val="restart"/>
          </w:tcPr>
          <w:p>
            <w:pPr>
              <w:jc w:val="right"/>
              <w:spacing w:after="0"/>
              <w:rPr>
                <w:sz w:val="20"/>
                <w:szCs w:val="20"/>
                <w:color w:val="auto"/>
              </w:rPr>
            </w:pPr>
            <w:r>
              <w:rPr>
                <w:rFonts w:ascii="Arial" w:cs="Arial" w:eastAsia="Arial" w:hAnsi="Arial"/>
                <w:sz w:val="18"/>
                <w:szCs w:val="18"/>
                <w:color w:val="auto"/>
              </w:rPr>
              <w:t>(1,607)</w:t>
            </w:r>
          </w:p>
        </w:tc>
        <w:tc>
          <w:tcPr>
            <w:tcW w:w="0" w:type="dxa"/>
            <w:vAlign w:val="bottom"/>
          </w:tcPr>
          <w:p>
            <w:pPr>
              <w:spacing w:after="0"/>
              <w:rPr>
                <w:sz w:val="1"/>
                <w:szCs w:val="1"/>
                <w:color w:val="auto"/>
              </w:rPr>
            </w:pPr>
          </w:p>
        </w:tc>
      </w:tr>
      <w:tr>
        <w:trPr>
          <w:trHeight w:val="229"/>
        </w:trPr>
        <w:tc>
          <w:tcPr>
            <w:tcW w:w="4460" w:type="dxa"/>
            <w:vAlign w:val="bottom"/>
          </w:tcPr>
          <w:p>
            <w:pPr>
              <w:ind w:left="220"/>
              <w:spacing w:after="0"/>
              <w:rPr>
                <w:sz w:val="20"/>
                <w:szCs w:val="20"/>
                <w:color w:val="auto"/>
              </w:rPr>
            </w:pPr>
            <w:r>
              <w:rPr>
                <w:rFonts w:ascii="Arial" w:cs="Arial" w:eastAsia="Arial" w:hAnsi="Arial"/>
                <w:sz w:val="18"/>
                <w:szCs w:val="18"/>
                <w:color w:val="auto"/>
              </w:rPr>
              <w:t>expense</w:t>
            </w:r>
          </w:p>
        </w:tc>
        <w:tc>
          <w:tcPr>
            <w:tcW w:w="220" w:type="dxa"/>
            <w:vAlign w:val="bottom"/>
          </w:tcPr>
          <w:p>
            <w:pPr>
              <w:spacing w:after="0"/>
              <w:rPr>
                <w:sz w:val="19"/>
                <w:szCs w:val="19"/>
                <w:color w:val="auto"/>
              </w:rPr>
            </w:pPr>
          </w:p>
        </w:tc>
        <w:tc>
          <w:tcPr>
            <w:tcW w:w="13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Stranded tax effect of matured interest rate swaps</w:t>
            </w:r>
          </w:p>
        </w:tc>
        <w:tc>
          <w:tcPr>
            <w:tcW w:w="2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55"/>
        </w:trPr>
        <w:tc>
          <w:tcPr>
            <w:tcW w:w="4460" w:type="dxa"/>
            <w:vAlign w:val="bottom"/>
          </w:tcPr>
          <w:p>
            <w:pPr>
              <w:ind w:left="220"/>
              <w:spacing w:after="0" w:line="156" w:lineRule="exact"/>
              <w:rPr>
                <w:sz w:val="20"/>
                <w:szCs w:val="20"/>
                <w:color w:val="auto"/>
              </w:rPr>
            </w:pPr>
            <w:r>
              <w:rPr>
                <w:rFonts w:ascii="Arial" w:cs="Arial" w:eastAsia="Arial" w:hAnsi="Arial"/>
                <w:sz w:val="18"/>
                <w:szCs w:val="18"/>
                <w:color w:val="auto"/>
                <w:w w:val="90"/>
              </w:rPr>
              <w:t>Net current period other comprehensive income (loss), net</w:t>
            </w:r>
          </w:p>
        </w:tc>
        <w:tc>
          <w:tcPr>
            <w:tcW w:w="220" w:type="dxa"/>
            <w:vAlign w:val="bottom"/>
            <w:tcBorders>
              <w:top w:val="single" w:sz="8" w:color="auto"/>
            </w:tcBorders>
          </w:tcPr>
          <w:p>
            <w:pPr>
              <w:spacing w:after="0"/>
              <w:rPr>
                <w:sz w:val="13"/>
                <w:szCs w:val="13"/>
                <w:color w:val="auto"/>
              </w:rPr>
            </w:pPr>
          </w:p>
        </w:tc>
        <w:tc>
          <w:tcPr>
            <w:tcW w:w="13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2,203</w:t>
            </w:r>
          </w:p>
        </w:tc>
        <w:tc>
          <w:tcPr>
            <w:tcW w:w="12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3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3,061</w:t>
            </w:r>
          </w:p>
        </w:tc>
        <w:tc>
          <w:tcPr>
            <w:tcW w:w="12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4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1,307</w:t>
            </w:r>
          </w:p>
        </w:tc>
        <w:tc>
          <w:tcPr>
            <w:tcW w:w="12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4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(3,541)</w:t>
            </w:r>
          </w:p>
        </w:tc>
        <w:tc>
          <w:tcPr>
            <w:tcW w:w="0" w:type="dxa"/>
            <w:vAlign w:val="bottom"/>
          </w:tcPr>
          <w:p>
            <w:pPr>
              <w:spacing w:after="0"/>
              <w:rPr>
                <w:sz w:val="1"/>
                <w:szCs w:val="1"/>
                <w:color w:val="auto"/>
              </w:rPr>
            </w:pPr>
          </w:p>
        </w:tc>
      </w:tr>
      <w:tr>
        <w:trPr>
          <w:trHeight w:val="230"/>
        </w:trPr>
        <w:tc>
          <w:tcPr>
            <w:tcW w:w="44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of tax</w:t>
            </w: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end of period</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(7,355)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(7,355)</w:t>
            </w:r>
          </w:p>
        </w:tc>
        <w:tc>
          <w:tcPr>
            <w:tcW w:w="0" w:type="dxa"/>
            <w:vAlign w:val="bottom"/>
          </w:tcPr>
          <w:p>
            <w:pPr>
              <w:spacing w:after="0"/>
              <w:rPr>
                <w:sz w:val="1"/>
                <w:szCs w:val="1"/>
                <w:color w:val="auto"/>
              </w:rPr>
            </w:pPr>
          </w:p>
        </w:tc>
      </w:tr>
      <w:tr>
        <w:trPr>
          <w:trHeight w:val="20"/>
        </w:trPr>
        <w:tc>
          <w:tcPr>
            <w:tcW w:w="44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See Note 5. “Interest Rate Derivatives” for a description of the Company’s use of cash flow hedging derivatives.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3" w:name="page24"/>
    <w:bookmarkEnd w:id="2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i w:val="1"/>
          <w:iCs w:val="1"/>
          <w:color w:val="auto"/>
        </w:rPr>
        <w:t>The following contains management’s discussion and analysis of our financial condition and results of operations and should be read together with the unaudited condensed consolidated financial statements and the related notes thereto included elsewhere in this Form 10-Q (this “Form 10-Q”) and the audited consolidated financial statements and “Management’s Discussion and Analysis of Financial Condition and Results of Operations” included in our Annual Report on Form 10-K filed with the Securities and Exchange Commission (the “SEC”) on January 2, 2021 (the “2020 Annual Report on Form 10-K”). This discussion contains forward-looking statements that reflect our plans, estimates and beliefs and involve numerous risks and uncertainties, including, but not limited to, those described in the “Risk Factors” section of the 2020 Annual Report on Form 10-K and in the “Risk Factors” section of this Form 10-Q, as such risk factors may be updated from time to time in our periodic filings with the SEC. Actual results may differ materially from those contained in any forward-looking statements. You should carefully read “Special Note Regarding Forward-Looking Statements” in this Form 10-Q.</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are one of the largest and fastest growing optical retailers in the United States and a leader in the attractive value segment of the U.S. optical retail industry. We believe that vision is central to quality of life and that people deserve to see their best to live their best, regardless of their budget. Our mission is to make quality eye care and eyewear affordable and accessible to all Americans. We achieve this by providing eye exams, eyeglasses and contact lenses to value seeking and lower income consumers. We deliver exceptional value and convenience to our customers, with an opening price point that strives to be among the lowest in the industry, enabled by our low-cost operating platform. We reach our customers through a diverse portfolio of 1,249 retail stores across five brands and 19 consumer websites as of July 3, 2021.</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w:t>
      </w:r>
    </w:p>
    <w:p>
      <w:pPr>
        <w:spacing w:after="0" w:line="108" w:lineRule="exact"/>
        <w:rPr>
          <w:sz w:val="20"/>
          <w:szCs w:val="20"/>
          <w:color w:val="auto"/>
        </w:rPr>
      </w:pPr>
    </w:p>
    <w:p>
      <w:pPr>
        <w:jc w:val="both"/>
        <w:spacing w:after="0" w:line="235" w:lineRule="auto"/>
        <w:rPr>
          <w:sz w:val="20"/>
          <w:szCs w:val="20"/>
          <w:color w:val="auto"/>
        </w:rPr>
      </w:pPr>
      <w:r>
        <w:rPr>
          <w:rFonts w:ascii="Arial" w:cs="Arial" w:eastAsia="Arial" w:hAnsi="Arial"/>
          <w:sz w:val="17"/>
          <w:szCs w:val="17"/>
          <w:color w:val="auto"/>
        </w:rPr>
        <w:t>We remain focused on our strategy to provide our customers and patients reliable and quality low cost eye care and eyewear by prioritizing the health and safety of our associates, customers and patients. We have taken a variety of measures, as described in Part I. Item 1A. “Risk Factors” and Part II. Item 7. “Management’s Discussion and Analysis of Financial Condition and Results of Operations” in the Company’s 2020 Annual Report on Form 10-K, which had a significant impact on our operations and performance of fiscal year 2020 and continue to have a significant impact on our operations and performance of fiscal year 2021. Please also refer to those Items for further discussion regarding the potential future impacts of COVID-19 and related economic conditions on us. We continue to monitor the evolving situation as there remain many uncertainties regarding the pandemic and more recent outbreaks of variants, including its anticipated duration, related healthcare authority guidelines and efficacy of vaccination initiatives. We could experience potential disruptions of product deliveries with the recent shutdowns in countries which support our supply chain. Prolonged periods of shutdown in these countries or a deterioration of conditions in other countries that are part of our supply chain could result in product availability delays, as well as potential increased costs to obtain and ship these products to meet customer demand. We will continue to evaluate additional measures that we may elect to take as a response to the pandemic, including, where appropriate, future action to reduce store hours and patient appointments or temporarily close stores. There can be no assurance whether or when any such measures will be adopted. Our net revenue in the current fiscal period increased compared to prior fiscal period due in part to strong customer demand, including the effects of our stores being temporarily closed to the public in fiscal year 2020 and government stimulus as a result of COVID-19.</w:t>
      </w:r>
    </w:p>
    <w:p>
      <w:pPr>
        <w:spacing w:after="0" w:line="22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disclosures contained in this Form 10-Q are made only as of the date hereof, and we undertake no obligation to publicly update or revise any forward-looking statement as a result of new information, future events or otherwise, except as required by law. For further information, please see “Forward-Looking Statements.”</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4" w:name="page25"/>
    <w:bookmarkEnd w:id="2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Brand and Segment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Our operations consist of two reportable segments:</w:t>
      </w:r>
    </w:p>
    <w:p>
      <w:pPr>
        <w:spacing w:after="0" w:line="117" w:lineRule="exact"/>
        <w:rPr>
          <w:sz w:val="20"/>
          <w:szCs w:val="20"/>
          <w:color w:val="auto"/>
        </w:rPr>
      </w:pPr>
    </w:p>
    <w:p>
      <w:pPr>
        <w:jc w:val="both"/>
        <w:ind w:left="660" w:hanging="328"/>
        <w:spacing w:after="0" w:line="269" w:lineRule="auto"/>
        <w:tabs>
          <w:tab w:leader="none" w:pos="655" w:val="left"/>
        </w:tabs>
        <w:numPr>
          <w:ilvl w:val="0"/>
          <w:numId w:val="12"/>
        </w:numPr>
        <w:rPr>
          <w:rFonts w:ascii="Arial" w:cs="Arial" w:eastAsia="Arial" w:hAnsi="Arial"/>
          <w:sz w:val="17"/>
          <w:szCs w:val="17"/>
          <w:color w:val="auto"/>
        </w:rPr>
      </w:pPr>
      <w:r>
        <w:rPr>
          <w:rFonts w:ascii="Arial" w:cs="Arial" w:eastAsia="Arial" w:hAnsi="Arial"/>
          <w:sz w:val="17"/>
          <w:szCs w:val="17"/>
          <w:color w:val="auto"/>
        </w:rPr>
        <w:t>Owned &amp; Host - As of July 3, 2021, our owned brands consisted of 813 America’s Best Contacts and Eyeglasses retail stores and 123 Eyeglass World retail stores. In America’s Best stores, vision care services are provided by optometrists employed by us or by independent professional corporations or similar entities. America’s Best stores are primarily located in high-traffic strip centers next to value-focused retailers. Eyeglass World locations primarily feature eye care services provided by independent optometrists and optometrists employed by independent professional corporations or similar entities and on-site optical laboratories that enable stores to quickly fulfill many customer orders and make repairs on site. Eyeglass World stores are primarily located in freestanding or in-line locations near high-foot-traffic shopping centers. Our host brands consisted of 54 Vista Optical locations on select military bases and 29 Vista Optical locations within select Fred Meyer stores as of July 3, 2021. We have strong, long-standing relationships with our host partners and have maintained each partnership for over 21 years. These brands provide eye exams primarily by independent optometrists. All brands utilize our centralized laboratories. This segment also includes sales from our America’s Best, Eyeglass World, and Military omni-channel websites.</w:t>
      </w:r>
    </w:p>
    <w:p>
      <w:pPr>
        <w:spacing w:after="0" w:line="77" w:lineRule="exact"/>
        <w:rPr>
          <w:rFonts w:ascii="Arial" w:cs="Arial" w:eastAsia="Arial" w:hAnsi="Arial"/>
          <w:sz w:val="17"/>
          <w:szCs w:val="17"/>
          <w:color w:val="auto"/>
        </w:rPr>
      </w:pPr>
    </w:p>
    <w:p>
      <w:pPr>
        <w:jc w:val="both"/>
        <w:ind w:left="660" w:hanging="328"/>
        <w:spacing w:after="0" w:line="281" w:lineRule="auto"/>
        <w:tabs>
          <w:tab w:leader="none" w:pos="655" w:val="left"/>
        </w:tabs>
        <w:numPr>
          <w:ilvl w:val="0"/>
          <w:numId w:val="12"/>
        </w:numPr>
        <w:rPr>
          <w:rFonts w:ascii="Arial" w:cs="Arial" w:eastAsia="Arial" w:hAnsi="Arial"/>
          <w:sz w:val="16"/>
          <w:szCs w:val="16"/>
          <w:color w:val="auto"/>
        </w:rPr>
      </w:pPr>
      <w:r>
        <w:rPr>
          <w:rFonts w:ascii="Arial" w:cs="Arial" w:eastAsia="Arial" w:hAnsi="Arial"/>
          <w:sz w:val="16"/>
          <w:szCs w:val="16"/>
          <w:color w:val="auto"/>
        </w:rPr>
        <w:t>Legacy - We manage the operations of, and supply inventory and laboratory processing services to, 230 Vision Centers in Walmart retail locations as of July 3, 2021. This strategic relationship with Walmart is in its 31</w:t>
      </w:r>
      <w:r>
        <w:rPr>
          <w:rFonts w:ascii="Arial" w:cs="Arial" w:eastAsia="Arial" w:hAnsi="Arial"/>
          <w:sz w:val="20"/>
          <w:szCs w:val="20"/>
          <w:color w:val="auto"/>
          <w:vertAlign w:val="superscript"/>
        </w:rPr>
        <w:t>st</w:t>
      </w:r>
      <w:r>
        <w:rPr>
          <w:rFonts w:ascii="Arial" w:cs="Arial" w:eastAsia="Arial" w:hAnsi="Arial"/>
          <w:sz w:val="16"/>
          <w:szCs w:val="16"/>
          <w:color w:val="auto"/>
        </w:rPr>
        <w:t xml:space="preserve"> year. Pursuant to a January 2020 amendment to our management &amp; services agreement with Walmart, we added five additional Vision Centers in Walmart stores in fiscal year 2020. On July 17, 2020, NVI and Walmart extended the current term and economics of the management &amp; services agreement by three years to February 23, 2024. Under the management &amp; services agreement, our responsibilities include ordering and maintaining merchandise inventory; arranging the provision of optometry services; providing managers and staff at each location; training personnel; providing sales receipts to customers; maintaining necessary insurance; obtaining and holding required licenses, permits and accreditations; owning and maintaining store furniture, fixtures and equipment; and developing annual operating budgets and reporting. We earn management fees as a result of providing such services and therefore we record revenue related to sales of products and product protection plans to our legacy partner’s customers on a net basis. Our management &amp; services agreement also allows our legacy partner to collect penalties if the Vision Centers do not generate a requisite amount of revenues. No such penalties have been assessed under our current arrangement, which began in 2012. We also sell to our legacy partner merchandise that is stocked in retail locations we manage pursuant to a separate supplier agreement, and provide centralized laboratory services for the finished eyeglasses for our legacy partner’s customers in stores that we manage. We lease space from Walmart within or adjacent to each of the locations we manage and use this space for vision care services provided by independent optometrists or optometrists employed by us or by independent professional corporations or similar entities. During the six months ended July 3, 2021, sales associated with this arrangement represented 8.0% of consolidated net revenue. This exposes us to concentration of customer risk.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5" w:name="page26"/>
    <w:bookmarkEnd w:id="2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color w:val="auto"/>
        </w:rPr>
        <w:t>Our consolidated results also include the following activity recorded in our Corporate/Other category:</w:t>
      </w:r>
    </w:p>
    <w:p>
      <w:pPr>
        <w:spacing w:after="0" w:line="117" w:lineRule="exact"/>
        <w:rPr>
          <w:sz w:val="20"/>
          <w:szCs w:val="20"/>
          <w:color w:val="auto"/>
        </w:rPr>
      </w:pPr>
    </w:p>
    <w:p>
      <w:pPr>
        <w:jc w:val="both"/>
        <w:ind w:left="660" w:hanging="328"/>
        <w:spacing w:after="0" w:line="301" w:lineRule="auto"/>
        <w:tabs>
          <w:tab w:leader="none" w:pos="655" w:val="left"/>
        </w:tabs>
        <w:numPr>
          <w:ilvl w:val="0"/>
          <w:numId w:val="13"/>
        </w:numPr>
        <w:rPr>
          <w:rFonts w:ascii="Arial" w:cs="Arial" w:eastAsia="Arial" w:hAnsi="Arial"/>
          <w:sz w:val="16"/>
          <w:szCs w:val="16"/>
          <w:color w:val="auto"/>
        </w:rPr>
      </w:pPr>
      <w:r>
        <w:rPr>
          <w:rFonts w:ascii="Arial" w:cs="Arial" w:eastAsia="Arial" w:hAnsi="Arial"/>
          <w:sz w:val="16"/>
          <w:szCs w:val="16"/>
          <w:color w:val="auto"/>
        </w:rPr>
        <w:t>Our e-commerce platform of 15 dedicated websites managed by AC Lens. Our e-commerce business consists of six proprietary branded websites, including aclens.com, discountglasses.com and discountcontactlenses.com, and nine third-party websites with established retailers, such as Walmart, Sam’s Club and Giant Eagle as well as mid-sized vision insurance providers. AC Lens handles site management, customer relationship management and order fulfillment and also sells a wide variety of contact lenses, eyeglasses and eye care accessories.</w:t>
      </w:r>
    </w:p>
    <w:p>
      <w:pPr>
        <w:spacing w:after="0" w:line="49" w:lineRule="exact"/>
        <w:rPr>
          <w:rFonts w:ascii="Arial" w:cs="Arial" w:eastAsia="Arial" w:hAnsi="Arial"/>
          <w:sz w:val="16"/>
          <w:szCs w:val="16"/>
          <w:color w:val="auto"/>
        </w:rPr>
      </w:pPr>
    </w:p>
    <w:p>
      <w:pPr>
        <w:jc w:val="both"/>
        <w:ind w:left="660" w:hanging="328"/>
        <w:spacing w:after="0" w:line="263"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AC Lens also distributes contact lenses wholesale to Walmart and Sam’s Club. We incur costs at a higher percentage of sales than other product categories. AC Lens sales associated with Walmart and Sam’s Club contact lenses distribution arrangements represented 6.5% of consolidated net revenue.</w:t>
      </w:r>
    </w:p>
    <w:p>
      <w:pPr>
        <w:spacing w:after="0" w:line="75"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Managed care business conducted by FirstSight, our wholly-owned subsidiary that is licensed as a single-service health plan under California law, which arranges for the provision of optometric services at the offices next to certain Walmart stores throughout California, and also issues individual vision plans in connection with our America’s Best operations in California.</w:t>
      </w:r>
    </w:p>
    <w:p>
      <w:pPr>
        <w:spacing w:after="0" w:line="75"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Unallocated corporate overhead expenses, which are a component of selling, general and administrative expenses and are comprised of various home office expenses such as payroll, occupancy costs, and consulting and professional fees. Corporate overhead expenses also include field services for our five retail brands.</w:t>
      </w:r>
    </w:p>
    <w:p>
      <w:pPr>
        <w:spacing w:after="0" w:line="7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Reportable segment information is presented on the same basis as our condensed consolidated financial statements, except reportable segment sales which are presented on a cash basis including point of sales for managed care payors and excluding the effects of unearned and deferred revenue, consistent with what our CODM regularly reviews. Reconciliations of segment results to consolidated results include financial information necessary to adjust reportable segment revenues to a consolidated basis in accordance with U.S. GAAP, specifically the change in unearned and deferred revenues during the period. There are no revenue transactions between reportable segments, and there are no other items in the reconciliations other than the effects of unearned and deferred revenue. See Note 10. “Segment Reporting” in our condensed consolidated financial statements included in Part I. Item 1. of this Form 10-Q.</w:t>
      </w:r>
    </w:p>
    <w:p>
      <w:pPr>
        <w:spacing w:after="0" w:line="56"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Deferred revenue represents the timing difference of when we collect the cash from the customer and when services related to product protection plans and eye care club memberships are performed. Increases or decreases in deferred revenue during the reporting period represent cash collections in excess of or below the recognition of previous deferrals. Unearned revenue represents the timing difference of when we collect cash from the customer and delivery/customer acceptance, and includes sales of prescription eyewear during approximately the last seven to 10 days of the reporting period.</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Trends and Other Factors Affecting Our Business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Various trends and other factors will affect or have affected our operating results, including:</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Impact of COVID-19</w:t>
      </w:r>
    </w:p>
    <w:p>
      <w:pPr>
        <w:spacing w:after="0" w:line="104"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COVID-19 pandemic has had far-reaching impacts, directly and indirectly, on our operations. We continue to monitor the evolving situation as there remain many uncertainties regarding the pandemic and more recent outbreaks of variants, including anticipated duration, related healthcare authority guidelines and efficacy of vaccination initiatives, potential impacts on our lab network and potential disruptions of product deliveries. To date, we have been able to meet customer demand with operations at our laboratories and our supply chain partners. However, prolonged shutdowns in countries which support our supply chain or a deterioration of conditions in such countries and others could result in product availability delays. We could experience further material impacts as a result of COVID-19, including, but not limited to, charges from additional asset impairments, deferred tax valuation allowances and further changes in the effectiveness of our hedging instrument. We will continue to evaluate additional measures that we may elect to take as a response to the pandemic, including, where appropriate, future action to reduce store hours and patient appointments or temporarily close stores. There can be no assurance whether or when any such measures will be adopted. For a discussion of significant risks that have the potential to cause our actual results to differ materially from our expectations, refer to Part I. Item 1A. “Risk Factors,” included in our 2020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6" w:name="page27"/>
    <w:bookmarkEnd w:id="2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Comparable store sales growth</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Comparable store sales growth is a key driver of our business. The comparable store sales growth and Adjusted Comparable Store Sales Growth benefited in the current period from the effect of our stores being temporarily closed to the public in the prior year due to the COVID-19 pandemic. The impact of the COVID-19 pandemic on our comparable store sales growth remains uncertain and affects and relevant risk exposures may be exacerbated by the immediate and ongoing threat of the COVID-19 pandemic.</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Interim results and seasonality</w:t>
      </w:r>
    </w:p>
    <w:p>
      <w:pPr>
        <w:spacing w:after="0" w:line="117"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Historically, our business has realized a higher portion of net revenue, operating income, and cash flows from operations in the first half of the fiscal year, and a lower portion of net revenue, operating income, and cash flows from operations in the fourth fiscal quarter. This seasonality, and our interim results were impacted during fiscal year 2020 because our stores were temporarily closed to the public for a portion of the first half of the year due to the COVID-19 pandemic. Our net revenue in the current fiscal period is higher compared to the sales prior to the pandemic due to new store openings and strong customer demand, including the likely effects of our stores being temporarily closed to the public in fiscal year 2020 and government stimulus.</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factors</w:t>
      </w:r>
    </w:p>
    <w:p>
      <w:pPr>
        <w:spacing w:after="0" w:line="117"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We remain committed to our long-term vision and continue to position ourselves to make progress against our key initiatives while balancing the near-term challenges and uncertainty presented by the COVID-19 pandemic. We believe the following factors may continue to influence our short-term and long-term results:</w:t>
      </w:r>
    </w:p>
    <w:p>
      <w:pPr>
        <w:spacing w:after="0" w:line="74"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New store openings;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Managed care and insurance;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Vision care professional recruitment and coverage;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Overall economic trends;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Consumer preferences and demand;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Infrastructure and investment;</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Pricing strategy;</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source and distribute products effectively</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Inflation;</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Competition;</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Market wage pressure and unemployment levels;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Consolidation in the industry</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We Assess the Performance of Our Business</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consider a variety of financial and operating measures in assessing the performance of our business. The key measures we use to determine how our consolidated business and operating segments are performing are net revenue, costs applicable to revenue, and selling, general, and administrative expenses. In addition, we also review store growth, Adjusted Comparable Store Sales Growth, Adjusted Operating Income, Adjusted Operating Margin, Adjusted EBITDA, Adjusted EBITDA Margin and Adjusted Diluted EPS.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Revenue</w:t>
      </w:r>
    </w:p>
    <w:p>
      <w:pPr>
        <w:spacing w:after="0" w:line="11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report as net revenue amounts generated in transactions with retail customers who are the end users of our products, services, and plans. Net product sales include sales of prescription and non-prescription eyewear, contact lenses, and related accessories as well as eye exam services associated with our America’s Best brand’s signature offer of two pairs of eyeglasses and a free eye exam for one low price (“two-pair offer”) to retail customers and sales of inventory in which our customer is another retail entity. Net sales of services and plans include sales of eye exams, eye care club memberships, product protection plans (i.e., warranties), and single service eye care plans in California. Net sales of services and plans also include fees we earn for managing certain Vision Centers located in Walmart stores and for laboratory services provided to Walmart.</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7" w:name="page28"/>
    <w:bookmarkEnd w:id="2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Costs Applicable to Revenue</w:t>
      </w:r>
    </w:p>
    <w:p>
      <w:pPr>
        <w:spacing w:after="0" w:line="11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Costs applicable to revenue include both costs of net product sales and costs of net sales of services and plans. Costs of net product sales include (i) costs to procure non-prescription eyewear, contact lenses, and accessories, which we purchase and sell in finished form, (ii) costs to manufacture finished prescription eyeglasses, including direct materials, labor, and overhead, and (iii) remake costs, warehousing and distribution expenses, and internal transfer costs. Costs of services and plans include costs associated with product protection plan programs, eye care club memberships, single service eye care plans in California, eye care practitioner and eye exam technician payroll, taxes and benefits and optometric service costs. Customer tastes and preferences, product mix, changes in technology, significant increases or slowdowns in production, and other factors impact costs applicable to revenue. The components of our costs applicable to revenue may not be comparable to other retailers.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Selling, general and administrative expenses, or SG&amp;A, include store associate (including optician) payroll, taxes and benefits, occupancy, advertising and promotion, field services, corporate support and other costs associated with the provision of vision care services. SG&amp;A generally fluctuates consistently with revenue due to the variable store, field office and corporate support costs; however, some fixed costs slightly improve as a percentage of net revenue as our net revenues grow over time.</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Store Openings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total number of new stores per year and the timing of store openings has, and will continue to have, an impact on our results. In an effort to conserve cash early in the COVID-19 pandemic, we temporarily paused new store openings during a portion of the fiscal year 2020. We expect to open approximately 75 stores in the current year. We will continue to monitor and determine our plans for future new store openings based on based on health, safety and economic conditions.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Adjusted Comparable Store Sales Growth</w:t>
      </w:r>
    </w:p>
    <w:p>
      <w:pPr>
        <w:spacing w:after="0" w:line="117"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We measure Adjusted Comparable Store Sales Growth as the increase or decrease in sales recorded by the comparable store base in any reporting period, compared to sales recorded by the comparable store base in the prior reporting period, which we calculate as follows: (i) sales are recorded on a cash basis (i.e., when the order is placed and paid for or submitted to a managed care payor, compared to when the order is delivered), utilizing cash basis point of sale information from stores; (ii) stores are added to the calculation during the 13th full fiscal month following the store’s opening; (iii) closed stores are removed from the calculation for time periods that are not comparable; (iv) sales from partial months of operation are excluded when stores do not open or close on the first day of the month; and (v) when applicable, we adjust for the effect of the 53rd week. Quarterly, year-to-date and annual adjusted comparable store sales are aggregated using only sales from all whole months of operation included in both the current reporting period and the prior reporting period. When a partial month is excluded from the calculation, the corresponding month in the subsequent period is also excluded from the calculation. There may be variations in the way in which some of our competitors and other retailers calculate comparable store sales. As a result, our adjusted comparable store sales may not be comparable to similar data made available by other retailers. We did not revise our calculation of Adjusted Comparable Store Sales Growth for the temporary closure of our stores to the public as a result of the COVID-19 pandemic.</w:t>
      </w:r>
    </w:p>
    <w:p>
      <w:pPr>
        <w:spacing w:after="0" w:line="6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Adjusted Comparable Store Sales Growth is a non-GAAP financial measure, which we believe is useful because it provides timely and accurate information relating to the two core metrics of retail sales: number of transactions and value of transactions. We use Adjusted Comparable Store Sales Growth as the basis for key operating decisions, such as allocation of advertising to particular markets and implementation of special marketing programs. Accordingly, we believe that Adjusted Comparable Store Sales Growth provides timely and accurate information relating to the operational health and overall performance of each brand. We also believe that, for the same reasons, investors find our calculation of Adjusted Comparable Stores Sales Growth to be meaningful.</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8" w:name="page29"/>
    <w:bookmarkEnd w:id="2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Adjusted Operating Income, Adjusted Operating Margin, Adjusted EBITDA, Adjusted EBITDA Margin and Adjusted Diluted EPS (collectively, the “Company Non-GAAP Measures”)</w:t>
      </w:r>
    </w:p>
    <w:p>
      <w:pPr>
        <w:spacing w:after="0" w:line="6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Non-GAAP Measures are key measures used by management to assess our financial performance. The Company Non-GAAP Measures are also frequently used by analysts, investors and other interested parties. We use the Company Non-GAAP Measures to supplement U.S. GAAP measures of performance to evaluate the effectiveness of our business strategies, to make budgeting decisions, to establish discretionary annual incentive compensation and to compare our performance against that of other peer companies using similar measures. See “Non-GAAP Financial Measures” for definitions of the Company Non-GAAP Measures and for additional information.</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9" w:name="page30"/>
    <w:bookmarkEnd w:id="2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summarizes key components of our results of operations for the periods indicated, both in dollars and as a percentage of our net revenue.</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360" w:type="dxa"/>
            <w:vAlign w:val="bottom"/>
            <w:vMerge w:val="restart"/>
          </w:tcPr>
          <w:p>
            <w:pPr>
              <w:ind w:left="20"/>
              <w:spacing w:after="0"/>
              <w:rPr>
                <w:sz w:val="20"/>
                <w:szCs w:val="20"/>
                <w:color w:val="auto"/>
              </w:rPr>
            </w:pPr>
            <w:r>
              <w:rPr>
                <w:rFonts w:ascii="Arial" w:cs="Arial" w:eastAsia="Arial" w:hAnsi="Arial"/>
                <w:sz w:val="18"/>
                <w:szCs w:val="18"/>
                <w:i w:val="1"/>
                <w:iCs w:val="1"/>
                <w:color w:val="auto"/>
                <w:w w:val="94"/>
              </w:rPr>
              <w:t>In thousands, except earnings per share, percentage and</w:t>
            </w:r>
          </w:p>
        </w:tc>
        <w:tc>
          <w:tcPr>
            <w:tcW w:w="240" w:type="dxa"/>
            <w:vAlign w:val="bottom"/>
            <w:tcBorders>
              <w:bottom w:val="single" w:sz="8" w:color="auto"/>
            </w:tcBorders>
          </w:tcPr>
          <w:p>
            <w:pPr>
              <w:spacing w:after="0"/>
              <w:rPr>
                <w:sz w:val="20"/>
                <w:szCs w:val="20"/>
                <w:color w:val="auto"/>
              </w:rPr>
            </w:pPr>
          </w:p>
        </w:tc>
        <w:tc>
          <w:tcPr>
            <w:tcW w:w="3120" w:type="dxa"/>
            <w:vAlign w:val="bottom"/>
            <w:tcBorders>
              <w:bottom w:val="single" w:sz="8" w:color="auto"/>
            </w:tcBorders>
            <w:gridSpan w:val="4"/>
          </w:tcPr>
          <w:p>
            <w:pPr>
              <w:jc w:val="right"/>
              <w:ind w:right="830"/>
              <w:spacing w:after="0"/>
              <w:rPr>
                <w:sz w:val="20"/>
                <w:szCs w:val="20"/>
                <w:color w:val="auto"/>
              </w:rPr>
            </w:pPr>
            <w:r>
              <w:rPr>
                <w:rFonts w:ascii="Arial" w:cs="Arial" w:eastAsia="Arial" w:hAnsi="Arial"/>
                <w:sz w:val="18"/>
                <w:szCs w:val="18"/>
                <w:color w:val="auto"/>
              </w:rPr>
              <w:t>Three Months Ended</w:t>
            </w:r>
          </w:p>
        </w:tc>
        <w:tc>
          <w:tcPr>
            <w:tcW w:w="1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3120" w:type="dxa"/>
            <w:vAlign w:val="bottom"/>
            <w:tcBorders>
              <w:bottom w:val="single" w:sz="8" w:color="auto"/>
            </w:tcBorders>
            <w:gridSpan w:val="4"/>
          </w:tcPr>
          <w:p>
            <w:pPr>
              <w:jc w:val="right"/>
              <w:ind w:right="930"/>
              <w:spacing w:after="0"/>
              <w:rPr>
                <w:sz w:val="20"/>
                <w:szCs w:val="20"/>
                <w:color w:val="auto"/>
              </w:rPr>
            </w:pPr>
            <w:r>
              <w:rPr>
                <w:rFonts w:ascii="Arial" w:cs="Arial" w:eastAsia="Arial" w:hAnsi="Arial"/>
                <w:sz w:val="18"/>
                <w:szCs w:val="18"/>
                <w:color w:val="auto"/>
              </w:rPr>
              <w:t>Six Months Ended</w:t>
            </w:r>
          </w:p>
        </w:tc>
        <w:tc>
          <w:tcPr>
            <w:tcW w:w="0" w:type="dxa"/>
            <w:vAlign w:val="bottom"/>
          </w:tcPr>
          <w:p>
            <w:pPr>
              <w:spacing w:after="0"/>
              <w:rPr>
                <w:sz w:val="1"/>
                <w:szCs w:val="1"/>
                <w:color w:val="auto"/>
              </w:rPr>
            </w:pPr>
          </w:p>
        </w:tc>
      </w:tr>
      <w:tr>
        <w:trPr>
          <w:trHeight w:val="155"/>
        </w:trPr>
        <w:tc>
          <w:tcPr>
            <w:tcW w:w="436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1500" w:type="dxa"/>
            <w:vAlign w:val="bottom"/>
            <w:gridSpan w:val="2"/>
            <w:vMerge w:val="restart"/>
          </w:tcPr>
          <w:p>
            <w:pPr>
              <w:ind w:left="120"/>
              <w:spacing w:after="0"/>
              <w:rPr>
                <w:sz w:val="20"/>
                <w:szCs w:val="20"/>
                <w:color w:val="auto"/>
              </w:rPr>
            </w:pPr>
            <w:r>
              <w:rPr>
                <w:rFonts w:ascii="Arial" w:cs="Arial" w:eastAsia="Arial" w:hAnsi="Arial"/>
                <w:sz w:val="18"/>
                <w:szCs w:val="18"/>
                <w:color w:val="auto"/>
              </w:rPr>
              <w:t>July 3, 2021</w:t>
            </w:r>
          </w:p>
        </w:tc>
        <w:tc>
          <w:tcPr>
            <w:tcW w:w="220" w:type="dxa"/>
            <w:vAlign w:val="bottom"/>
          </w:tcPr>
          <w:p>
            <w:pPr>
              <w:spacing w:after="0"/>
              <w:rPr>
                <w:sz w:val="13"/>
                <w:szCs w:val="13"/>
                <w:color w:val="auto"/>
              </w:rPr>
            </w:pPr>
          </w:p>
        </w:tc>
        <w:tc>
          <w:tcPr>
            <w:tcW w:w="1560" w:type="dxa"/>
            <w:vAlign w:val="bottom"/>
            <w:gridSpan w:val="2"/>
            <w:vMerge w:val="restart"/>
          </w:tcPr>
          <w:p>
            <w:pPr>
              <w:ind w:left="100"/>
              <w:spacing w:after="0"/>
              <w:rPr>
                <w:sz w:val="20"/>
                <w:szCs w:val="20"/>
                <w:color w:val="auto"/>
              </w:rPr>
            </w:pPr>
            <w:r>
              <w:rPr>
                <w:rFonts w:ascii="Arial" w:cs="Arial" w:eastAsia="Arial" w:hAnsi="Arial"/>
                <w:sz w:val="18"/>
                <w:szCs w:val="18"/>
                <w:color w:val="auto"/>
              </w:rPr>
              <w:t>June 27, 2020</w:t>
            </w:r>
          </w:p>
        </w:tc>
        <w:tc>
          <w:tcPr>
            <w:tcW w:w="240" w:type="dxa"/>
            <w:vAlign w:val="bottom"/>
          </w:tcPr>
          <w:p>
            <w:pPr>
              <w:spacing w:after="0"/>
              <w:rPr>
                <w:sz w:val="13"/>
                <w:szCs w:val="13"/>
                <w:color w:val="auto"/>
              </w:rPr>
            </w:pPr>
          </w:p>
        </w:tc>
        <w:tc>
          <w:tcPr>
            <w:tcW w:w="1520" w:type="dxa"/>
            <w:vAlign w:val="bottom"/>
            <w:gridSpan w:val="2"/>
            <w:vMerge w:val="restart"/>
          </w:tcPr>
          <w:p>
            <w:pPr>
              <w:ind w:left="120"/>
              <w:spacing w:after="0"/>
              <w:rPr>
                <w:sz w:val="20"/>
                <w:szCs w:val="20"/>
                <w:color w:val="auto"/>
              </w:rPr>
            </w:pPr>
            <w:r>
              <w:rPr>
                <w:rFonts w:ascii="Arial" w:cs="Arial" w:eastAsia="Arial" w:hAnsi="Arial"/>
                <w:sz w:val="18"/>
                <w:szCs w:val="18"/>
                <w:color w:val="auto"/>
              </w:rPr>
              <w:t>July 3, 2021</w:t>
            </w:r>
          </w:p>
        </w:tc>
        <w:tc>
          <w:tcPr>
            <w:tcW w:w="200" w:type="dxa"/>
            <w:vAlign w:val="bottom"/>
          </w:tcPr>
          <w:p>
            <w:pPr>
              <w:spacing w:after="0"/>
              <w:rPr>
                <w:sz w:val="13"/>
                <w:szCs w:val="13"/>
                <w:color w:val="auto"/>
              </w:rPr>
            </w:pPr>
          </w:p>
        </w:tc>
        <w:tc>
          <w:tcPr>
            <w:tcW w:w="1400" w:type="dxa"/>
            <w:vAlign w:val="bottom"/>
            <w:vMerge w:val="restart"/>
          </w:tcPr>
          <w:p>
            <w:pPr>
              <w:jc w:val="right"/>
              <w:ind w:right="210"/>
              <w:spacing w:after="0"/>
              <w:rPr>
                <w:sz w:val="20"/>
                <w:szCs w:val="20"/>
                <w:color w:val="auto"/>
              </w:rPr>
            </w:pPr>
            <w:r>
              <w:rPr>
                <w:rFonts w:ascii="Arial" w:cs="Arial" w:eastAsia="Arial" w:hAnsi="Arial"/>
                <w:sz w:val="18"/>
                <w:szCs w:val="18"/>
                <w:color w:val="auto"/>
                <w:w w:val="94"/>
              </w:rPr>
              <w:t>June 27, 2020</w:t>
            </w:r>
          </w:p>
        </w:tc>
        <w:tc>
          <w:tcPr>
            <w:tcW w:w="0" w:type="dxa"/>
            <w:vAlign w:val="bottom"/>
          </w:tcPr>
          <w:p>
            <w:pPr>
              <w:spacing w:after="0"/>
              <w:rPr>
                <w:sz w:val="1"/>
                <w:szCs w:val="1"/>
                <w:color w:val="auto"/>
              </w:rPr>
            </w:pPr>
          </w:p>
        </w:tc>
      </w:tr>
      <w:tr>
        <w:trPr>
          <w:trHeight w:val="230"/>
        </w:trPr>
        <w:tc>
          <w:tcPr>
            <w:tcW w:w="4360" w:type="dxa"/>
            <w:vAlign w:val="bottom"/>
          </w:tcPr>
          <w:p>
            <w:pPr>
              <w:ind w:left="20"/>
              <w:spacing w:after="0"/>
              <w:rPr>
                <w:sz w:val="20"/>
                <w:szCs w:val="20"/>
                <w:color w:val="auto"/>
              </w:rPr>
            </w:pPr>
            <w:r>
              <w:rPr>
                <w:rFonts w:ascii="Arial" w:cs="Arial" w:eastAsia="Arial" w:hAnsi="Arial"/>
                <w:sz w:val="18"/>
                <w:szCs w:val="18"/>
                <w:i w:val="1"/>
                <w:iCs w:val="1"/>
                <w:color w:val="auto"/>
              </w:rPr>
              <w:t>store data</w:t>
            </w:r>
          </w:p>
        </w:tc>
        <w:tc>
          <w:tcPr>
            <w:tcW w:w="240" w:type="dxa"/>
            <w:vAlign w:val="bottom"/>
          </w:tcPr>
          <w:p>
            <w:pPr>
              <w:spacing w:after="0"/>
              <w:rPr>
                <w:sz w:val="19"/>
                <w:szCs w:val="19"/>
                <w:color w:val="auto"/>
              </w:rPr>
            </w:pPr>
          </w:p>
        </w:tc>
        <w:tc>
          <w:tcPr>
            <w:tcW w:w="1500" w:type="dxa"/>
            <w:vAlign w:val="bottom"/>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1560" w:type="dxa"/>
            <w:vAlign w:val="bottom"/>
            <w:gridSpan w:val="2"/>
            <w:vMerge w:val="continue"/>
          </w:tcPr>
          <w:p>
            <w:pPr>
              <w:spacing w:after="0"/>
              <w:rPr>
                <w:sz w:val="19"/>
                <w:szCs w:val="19"/>
                <w:color w:val="auto"/>
              </w:rPr>
            </w:pPr>
          </w:p>
        </w:tc>
        <w:tc>
          <w:tcPr>
            <w:tcW w:w="240" w:type="dxa"/>
            <w:vAlign w:val="bottom"/>
          </w:tcPr>
          <w:p>
            <w:pPr>
              <w:spacing w:after="0"/>
              <w:rPr>
                <w:sz w:val="19"/>
                <w:szCs w:val="19"/>
                <w:color w:val="auto"/>
              </w:rPr>
            </w:pPr>
          </w:p>
        </w:tc>
        <w:tc>
          <w:tcPr>
            <w:tcW w:w="152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4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Revenue:</w:t>
            </w:r>
          </w:p>
        </w:tc>
        <w:tc>
          <w:tcPr>
            <w:tcW w:w="24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360" w:type="dxa"/>
            <w:vAlign w:val="bottom"/>
          </w:tcPr>
          <w:p>
            <w:pPr>
              <w:ind w:left="220"/>
              <w:spacing w:after="0"/>
              <w:rPr>
                <w:sz w:val="20"/>
                <w:szCs w:val="20"/>
                <w:color w:val="auto"/>
              </w:rPr>
            </w:pPr>
            <w:r>
              <w:rPr>
                <w:rFonts w:ascii="Arial" w:cs="Arial" w:eastAsia="Arial" w:hAnsi="Arial"/>
                <w:sz w:val="18"/>
                <w:szCs w:val="18"/>
                <w:color w:val="auto"/>
              </w:rPr>
              <w:t>Net product sales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458,206</w:t>
            </w:r>
          </w:p>
        </w:tc>
        <w:tc>
          <w:tcPr>
            <w:tcW w:w="16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209,707</w:t>
            </w:r>
          </w:p>
        </w:tc>
        <w:tc>
          <w:tcPr>
            <w:tcW w:w="16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901,273</w:t>
            </w:r>
          </w:p>
        </w:tc>
        <w:tc>
          <w:tcPr>
            <w:tcW w:w="16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602,548</w:t>
            </w:r>
          </w:p>
        </w:tc>
        <w:tc>
          <w:tcPr>
            <w:tcW w:w="0" w:type="dxa"/>
            <w:vAlign w:val="bottom"/>
          </w:tcPr>
          <w:p>
            <w:pPr>
              <w:spacing w:after="0"/>
              <w:rPr>
                <w:sz w:val="1"/>
                <w:szCs w:val="1"/>
                <w:color w:val="auto"/>
              </w:rPr>
            </w:pPr>
          </w:p>
        </w:tc>
      </w:tr>
      <w:tr>
        <w:trPr>
          <w:trHeight w:val="229"/>
        </w:trPr>
        <w:tc>
          <w:tcPr>
            <w:tcW w:w="43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sales of services and plans</w:t>
            </w:r>
          </w:p>
        </w:tc>
        <w:tc>
          <w:tcPr>
            <w:tcW w:w="2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91,283</w:t>
            </w:r>
          </w:p>
        </w:tc>
        <w:tc>
          <w:tcPr>
            <w:tcW w:w="16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50,300</w:t>
            </w:r>
          </w:p>
        </w:tc>
        <w:tc>
          <w:tcPr>
            <w:tcW w:w="16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182,396</w:t>
            </w:r>
          </w:p>
        </w:tc>
        <w:tc>
          <w:tcPr>
            <w:tcW w:w="16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127,163</w:t>
            </w:r>
          </w:p>
        </w:tc>
        <w:tc>
          <w:tcPr>
            <w:tcW w:w="0" w:type="dxa"/>
            <w:vAlign w:val="bottom"/>
          </w:tcPr>
          <w:p>
            <w:pPr>
              <w:spacing w:after="0"/>
              <w:rPr>
                <w:sz w:val="1"/>
                <w:szCs w:val="1"/>
                <w:color w:val="auto"/>
              </w:rPr>
            </w:pPr>
          </w:p>
        </w:tc>
      </w:tr>
      <w:tr>
        <w:trPr>
          <w:trHeight w:val="223"/>
        </w:trPr>
        <w:tc>
          <w:tcPr>
            <w:tcW w:w="4360" w:type="dxa"/>
            <w:vAlign w:val="bottom"/>
          </w:tcPr>
          <w:p>
            <w:pPr>
              <w:ind w:left="360"/>
              <w:spacing w:after="0"/>
              <w:rPr>
                <w:sz w:val="20"/>
                <w:szCs w:val="20"/>
                <w:color w:val="auto"/>
              </w:rPr>
            </w:pPr>
            <w:r>
              <w:rPr>
                <w:rFonts w:ascii="Arial" w:cs="Arial" w:eastAsia="Arial" w:hAnsi="Arial"/>
                <w:sz w:val="18"/>
                <w:szCs w:val="18"/>
                <w:color w:val="auto"/>
              </w:rPr>
              <w:t>Total net revenue</w:t>
            </w:r>
          </w:p>
        </w:tc>
        <w:tc>
          <w:tcPr>
            <w:tcW w:w="240" w:type="dxa"/>
            <w:vAlign w:val="bottom"/>
          </w:tcPr>
          <w:p>
            <w:pPr>
              <w:spacing w:after="0"/>
              <w:rPr>
                <w:sz w:val="19"/>
                <w:szCs w:val="19"/>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549,489</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260,007</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1,083,669</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729,711</w:t>
            </w:r>
          </w:p>
        </w:tc>
        <w:tc>
          <w:tcPr>
            <w:tcW w:w="0" w:type="dxa"/>
            <w:vAlign w:val="bottom"/>
          </w:tcPr>
          <w:p>
            <w:pPr>
              <w:spacing w:after="0"/>
              <w:rPr>
                <w:sz w:val="1"/>
                <w:szCs w:val="1"/>
                <w:color w:val="auto"/>
              </w:rPr>
            </w:pPr>
          </w:p>
        </w:tc>
      </w:tr>
      <w:tr>
        <w:trPr>
          <w:trHeight w:val="176"/>
        </w:trPr>
        <w:tc>
          <w:tcPr>
            <w:tcW w:w="436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b w:val="1"/>
                <w:bCs w:val="1"/>
                <w:color w:val="auto"/>
                <w:w w:val="92"/>
              </w:rPr>
              <w:t>Costs applicable to revenue (exclusive of depreciation</w:t>
            </w:r>
          </w:p>
        </w:tc>
        <w:tc>
          <w:tcPr>
            <w:tcW w:w="24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43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and amortization):</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60" w:type="dxa"/>
            <w:vAlign w:val="bottom"/>
          </w:tcPr>
          <w:p>
            <w:pPr>
              <w:ind w:left="220"/>
              <w:spacing w:after="0"/>
              <w:rPr>
                <w:sz w:val="20"/>
                <w:szCs w:val="20"/>
                <w:color w:val="auto"/>
              </w:rPr>
            </w:pPr>
            <w:r>
              <w:rPr>
                <w:rFonts w:ascii="Arial" w:cs="Arial" w:eastAsia="Arial" w:hAnsi="Arial"/>
                <w:sz w:val="18"/>
                <w:szCs w:val="18"/>
                <w:color w:val="auto"/>
              </w:rPr>
              <w:t>Products</w:t>
            </w:r>
          </w:p>
        </w:tc>
        <w:tc>
          <w:tcPr>
            <w:tcW w:w="240" w:type="dxa"/>
            <w:vAlign w:val="bottom"/>
          </w:tcPr>
          <w:p>
            <w:pPr>
              <w:spacing w:after="0"/>
              <w:rPr>
                <w:sz w:val="19"/>
                <w:szCs w:val="19"/>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167,028</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97,635</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326,719</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254,005</w:t>
            </w:r>
          </w:p>
        </w:tc>
        <w:tc>
          <w:tcPr>
            <w:tcW w:w="0" w:type="dxa"/>
            <w:vAlign w:val="bottom"/>
          </w:tcPr>
          <w:p>
            <w:pPr>
              <w:spacing w:after="0"/>
              <w:rPr>
                <w:sz w:val="1"/>
                <w:szCs w:val="1"/>
                <w:color w:val="auto"/>
              </w:rPr>
            </w:pPr>
          </w:p>
        </w:tc>
      </w:tr>
      <w:tr>
        <w:trPr>
          <w:trHeight w:val="229"/>
        </w:trPr>
        <w:tc>
          <w:tcPr>
            <w:tcW w:w="43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Services and plans</w:t>
            </w:r>
          </w:p>
        </w:tc>
        <w:tc>
          <w:tcPr>
            <w:tcW w:w="2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68,918</w:t>
            </w:r>
          </w:p>
        </w:tc>
        <w:tc>
          <w:tcPr>
            <w:tcW w:w="16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43,145</w:t>
            </w:r>
          </w:p>
        </w:tc>
        <w:tc>
          <w:tcPr>
            <w:tcW w:w="16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133,917</w:t>
            </w:r>
          </w:p>
        </w:tc>
        <w:tc>
          <w:tcPr>
            <w:tcW w:w="16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105,329</w:t>
            </w:r>
          </w:p>
        </w:tc>
        <w:tc>
          <w:tcPr>
            <w:tcW w:w="0" w:type="dxa"/>
            <w:vAlign w:val="bottom"/>
          </w:tcPr>
          <w:p>
            <w:pPr>
              <w:spacing w:after="0"/>
              <w:rPr>
                <w:sz w:val="1"/>
                <w:szCs w:val="1"/>
                <w:color w:val="auto"/>
              </w:rPr>
            </w:pPr>
          </w:p>
        </w:tc>
      </w:tr>
      <w:tr>
        <w:trPr>
          <w:trHeight w:val="223"/>
        </w:trPr>
        <w:tc>
          <w:tcPr>
            <w:tcW w:w="4360" w:type="dxa"/>
            <w:vAlign w:val="bottom"/>
          </w:tcPr>
          <w:p>
            <w:pPr>
              <w:ind w:left="360"/>
              <w:spacing w:after="0"/>
              <w:rPr>
                <w:sz w:val="20"/>
                <w:szCs w:val="20"/>
                <w:color w:val="auto"/>
              </w:rPr>
            </w:pPr>
            <w:r>
              <w:rPr>
                <w:rFonts w:ascii="Arial" w:cs="Arial" w:eastAsia="Arial" w:hAnsi="Arial"/>
                <w:sz w:val="18"/>
                <w:szCs w:val="18"/>
                <w:color w:val="auto"/>
              </w:rPr>
              <w:t>Total costs applicable to revenue</w:t>
            </w:r>
          </w:p>
        </w:tc>
        <w:tc>
          <w:tcPr>
            <w:tcW w:w="240" w:type="dxa"/>
            <w:vAlign w:val="bottom"/>
          </w:tcPr>
          <w:p>
            <w:pPr>
              <w:spacing w:after="0"/>
              <w:rPr>
                <w:sz w:val="19"/>
                <w:szCs w:val="19"/>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235,946</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140,780</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460,636</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359,334</w:t>
            </w:r>
          </w:p>
        </w:tc>
        <w:tc>
          <w:tcPr>
            <w:tcW w:w="0" w:type="dxa"/>
            <w:vAlign w:val="bottom"/>
          </w:tcPr>
          <w:p>
            <w:pPr>
              <w:spacing w:after="0"/>
              <w:rPr>
                <w:sz w:val="1"/>
                <w:szCs w:val="1"/>
                <w:color w:val="auto"/>
              </w:rPr>
            </w:pPr>
          </w:p>
        </w:tc>
      </w:tr>
      <w:tr>
        <w:trPr>
          <w:trHeight w:val="229"/>
        </w:trPr>
        <w:tc>
          <w:tcPr>
            <w:tcW w:w="43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expenses:</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60" w:type="dxa"/>
            <w:vAlign w:val="bottom"/>
          </w:tcPr>
          <w:p>
            <w:pPr>
              <w:ind w:left="220"/>
              <w:spacing w:after="0"/>
              <w:rPr>
                <w:sz w:val="20"/>
                <w:szCs w:val="20"/>
                <w:color w:val="auto"/>
              </w:rPr>
            </w:pPr>
            <w:r>
              <w:rPr>
                <w:rFonts w:ascii="Arial" w:cs="Arial" w:eastAsia="Arial" w:hAnsi="Arial"/>
                <w:sz w:val="18"/>
                <w:szCs w:val="18"/>
                <w:color w:val="auto"/>
              </w:rPr>
              <w:t>Selling, general and administrative expenses</w:t>
            </w:r>
          </w:p>
        </w:tc>
        <w:tc>
          <w:tcPr>
            <w:tcW w:w="240" w:type="dxa"/>
            <w:vAlign w:val="bottom"/>
          </w:tcPr>
          <w:p>
            <w:pPr>
              <w:spacing w:after="0"/>
              <w:rPr>
                <w:sz w:val="19"/>
                <w:szCs w:val="19"/>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234,235</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136,582</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457,828</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330,323</w:t>
            </w:r>
          </w:p>
        </w:tc>
        <w:tc>
          <w:tcPr>
            <w:tcW w:w="0" w:type="dxa"/>
            <w:vAlign w:val="bottom"/>
          </w:tcPr>
          <w:p>
            <w:pPr>
              <w:spacing w:after="0"/>
              <w:rPr>
                <w:sz w:val="1"/>
                <w:szCs w:val="1"/>
                <w:color w:val="auto"/>
              </w:rPr>
            </w:pPr>
          </w:p>
        </w:tc>
      </w:tr>
      <w:tr>
        <w:trPr>
          <w:trHeight w:val="229"/>
        </w:trPr>
        <w:tc>
          <w:tcPr>
            <w:tcW w:w="43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Depreciation and amortization</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24,025</w:t>
            </w: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21,924</w:t>
            </w: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47,580</w:t>
            </w: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46,734</w:t>
            </w:r>
          </w:p>
        </w:tc>
        <w:tc>
          <w:tcPr>
            <w:tcW w:w="0" w:type="dxa"/>
            <w:vAlign w:val="bottom"/>
          </w:tcPr>
          <w:p>
            <w:pPr>
              <w:spacing w:after="0"/>
              <w:rPr>
                <w:sz w:val="1"/>
                <w:szCs w:val="1"/>
                <w:color w:val="auto"/>
              </w:rPr>
            </w:pPr>
          </w:p>
        </w:tc>
      </w:tr>
      <w:tr>
        <w:trPr>
          <w:trHeight w:val="229"/>
        </w:trPr>
        <w:tc>
          <w:tcPr>
            <w:tcW w:w="4360" w:type="dxa"/>
            <w:vAlign w:val="bottom"/>
          </w:tcPr>
          <w:p>
            <w:pPr>
              <w:ind w:left="220"/>
              <w:spacing w:after="0"/>
              <w:rPr>
                <w:sz w:val="20"/>
                <w:szCs w:val="20"/>
                <w:color w:val="auto"/>
              </w:rPr>
            </w:pPr>
            <w:r>
              <w:rPr>
                <w:rFonts w:ascii="Arial" w:cs="Arial" w:eastAsia="Arial" w:hAnsi="Arial"/>
                <w:sz w:val="18"/>
                <w:szCs w:val="18"/>
                <w:color w:val="auto"/>
              </w:rPr>
              <w:t>Asset impairment</w:t>
            </w:r>
          </w:p>
        </w:tc>
        <w:tc>
          <w:tcPr>
            <w:tcW w:w="240" w:type="dxa"/>
            <w:vAlign w:val="bottom"/>
          </w:tcPr>
          <w:p>
            <w:pPr>
              <w:spacing w:after="0"/>
              <w:rPr>
                <w:sz w:val="19"/>
                <w:szCs w:val="19"/>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519</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2,411</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1,478</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13,766</w:t>
            </w:r>
          </w:p>
        </w:tc>
        <w:tc>
          <w:tcPr>
            <w:tcW w:w="0" w:type="dxa"/>
            <w:vAlign w:val="bottom"/>
          </w:tcPr>
          <w:p>
            <w:pPr>
              <w:spacing w:after="0"/>
              <w:rPr>
                <w:sz w:val="1"/>
                <w:szCs w:val="1"/>
                <w:color w:val="auto"/>
              </w:rPr>
            </w:pPr>
          </w:p>
        </w:tc>
      </w:tr>
      <w:tr>
        <w:trPr>
          <w:trHeight w:val="230"/>
        </w:trPr>
        <w:tc>
          <w:tcPr>
            <w:tcW w:w="43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Litigation settlement</w:t>
            </w:r>
          </w:p>
        </w:tc>
        <w:tc>
          <w:tcPr>
            <w:tcW w:w="24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4,395</w:t>
            </w:r>
          </w:p>
        </w:tc>
        <w:tc>
          <w:tcPr>
            <w:tcW w:w="0" w:type="dxa"/>
            <w:vAlign w:val="bottom"/>
          </w:tcPr>
          <w:p>
            <w:pPr>
              <w:spacing w:after="0"/>
              <w:rPr>
                <w:sz w:val="1"/>
                <w:szCs w:val="1"/>
                <w:color w:val="auto"/>
              </w:rPr>
            </w:pPr>
          </w:p>
        </w:tc>
      </w:tr>
      <w:tr>
        <w:trPr>
          <w:trHeight w:val="229"/>
        </w:trPr>
        <w:tc>
          <w:tcPr>
            <w:tcW w:w="43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Other expense (income), net</w:t>
            </w:r>
          </w:p>
        </w:tc>
        <w:tc>
          <w:tcPr>
            <w:tcW w:w="2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(65)</w:t>
            </w:r>
          </w:p>
        </w:tc>
        <w:tc>
          <w:tcPr>
            <w:tcW w:w="16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(92)</w:t>
            </w:r>
          </w:p>
        </w:tc>
        <w:tc>
          <w:tcPr>
            <w:tcW w:w="16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(130)</w:t>
            </w:r>
          </w:p>
        </w:tc>
        <w:tc>
          <w:tcPr>
            <w:tcW w:w="16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223"/>
        </w:trPr>
        <w:tc>
          <w:tcPr>
            <w:tcW w:w="4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operating expenses</w:t>
            </w:r>
          </w:p>
        </w:tc>
        <w:tc>
          <w:tcPr>
            <w:tcW w:w="2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258,714</w:t>
            </w:r>
          </w:p>
        </w:tc>
        <w:tc>
          <w:tcPr>
            <w:tcW w:w="16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160,825</w:t>
            </w:r>
          </w:p>
        </w:tc>
        <w:tc>
          <w:tcPr>
            <w:tcW w:w="16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506,756</w:t>
            </w:r>
          </w:p>
        </w:tc>
        <w:tc>
          <w:tcPr>
            <w:tcW w:w="16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395,060</w:t>
            </w:r>
          </w:p>
        </w:tc>
        <w:tc>
          <w:tcPr>
            <w:tcW w:w="0" w:type="dxa"/>
            <w:vAlign w:val="bottom"/>
          </w:tcPr>
          <w:p>
            <w:pPr>
              <w:spacing w:after="0"/>
              <w:rPr>
                <w:sz w:val="1"/>
                <w:szCs w:val="1"/>
                <w:color w:val="auto"/>
              </w:rPr>
            </w:pPr>
          </w:p>
        </w:tc>
      </w:tr>
      <w:tr>
        <w:trPr>
          <w:trHeight w:val="223"/>
        </w:trPr>
        <w:tc>
          <w:tcPr>
            <w:tcW w:w="4360" w:type="dxa"/>
            <w:vAlign w:val="bottom"/>
          </w:tcPr>
          <w:p>
            <w:pPr>
              <w:ind w:left="20"/>
              <w:spacing w:after="0"/>
              <w:rPr>
                <w:sz w:val="20"/>
                <w:szCs w:val="20"/>
                <w:color w:val="auto"/>
              </w:rPr>
            </w:pPr>
            <w:r>
              <w:rPr>
                <w:rFonts w:ascii="Arial" w:cs="Arial" w:eastAsia="Arial" w:hAnsi="Arial"/>
                <w:sz w:val="18"/>
                <w:szCs w:val="18"/>
                <w:color w:val="auto"/>
              </w:rPr>
              <w:t>Income (loss) from operations</w:t>
            </w:r>
          </w:p>
        </w:tc>
        <w:tc>
          <w:tcPr>
            <w:tcW w:w="240" w:type="dxa"/>
            <w:vAlign w:val="bottom"/>
          </w:tcPr>
          <w:p>
            <w:pPr>
              <w:spacing w:after="0"/>
              <w:rPr>
                <w:sz w:val="19"/>
                <w:szCs w:val="19"/>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54,829</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(41,598)</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116,277</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(24,683)</w:t>
            </w:r>
          </w:p>
        </w:tc>
        <w:tc>
          <w:tcPr>
            <w:tcW w:w="0" w:type="dxa"/>
            <w:vAlign w:val="bottom"/>
          </w:tcPr>
          <w:p>
            <w:pPr>
              <w:spacing w:after="0"/>
              <w:rPr>
                <w:sz w:val="1"/>
                <w:szCs w:val="1"/>
                <w:color w:val="auto"/>
              </w:rPr>
            </w:pPr>
          </w:p>
        </w:tc>
      </w:tr>
      <w:tr>
        <w:trPr>
          <w:trHeight w:val="230"/>
        </w:trPr>
        <w:tc>
          <w:tcPr>
            <w:tcW w:w="43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expense, net</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10,096</w:t>
            </w: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15,502</w:t>
            </w: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16,426</w:t>
            </w: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22,957</w:t>
            </w:r>
          </w:p>
        </w:tc>
        <w:tc>
          <w:tcPr>
            <w:tcW w:w="0" w:type="dxa"/>
            <w:vAlign w:val="bottom"/>
          </w:tcPr>
          <w:p>
            <w:pPr>
              <w:spacing w:after="0"/>
              <w:rPr>
                <w:sz w:val="1"/>
                <w:szCs w:val="1"/>
                <w:color w:val="auto"/>
              </w:rPr>
            </w:pPr>
          </w:p>
        </w:tc>
      </w:tr>
      <w:tr>
        <w:trPr>
          <w:trHeight w:val="230"/>
        </w:trPr>
        <w:tc>
          <w:tcPr>
            <w:tcW w:w="43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Debt issuance costs</w:t>
            </w:r>
          </w:p>
        </w:tc>
        <w:tc>
          <w:tcPr>
            <w:tcW w:w="2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92</w:t>
            </w:r>
          </w:p>
        </w:tc>
        <w:tc>
          <w:tcPr>
            <w:tcW w:w="16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136</w:t>
            </w:r>
          </w:p>
        </w:tc>
        <w:tc>
          <w:tcPr>
            <w:tcW w:w="16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92</w:t>
            </w:r>
          </w:p>
        </w:tc>
        <w:tc>
          <w:tcPr>
            <w:tcW w:w="16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23"/>
        </w:trPr>
        <w:tc>
          <w:tcPr>
            <w:tcW w:w="4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Earnings (loss) before income taxes</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44,641</w:t>
            </w: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(57,236)</w:t>
            </w: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99,759</w:t>
            </w: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(47,776)</w:t>
            </w:r>
          </w:p>
        </w:tc>
        <w:tc>
          <w:tcPr>
            <w:tcW w:w="0" w:type="dxa"/>
            <w:vAlign w:val="bottom"/>
          </w:tcPr>
          <w:p>
            <w:pPr>
              <w:spacing w:after="0"/>
              <w:rPr>
                <w:sz w:val="1"/>
                <w:szCs w:val="1"/>
                <w:color w:val="auto"/>
              </w:rPr>
            </w:pPr>
          </w:p>
        </w:tc>
      </w:tr>
      <w:tr>
        <w:trPr>
          <w:trHeight w:val="230"/>
        </w:trPr>
        <w:tc>
          <w:tcPr>
            <w:tcW w:w="4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Income tax provision (benefit)</w:t>
            </w:r>
          </w:p>
        </w:tc>
        <w:tc>
          <w:tcPr>
            <w:tcW w:w="2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7,040</w:t>
            </w:r>
          </w:p>
        </w:tc>
        <w:tc>
          <w:tcPr>
            <w:tcW w:w="16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(13,403)</w:t>
            </w:r>
          </w:p>
        </w:tc>
        <w:tc>
          <w:tcPr>
            <w:tcW w:w="16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18,726</w:t>
            </w:r>
          </w:p>
        </w:tc>
        <w:tc>
          <w:tcPr>
            <w:tcW w:w="16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(13,685)</w:t>
            </w:r>
          </w:p>
        </w:tc>
        <w:tc>
          <w:tcPr>
            <w:tcW w:w="0" w:type="dxa"/>
            <w:vAlign w:val="bottom"/>
          </w:tcPr>
          <w:p>
            <w:pPr>
              <w:spacing w:after="0"/>
              <w:rPr>
                <w:sz w:val="1"/>
                <w:szCs w:val="1"/>
                <w:color w:val="auto"/>
              </w:rPr>
            </w:pPr>
          </w:p>
        </w:tc>
      </w:tr>
      <w:tr>
        <w:trPr>
          <w:trHeight w:val="248"/>
        </w:trPr>
        <w:tc>
          <w:tcPr>
            <w:tcW w:w="4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37,601</w:t>
            </w:r>
          </w:p>
        </w:tc>
        <w:tc>
          <w:tcPr>
            <w:tcW w:w="1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(43,833)</w:t>
            </w:r>
          </w:p>
        </w:tc>
        <w:tc>
          <w:tcPr>
            <w:tcW w:w="1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81,033</w:t>
            </w:r>
          </w:p>
        </w:tc>
        <w:tc>
          <w:tcPr>
            <w:tcW w:w="1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(34,091)</w:t>
            </w:r>
          </w:p>
        </w:tc>
        <w:tc>
          <w:tcPr>
            <w:tcW w:w="0" w:type="dxa"/>
            <w:vAlign w:val="bottom"/>
          </w:tcPr>
          <w:p>
            <w:pPr>
              <w:spacing w:after="0"/>
              <w:rPr>
                <w:sz w:val="1"/>
                <w:szCs w:val="1"/>
                <w:color w:val="auto"/>
              </w:rPr>
            </w:pP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43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9"/>
        </w:trPr>
        <w:tc>
          <w:tcPr>
            <w:tcW w:w="43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data:</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60" w:type="dxa"/>
            <w:vAlign w:val="bottom"/>
          </w:tcPr>
          <w:p>
            <w:pPr>
              <w:ind w:left="20"/>
              <w:spacing w:after="0"/>
              <w:rPr>
                <w:sz w:val="20"/>
                <w:szCs w:val="20"/>
                <w:color w:val="auto"/>
              </w:rPr>
            </w:pPr>
            <w:r>
              <w:rPr>
                <w:rFonts w:ascii="Arial" w:cs="Arial" w:eastAsia="Arial" w:hAnsi="Arial"/>
                <w:sz w:val="18"/>
                <w:szCs w:val="18"/>
                <w:color w:val="auto"/>
              </w:rPr>
              <w:t>Number of stores open at end of period</w:t>
            </w:r>
          </w:p>
        </w:tc>
        <w:tc>
          <w:tcPr>
            <w:tcW w:w="240" w:type="dxa"/>
            <w:vAlign w:val="bottom"/>
          </w:tcPr>
          <w:p>
            <w:pPr>
              <w:spacing w:after="0"/>
              <w:rPr>
                <w:sz w:val="19"/>
                <w:szCs w:val="19"/>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1,249</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1,184</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1,249</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1,184</w:t>
            </w:r>
          </w:p>
        </w:tc>
        <w:tc>
          <w:tcPr>
            <w:tcW w:w="0" w:type="dxa"/>
            <w:vAlign w:val="bottom"/>
          </w:tcPr>
          <w:p>
            <w:pPr>
              <w:spacing w:after="0"/>
              <w:rPr>
                <w:sz w:val="1"/>
                <w:szCs w:val="1"/>
                <w:color w:val="auto"/>
              </w:rPr>
            </w:pPr>
          </w:p>
        </w:tc>
      </w:tr>
      <w:tr>
        <w:trPr>
          <w:trHeight w:val="230"/>
        </w:trPr>
        <w:tc>
          <w:tcPr>
            <w:tcW w:w="4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New stores opened during the period</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20</w:t>
            </w: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17</w:t>
            </w: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45</w:t>
            </w: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30"/>
        </w:trPr>
        <w:tc>
          <w:tcPr>
            <w:tcW w:w="4360" w:type="dxa"/>
            <w:vAlign w:val="bottom"/>
          </w:tcPr>
          <w:p>
            <w:pPr>
              <w:ind w:left="20"/>
              <w:spacing w:after="0"/>
              <w:rPr>
                <w:sz w:val="20"/>
                <w:szCs w:val="20"/>
                <w:color w:val="auto"/>
              </w:rPr>
            </w:pPr>
            <w:r>
              <w:rPr>
                <w:rFonts w:ascii="Arial" w:cs="Arial" w:eastAsia="Arial" w:hAnsi="Arial"/>
                <w:sz w:val="18"/>
                <w:szCs w:val="18"/>
                <w:color w:val="auto"/>
              </w:rPr>
              <w:t>Adjusted Operating Income</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65,581</w:t>
            </w:r>
          </w:p>
        </w:tc>
        <w:tc>
          <w:tcPr>
            <w:tcW w:w="16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(34,427)</w:t>
            </w:r>
          </w:p>
        </w:tc>
        <w:tc>
          <w:tcPr>
            <w:tcW w:w="16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133,249</w:t>
            </w:r>
          </w:p>
        </w:tc>
        <w:tc>
          <w:tcPr>
            <w:tcW w:w="16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3,638</w:t>
            </w:r>
          </w:p>
        </w:tc>
        <w:tc>
          <w:tcPr>
            <w:tcW w:w="0" w:type="dxa"/>
            <w:vAlign w:val="bottom"/>
          </w:tcPr>
          <w:p>
            <w:pPr>
              <w:spacing w:after="0"/>
              <w:rPr>
                <w:sz w:val="1"/>
                <w:szCs w:val="1"/>
                <w:color w:val="auto"/>
              </w:rPr>
            </w:pPr>
          </w:p>
        </w:tc>
      </w:tr>
      <w:tr>
        <w:trPr>
          <w:trHeight w:val="229"/>
        </w:trPr>
        <w:tc>
          <w:tcPr>
            <w:tcW w:w="4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Diluted EPS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0.42</w:t>
            </w: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(0.55)</w:t>
            </w: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0.89</w:t>
            </w: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(0.42)</w:t>
            </w:r>
          </w:p>
        </w:tc>
        <w:tc>
          <w:tcPr>
            <w:tcW w:w="0" w:type="dxa"/>
            <w:vAlign w:val="bottom"/>
          </w:tcPr>
          <w:p>
            <w:pPr>
              <w:spacing w:after="0"/>
              <w:rPr>
                <w:sz w:val="1"/>
                <w:szCs w:val="1"/>
                <w:color w:val="auto"/>
              </w:rPr>
            </w:pPr>
          </w:p>
        </w:tc>
      </w:tr>
      <w:tr>
        <w:trPr>
          <w:trHeight w:val="230"/>
        </w:trPr>
        <w:tc>
          <w:tcPr>
            <w:tcW w:w="4360" w:type="dxa"/>
            <w:vAlign w:val="bottom"/>
          </w:tcPr>
          <w:p>
            <w:pPr>
              <w:ind w:left="20"/>
              <w:spacing w:after="0"/>
              <w:rPr>
                <w:sz w:val="20"/>
                <w:szCs w:val="20"/>
                <w:color w:val="auto"/>
              </w:rPr>
            </w:pPr>
            <w:r>
              <w:rPr>
                <w:rFonts w:ascii="Arial" w:cs="Arial" w:eastAsia="Arial" w:hAnsi="Arial"/>
                <w:sz w:val="18"/>
                <w:szCs w:val="18"/>
                <w:color w:val="auto"/>
              </w:rPr>
              <w:t>Adjusted Diluted EPS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0.48</w:t>
            </w:r>
          </w:p>
        </w:tc>
        <w:tc>
          <w:tcPr>
            <w:tcW w:w="16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(0.41)</w:t>
            </w:r>
          </w:p>
        </w:tc>
        <w:tc>
          <w:tcPr>
            <w:tcW w:w="16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0.97</w:t>
            </w:r>
          </w:p>
        </w:tc>
        <w:tc>
          <w:tcPr>
            <w:tcW w:w="16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(0.13)</w:t>
            </w:r>
          </w:p>
        </w:tc>
        <w:tc>
          <w:tcPr>
            <w:tcW w:w="0" w:type="dxa"/>
            <w:vAlign w:val="bottom"/>
          </w:tcPr>
          <w:p>
            <w:pPr>
              <w:spacing w:after="0"/>
              <w:rPr>
                <w:sz w:val="1"/>
                <w:szCs w:val="1"/>
                <w:color w:val="auto"/>
              </w:rPr>
            </w:pPr>
          </w:p>
        </w:tc>
      </w:tr>
      <w:tr>
        <w:trPr>
          <w:trHeight w:val="230"/>
        </w:trPr>
        <w:tc>
          <w:tcPr>
            <w:tcW w:w="4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Adjusted EBITDA</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87,735</w:t>
            </w: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(14,354)</w:t>
            </w: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177,085</w:t>
            </w: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46,670</w:t>
            </w:r>
          </w:p>
        </w:tc>
        <w:tc>
          <w:tcPr>
            <w:tcW w:w="0" w:type="dxa"/>
            <w:vAlign w:val="bottom"/>
          </w:tcPr>
          <w:p>
            <w:pPr>
              <w:spacing w:after="0"/>
              <w:rPr>
                <w:sz w:val="1"/>
                <w:szCs w:val="1"/>
                <w:color w:val="auto"/>
              </w:rPr>
            </w:pPr>
          </w:p>
        </w:tc>
      </w:tr>
      <w:tr>
        <w:trPr>
          <w:trHeight w:val="702"/>
        </w:trPr>
        <w:tc>
          <w:tcPr>
            <w:tcW w:w="4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43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Percentage of net revenue:</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60" w:type="dxa"/>
            <w:vAlign w:val="bottom"/>
          </w:tcPr>
          <w:p>
            <w:pPr>
              <w:ind w:left="20"/>
              <w:spacing w:after="0"/>
              <w:rPr>
                <w:sz w:val="20"/>
                <w:szCs w:val="20"/>
                <w:color w:val="auto"/>
              </w:rPr>
            </w:pPr>
            <w:r>
              <w:rPr>
                <w:rFonts w:ascii="Arial" w:cs="Arial" w:eastAsia="Arial" w:hAnsi="Arial"/>
                <w:sz w:val="18"/>
                <w:szCs w:val="18"/>
                <w:color w:val="auto"/>
              </w:rPr>
              <w:t>Total costs applicable to revenue</w:t>
            </w: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42.9 %</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54.1 %</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42.5 %</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49.2 %</w:t>
            </w:r>
          </w:p>
        </w:tc>
        <w:tc>
          <w:tcPr>
            <w:tcW w:w="0" w:type="dxa"/>
            <w:vAlign w:val="bottom"/>
          </w:tcPr>
          <w:p>
            <w:pPr>
              <w:spacing w:after="0"/>
              <w:rPr>
                <w:sz w:val="1"/>
                <w:szCs w:val="1"/>
                <w:color w:val="auto"/>
              </w:rPr>
            </w:pPr>
          </w:p>
        </w:tc>
      </w:tr>
      <w:tr>
        <w:trPr>
          <w:trHeight w:val="230"/>
        </w:trPr>
        <w:tc>
          <w:tcPr>
            <w:tcW w:w="4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42.6 %</w:t>
            </w: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52.5 %</w:t>
            </w: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42.2 %</w:t>
            </w: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45.3 %</w:t>
            </w:r>
          </w:p>
        </w:tc>
        <w:tc>
          <w:tcPr>
            <w:tcW w:w="0" w:type="dxa"/>
            <w:vAlign w:val="bottom"/>
          </w:tcPr>
          <w:p>
            <w:pPr>
              <w:spacing w:after="0"/>
              <w:rPr>
                <w:sz w:val="1"/>
                <w:szCs w:val="1"/>
                <w:color w:val="auto"/>
              </w:rPr>
            </w:pPr>
          </w:p>
        </w:tc>
      </w:tr>
      <w:tr>
        <w:trPr>
          <w:trHeight w:val="230"/>
        </w:trPr>
        <w:tc>
          <w:tcPr>
            <w:tcW w:w="4360" w:type="dxa"/>
            <w:vAlign w:val="bottom"/>
          </w:tcPr>
          <w:p>
            <w:pPr>
              <w:ind w:left="20"/>
              <w:spacing w:after="0"/>
              <w:rPr>
                <w:sz w:val="20"/>
                <w:szCs w:val="20"/>
                <w:color w:val="auto"/>
              </w:rPr>
            </w:pPr>
            <w:r>
              <w:rPr>
                <w:rFonts w:ascii="Arial" w:cs="Arial" w:eastAsia="Arial" w:hAnsi="Arial"/>
                <w:sz w:val="18"/>
                <w:szCs w:val="18"/>
                <w:color w:val="auto"/>
              </w:rPr>
              <w:t>Total operating expenses</w:t>
            </w: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47.1 %</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61.9 %</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46.8 %</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54.1 %</w:t>
            </w:r>
          </w:p>
        </w:tc>
        <w:tc>
          <w:tcPr>
            <w:tcW w:w="0" w:type="dxa"/>
            <w:vAlign w:val="bottom"/>
          </w:tcPr>
          <w:p>
            <w:pPr>
              <w:spacing w:after="0"/>
              <w:rPr>
                <w:sz w:val="1"/>
                <w:szCs w:val="1"/>
                <w:color w:val="auto"/>
              </w:rPr>
            </w:pPr>
          </w:p>
        </w:tc>
      </w:tr>
      <w:tr>
        <w:trPr>
          <w:trHeight w:val="229"/>
        </w:trPr>
        <w:tc>
          <w:tcPr>
            <w:tcW w:w="4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(loss) from operations</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10.7 %</w:t>
            </w: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30"/>
        </w:trPr>
        <w:tc>
          <w:tcPr>
            <w:tcW w:w="4360" w:type="dxa"/>
            <w:vAlign w:val="bottom"/>
          </w:tcPr>
          <w:p>
            <w:pPr>
              <w:ind w:left="20"/>
              <w:spacing w:after="0"/>
              <w:rPr>
                <w:sz w:val="20"/>
                <w:szCs w:val="20"/>
                <w:color w:val="auto"/>
              </w:rPr>
            </w:pPr>
            <w:r>
              <w:rPr>
                <w:rFonts w:ascii="Arial" w:cs="Arial" w:eastAsia="Arial" w:hAnsi="Arial"/>
                <w:sz w:val="18"/>
                <w:szCs w:val="18"/>
                <w:color w:val="auto"/>
              </w:rPr>
              <w:t>Net income (loss)</w:t>
            </w: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6.8 %</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(16.9)%</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7.5 %</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30"/>
        </w:trPr>
        <w:tc>
          <w:tcPr>
            <w:tcW w:w="4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Adjusted Operating Income</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11.9 %</w:t>
            </w: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12.3 %</w:t>
            </w: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0.5 %</w:t>
            </w:r>
          </w:p>
        </w:tc>
        <w:tc>
          <w:tcPr>
            <w:tcW w:w="0" w:type="dxa"/>
            <w:vAlign w:val="bottom"/>
          </w:tcPr>
          <w:p>
            <w:pPr>
              <w:spacing w:after="0"/>
              <w:rPr>
                <w:sz w:val="1"/>
                <w:szCs w:val="1"/>
                <w:color w:val="auto"/>
              </w:rPr>
            </w:pPr>
          </w:p>
        </w:tc>
      </w:tr>
      <w:tr>
        <w:trPr>
          <w:trHeight w:val="230"/>
        </w:trPr>
        <w:tc>
          <w:tcPr>
            <w:tcW w:w="4360" w:type="dxa"/>
            <w:vAlign w:val="bottom"/>
          </w:tcPr>
          <w:p>
            <w:pPr>
              <w:ind w:left="20"/>
              <w:spacing w:after="0"/>
              <w:rPr>
                <w:sz w:val="20"/>
                <w:szCs w:val="20"/>
                <w:color w:val="auto"/>
              </w:rPr>
            </w:pPr>
            <w:r>
              <w:rPr>
                <w:rFonts w:ascii="Arial" w:cs="Arial" w:eastAsia="Arial" w:hAnsi="Arial"/>
                <w:sz w:val="18"/>
                <w:szCs w:val="18"/>
                <w:color w:val="auto"/>
              </w:rPr>
              <w:t>Adjusted EBITDA</w:t>
            </w: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16.0 %</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(5.5)%</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16.3 %</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6.4 %</w:t>
            </w:r>
          </w:p>
        </w:tc>
        <w:tc>
          <w:tcPr>
            <w:tcW w:w="0" w:type="dxa"/>
            <w:vAlign w:val="bottom"/>
          </w:tcPr>
          <w:p>
            <w:pPr>
              <w:spacing w:after="0"/>
              <w:rPr>
                <w:sz w:val="1"/>
                <w:szCs w:val="1"/>
                <w:color w:val="auto"/>
              </w:rPr>
            </w:pPr>
          </w:p>
        </w:tc>
      </w:tr>
      <w:tr>
        <w:trPr>
          <w:trHeight w:val="742"/>
        </w:trPr>
        <w:tc>
          <w:tcPr>
            <w:tcW w:w="4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tcPr>
          <w:p>
            <w:pPr>
              <w:jc w:val="right"/>
              <w:ind w:right="130"/>
              <w:spacing w:after="0"/>
              <w:rPr>
                <w:sz w:val="20"/>
                <w:szCs w:val="20"/>
                <w:color w:val="auto"/>
              </w:rPr>
            </w:pPr>
            <w:r>
              <w:rPr>
                <w:rFonts w:ascii="Arial" w:cs="Arial" w:eastAsia="Arial" w:hAnsi="Arial"/>
                <w:sz w:val="18"/>
                <w:szCs w:val="18"/>
                <w:color w:val="auto"/>
              </w:rPr>
              <w:t>30</w:t>
            </w: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3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4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4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0" w:name="page31"/>
    <w:bookmarkEnd w:id="3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July 3, 2021 compared to Three Months Ended June 27, 2020</w:t>
      </w:r>
    </w:p>
    <w:p>
      <w:pPr>
        <w:spacing w:after="0" w:line="12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As a result of the COVID-19 pandemic, our retail stores were temporarily closed to the public beginning on March 19, 2020. We began reopening our stores to the public on April 27, 2020, and on June 8, 2020, we announced the successful completion of the reopening process. Comparisons of current year results to prior year results reflect the material and unprecedented impact of these temporary store closures.</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revenue</w:t>
      </w:r>
    </w:p>
    <w:p>
      <w:pPr>
        <w:spacing w:after="0" w:line="11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presents, by segment and by brand, comparable store sales growth, stores open at the end of the period and net revenue for the three months ended July 3, 2021 compared to the three months ended June 27, 2020.</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20" w:type="dxa"/>
            <w:vAlign w:val="bottom"/>
            <w:gridSpan w:val="4"/>
          </w:tcPr>
          <w:p>
            <w:pPr>
              <w:ind w:left="140"/>
              <w:spacing w:after="0"/>
              <w:rPr>
                <w:sz w:val="20"/>
                <w:szCs w:val="20"/>
                <w:color w:val="auto"/>
              </w:rPr>
            </w:pPr>
            <w:r>
              <w:rPr>
                <w:rFonts w:ascii="Arial" w:cs="Arial" w:eastAsia="Arial" w:hAnsi="Arial"/>
                <w:sz w:val="14"/>
                <w:szCs w:val="14"/>
                <w:b w:val="1"/>
                <w:bCs w:val="1"/>
                <w:color w:val="auto"/>
              </w:rPr>
              <w:t>Comparable store sales growth</w:t>
            </w:r>
            <w:r>
              <w:rPr>
                <w:rFonts w:ascii="Arial" w:cs="Arial" w:eastAsia="Arial" w:hAnsi="Arial"/>
                <w:sz w:val="18"/>
                <w:szCs w:val="18"/>
                <w:b w:val="1"/>
                <w:bCs w:val="1"/>
                <w:color w:val="auto"/>
                <w:vertAlign w:val="superscript"/>
              </w:rPr>
              <w:t>(1)</w:t>
            </w:r>
          </w:p>
        </w:tc>
        <w:tc>
          <w:tcPr>
            <w:tcW w:w="2120" w:type="dxa"/>
            <w:vAlign w:val="bottom"/>
            <w:gridSpan w:val="4"/>
          </w:tcPr>
          <w:p>
            <w:pPr>
              <w:ind w:left="140"/>
              <w:spacing w:after="0"/>
              <w:rPr>
                <w:sz w:val="20"/>
                <w:szCs w:val="20"/>
                <w:color w:val="auto"/>
              </w:rPr>
            </w:pPr>
            <w:r>
              <w:rPr>
                <w:rFonts w:ascii="Arial" w:cs="Arial" w:eastAsia="Arial" w:hAnsi="Arial"/>
                <w:sz w:val="14"/>
                <w:szCs w:val="14"/>
                <w:b w:val="1"/>
                <w:bCs w:val="1"/>
                <w:color w:val="auto"/>
              </w:rPr>
              <w:t>Stores open at end of period</w:t>
            </w:r>
          </w:p>
        </w:tc>
        <w:tc>
          <w:tcPr>
            <w:tcW w:w="2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180" w:type="dxa"/>
            <w:vAlign w:val="bottom"/>
            <w:gridSpan w:val="4"/>
          </w:tcPr>
          <w:p>
            <w:pPr>
              <w:jc w:val="right"/>
              <w:ind w:right="1001"/>
              <w:spacing w:after="0"/>
              <w:rPr>
                <w:sz w:val="20"/>
                <w:szCs w:val="20"/>
                <w:color w:val="auto"/>
              </w:rPr>
            </w:pPr>
            <w:r>
              <w:rPr>
                <w:rFonts w:ascii="Arial" w:cs="Arial" w:eastAsia="Arial" w:hAnsi="Arial"/>
                <w:sz w:val="14"/>
                <w:szCs w:val="14"/>
                <w:b w:val="1"/>
                <w:bCs w:val="1"/>
                <w:color w:val="auto"/>
              </w:rPr>
              <w:t>Net revenue</w:t>
            </w:r>
            <w:r>
              <w:rPr>
                <w:rFonts w:ascii="Arial" w:cs="Arial" w:eastAsia="Arial" w:hAnsi="Arial"/>
                <w:sz w:val="18"/>
                <w:szCs w:val="18"/>
                <w:b w:val="1"/>
                <w:bCs w:val="1"/>
                <w:color w:val="auto"/>
                <w:vertAlign w:val="superscript"/>
              </w:rPr>
              <w:t>(2)</w:t>
            </w: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8"/>
        </w:trPr>
        <w:tc>
          <w:tcPr>
            <w:tcW w:w="2520" w:type="dxa"/>
            <w:vAlign w:val="bottom"/>
            <w:gridSpan w:val="2"/>
            <w:vMerge w:val="restart"/>
          </w:tcPr>
          <w:p>
            <w:pPr>
              <w:ind w:left="20"/>
              <w:spacing w:after="0"/>
              <w:rPr>
                <w:sz w:val="20"/>
                <w:szCs w:val="20"/>
                <w:color w:val="auto"/>
              </w:rPr>
            </w:pPr>
            <w:r>
              <w:rPr>
                <w:rFonts w:ascii="Arial" w:cs="Arial" w:eastAsia="Arial" w:hAnsi="Arial"/>
                <w:sz w:val="14"/>
                <w:szCs w:val="14"/>
                <w:i w:val="1"/>
                <w:iCs w:val="1"/>
                <w:color w:val="auto"/>
              </w:rPr>
              <w:t>In thousands, except percentage and</w:t>
            </w:r>
          </w:p>
        </w:tc>
        <w:tc>
          <w:tcPr>
            <w:tcW w:w="1220" w:type="dxa"/>
            <w:vAlign w:val="bottom"/>
            <w:tcBorders>
              <w:top w:val="single" w:sz="8" w:color="auto"/>
            </w:tcBorders>
            <w:gridSpan w:val="2"/>
          </w:tcPr>
          <w:p>
            <w:pPr>
              <w:jc w:val="center"/>
              <w:ind w:right="140"/>
              <w:spacing w:after="0" w:line="129" w:lineRule="exact"/>
              <w:rPr>
                <w:sz w:val="20"/>
                <w:szCs w:val="20"/>
                <w:color w:val="auto"/>
              </w:rPr>
            </w:pPr>
            <w:r>
              <w:rPr>
                <w:rFonts w:ascii="Arial" w:cs="Arial" w:eastAsia="Arial" w:hAnsi="Arial"/>
                <w:sz w:val="14"/>
                <w:szCs w:val="14"/>
                <w:b w:val="1"/>
                <w:bCs w:val="1"/>
                <w:color w:val="auto"/>
                <w:w w:val="95"/>
              </w:rPr>
              <w:t>Three Months</w:t>
            </w:r>
          </w:p>
        </w:tc>
        <w:tc>
          <w:tcPr>
            <w:tcW w:w="108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5"/>
              </w:rPr>
              <w:t>Three Months</w:t>
            </w:r>
          </w:p>
        </w:tc>
        <w:tc>
          <w:tcPr>
            <w:tcW w:w="120" w:type="dxa"/>
            <w:vAlign w:val="bottom"/>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920" w:type="dxa"/>
            <w:vAlign w:val="bottom"/>
            <w:tcBorders>
              <w:top w:val="single" w:sz="8" w:color="auto"/>
            </w:tcBorders>
            <w:gridSpan w:val="3"/>
            <w:vMerge w:val="restart"/>
          </w:tcPr>
          <w:p>
            <w:pPr>
              <w:ind w:left="120"/>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Borders>
              <w:top w:val="single" w:sz="8" w:color="auto"/>
            </w:tcBorders>
          </w:tcPr>
          <w:p>
            <w:pPr>
              <w:spacing w:after="0"/>
              <w:rPr>
                <w:sz w:val="11"/>
                <w:szCs w:val="11"/>
                <w:color w:val="auto"/>
              </w:rPr>
            </w:pPr>
          </w:p>
        </w:tc>
        <w:tc>
          <w:tcPr>
            <w:tcW w:w="1800" w:type="dxa"/>
            <w:vAlign w:val="bottom"/>
            <w:tcBorders>
              <w:top w:val="single" w:sz="8" w:color="auto"/>
            </w:tcBorders>
            <w:gridSpan w:val="2"/>
            <w:vMerge w:val="restart"/>
          </w:tcPr>
          <w:p>
            <w:pPr>
              <w:jc w:val="right"/>
              <w:ind w:right="279"/>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35"/>
        </w:trPr>
        <w:tc>
          <w:tcPr>
            <w:tcW w:w="2520" w:type="dxa"/>
            <w:vAlign w:val="bottom"/>
            <w:gridSpan w:val="2"/>
            <w:vMerge w:val="continue"/>
          </w:tcPr>
          <w:p>
            <w:pPr>
              <w:spacing w:after="0"/>
              <w:rPr>
                <w:sz w:val="11"/>
                <w:szCs w:val="11"/>
                <w:color w:val="auto"/>
              </w:rPr>
            </w:pPr>
          </w:p>
        </w:tc>
        <w:tc>
          <w:tcPr>
            <w:tcW w:w="1220" w:type="dxa"/>
            <w:vAlign w:val="bottom"/>
            <w:gridSpan w:val="2"/>
          </w:tcPr>
          <w:p>
            <w:pPr>
              <w:jc w:val="center"/>
              <w:ind w:right="140"/>
              <w:spacing w:after="0" w:line="135" w:lineRule="exact"/>
              <w:rPr>
                <w:sz w:val="20"/>
                <w:szCs w:val="20"/>
                <w:color w:val="auto"/>
              </w:rPr>
            </w:pPr>
            <w:r>
              <w:rPr>
                <w:rFonts w:ascii="Arial" w:cs="Arial" w:eastAsia="Arial" w:hAnsi="Arial"/>
                <w:sz w:val="14"/>
                <w:szCs w:val="14"/>
                <w:b w:val="1"/>
                <w:bCs w:val="1"/>
                <w:color w:val="auto"/>
                <w:w w:val="93"/>
              </w:rPr>
              <w:t>Ended</w:t>
            </w:r>
          </w:p>
        </w:tc>
        <w:tc>
          <w:tcPr>
            <w:tcW w:w="120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93"/>
              </w:rPr>
              <w:t>Ended</w:t>
            </w:r>
          </w:p>
        </w:tc>
        <w:tc>
          <w:tcPr>
            <w:tcW w:w="10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July 3, 2021</w:t>
            </w:r>
          </w:p>
        </w:tc>
        <w:tc>
          <w:tcPr>
            <w:tcW w:w="10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June 27, 2020</w:t>
            </w:r>
          </w:p>
        </w:tc>
        <w:tc>
          <w:tcPr>
            <w:tcW w:w="240" w:type="dxa"/>
            <w:vAlign w:val="bottom"/>
          </w:tcPr>
          <w:p>
            <w:pPr>
              <w:spacing w:after="0"/>
              <w:rPr>
                <w:sz w:val="11"/>
                <w:szCs w:val="11"/>
                <w:color w:val="auto"/>
              </w:rPr>
            </w:pPr>
          </w:p>
        </w:tc>
        <w:tc>
          <w:tcPr>
            <w:tcW w:w="1920" w:type="dxa"/>
            <w:vAlign w:val="bottom"/>
            <w:gridSpan w:val="3"/>
            <w:vMerge w:val="continue"/>
          </w:tcPr>
          <w:p>
            <w:pPr>
              <w:spacing w:after="0"/>
              <w:rPr>
                <w:sz w:val="11"/>
                <w:szCs w:val="11"/>
                <w:color w:val="auto"/>
              </w:rPr>
            </w:pPr>
          </w:p>
        </w:tc>
        <w:tc>
          <w:tcPr>
            <w:tcW w:w="220" w:type="dxa"/>
            <w:vAlign w:val="bottom"/>
          </w:tcPr>
          <w:p>
            <w:pPr>
              <w:spacing w:after="0"/>
              <w:rPr>
                <w:sz w:val="11"/>
                <w:szCs w:val="11"/>
                <w:color w:val="auto"/>
              </w:rPr>
            </w:pPr>
          </w:p>
        </w:tc>
        <w:tc>
          <w:tcPr>
            <w:tcW w:w="180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2520" w:type="dxa"/>
            <w:vAlign w:val="bottom"/>
            <w:gridSpan w:val="2"/>
          </w:tcPr>
          <w:p>
            <w:pPr>
              <w:ind w:left="20"/>
              <w:spacing w:after="0"/>
              <w:rPr>
                <w:sz w:val="20"/>
                <w:szCs w:val="20"/>
                <w:color w:val="auto"/>
              </w:rPr>
            </w:pPr>
            <w:r>
              <w:rPr>
                <w:rFonts w:ascii="Arial" w:cs="Arial" w:eastAsia="Arial" w:hAnsi="Arial"/>
                <w:sz w:val="14"/>
                <w:szCs w:val="14"/>
                <w:i w:val="1"/>
                <w:iCs w:val="1"/>
                <w:color w:val="auto"/>
              </w:rPr>
              <w:t>store data</w:t>
            </w:r>
          </w:p>
        </w:tc>
        <w:tc>
          <w:tcPr>
            <w:tcW w:w="12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July 3, 2021</w:t>
            </w:r>
          </w:p>
        </w:tc>
        <w:tc>
          <w:tcPr>
            <w:tcW w:w="12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June 27, 2020</w:t>
            </w:r>
          </w:p>
        </w:tc>
        <w:tc>
          <w:tcPr>
            <w:tcW w:w="1060" w:type="dxa"/>
            <w:vAlign w:val="bottom"/>
            <w:gridSpan w:val="2"/>
            <w:vMerge w:val="continue"/>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b w:val="1"/>
                <w:bCs w:val="1"/>
                <w:color w:val="auto"/>
              </w:rPr>
              <w:t>July 3, 2021</w:t>
            </w: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b w:val="1"/>
                <w:bCs w:val="1"/>
                <w:color w:val="auto"/>
              </w:rPr>
              <w:t>June 27, 2020</w:t>
            </w: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24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Owned &amp; Host segment</w:t>
            </w:r>
          </w:p>
        </w:tc>
        <w:tc>
          <w:tcPr>
            <w:tcW w:w="1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520" w:type="dxa"/>
            <w:vAlign w:val="bottom"/>
            <w:gridSpan w:val="2"/>
          </w:tcPr>
          <w:p>
            <w:pPr>
              <w:ind w:left="20"/>
              <w:spacing w:after="0"/>
              <w:rPr>
                <w:sz w:val="20"/>
                <w:szCs w:val="20"/>
                <w:color w:val="auto"/>
              </w:rPr>
            </w:pPr>
            <w:r>
              <w:rPr>
                <w:rFonts w:ascii="Arial" w:cs="Arial" w:eastAsia="Arial" w:hAnsi="Arial"/>
                <w:sz w:val="16"/>
                <w:szCs w:val="16"/>
                <w:color w:val="auto"/>
              </w:rPr>
              <w:t>America’s Best</w:t>
            </w:r>
          </w:p>
        </w:tc>
        <w:tc>
          <w:tcPr>
            <w:tcW w:w="1100" w:type="dxa"/>
            <w:vAlign w:val="bottom"/>
          </w:tcPr>
          <w:p>
            <w:pPr>
              <w:jc w:val="right"/>
              <w:spacing w:after="0"/>
              <w:rPr>
                <w:sz w:val="20"/>
                <w:szCs w:val="20"/>
                <w:color w:val="auto"/>
              </w:rPr>
            </w:pPr>
            <w:r>
              <w:rPr>
                <w:rFonts w:ascii="Arial" w:cs="Arial" w:eastAsia="Arial" w:hAnsi="Arial"/>
                <w:sz w:val="16"/>
                <w:szCs w:val="16"/>
                <w:color w:val="auto"/>
              </w:rPr>
              <w:t>81.8 %</w:t>
            </w: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(37.1)%</w:t>
            </w: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813</w:t>
            </w: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752</w:t>
            </w:r>
          </w:p>
        </w:tc>
        <w:tc>
          <w:tcPr>
            <w:tcW w:w="12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441"/>
              <w:spacing w:after="0"/>
              <w:rPr>
                <w:sz w:val="20"/>
                <w:szCs w:val="20"/>
                <w:color w:val="auto"/>
              </w:rPr>
            </w:pPr>
            <w:r>
              <w:rPr>
                <w:rFonts w:ascii="Arial" w:cs="Arial" w:eastAsia="Arial" w:hAnsi="Arial"/>
                <w:sz w:val="16"/>
                <w:szCs w:val="16"/>
                <w:color w:val="auto"/>
              </w:rPr>
              <w:t>372,846</w:t>
            </w:r>
          </w:p>
        </w:tc>
        <w:tc>
          <w:tcPr>
            <w:tcW w:w="620" w:type="dxa"/>
            <w:vAlign w:val="bottom"/>
          </w:tcPr>
          <w:p>
            <w:pPr>
              <w:jc w:val="right"/>
              <w:spacing w:after="0"/>
              <w:rPr>
                <w:sz w:val="20"/>
                <w:szCs w:val="20"/>
                <w:color w:val="auto"/>
              </w:rPr>
            </w:pPr>
            <w:r>
              <w:rPr>
                <w:rFonts w:ascii="Arial" w:cs="Arial" w:eastAsia="Arial" w:hAnsi="Arial"/>
                <w:sz w:val="16"/>
                <w:szCs w:val="16"/>
                <w:color w:val="auto"/>
              </w:rPr>
              <w:t>67.9 %</w:t>
            </w:r>
          </w:p>
        </w:tc>
        <w:tc>
          <w:tcPr>
            <w:tcW w:w="12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401"/>
              <w:spacing w:after="0"/>
              <w:rPr>
                <w:sz w:val="20"/>
                <w:szCs w:val="20"/>
                <w:color w:val="auto"/>
              </w:rPr>
            </w:pPr>
            <w:r>
              <w:rPr>
                <w:rFonts w:ascii="Arial" w:cs="Arial" w:eastAsia="Arial" w:hAnsi="Arial"/>
                <w:sz w:val="16"/>
                <w:szCs w:val="16"/>
                <w:color w:val="auto"/>
              </w:rPr>
              <w:t>176,196</w:t>
            </w:r>
          </w:p>
        </w:tc>
        <w:tc>
          <w:tcPr>
            <w:tcW w:w="580" w:type="dxa"/>
            <w:vAlign w:val="bottom"/>
          </w:tcPr>
          <w:p>
            <w:pPr>
              <w:jc w:val="right"/>
              <w:spacing w:after="0"/>
              <w:rPr>
                <w:sz w:val="20"/>
                <w:szCs w:val="20"/>
                <w:color w:val="auto"/>
              </w:rPr>
            </w:pPr>
            <w:r>
              <w:rPr>
                <w:rFonts w:ascii="Arial" w:cs="Arial" w:eastAsia="Arial" w:hAnsi="Arial"/>
                <w:sz w:val="16"/>
                <w:szCs w:val="16"/>
                <w:color w:val="auto"/>
              </w:rPr>
              <w:t>67.8 %</w:t>
            </w:r>
          </w:p>
        </w:tc>
        <w:tc>
          <w:tcPr>
            <w:tcW w:w="0" w:type="dxa"/>
            <w:vAlign w:val="bottom"/>
          </w:tcPr>
          <w:p>
            <w:pPr>
              <w:spacing w:after="0"/>
              <w:rPr>
                <w:sz w:val="1"/>
                <w:szCs w:val="1"/>
                <w:color w:val="auto"/>
              </w:rPr>
            </w:pPr>
          </w:p>
        </w:tc>
      </w:tr>
      <w:tr>
        <w:trPr>
          <w:trHeight w:val="219"/>
        </w:trPr>
        <w:tc>
          <w:tcPr>
            <w:tcW w:w="25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Eyeglass World</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67.6 %</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(31.6)%</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441"/>
              <w:spacing w:after="0"/>
              <w:rPr>
                <w:sz w:val="20"/>
                <w:szCs w:val="20"/>
                <w:color w:val="auto"/>
              </w:rPr>
            </w:pPr>
            <w:r>
              <w:rPr>
                <w:rFonts w:ascii="Arial" w:cs="Arial" w:eastAsia="Arial" w:hAnsi="Arial"/>
                <w:sz w:val="16"/>
                <w:szCs w:val="16"/>
                <w:color w:val="auto"/>
              </w:rPr>
              <w:t>58,061</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10.6 %</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401"/>
              <w:spacing w:after="0"/>
              <w:rPr>
                <w:sz w:val="20"/>
                <w:szCs w:val="20"/>
                <w:color w:val="auto"/>
              </w:rPr>
            </w:pPr>
            <w:r>
              <w:rPr>
                <w:rFonts w:ascii="Arial" w:cs="Arial" w:eastAsia="Arial" w:hAnsi="Arial"/>
                <w:sz w:val="16"/>
                <w:szCs w:val="16"/>
                <w:color w:val="auto"/>
              </w:rPr>
              <w:t>30,357</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11.7 %</w:t>
            </w:r>
          </w:p>
        </w:tc>
        <w:tc>
          <w:tcPr>
            <w:tcW w:w="0" w:type="dxa"/>
            <w:vAlign w:val="bottom"/>
          </w:tcPr>
          <w:p>
            <w:pPr>
              <w:spacing w:after="0"/>
              <w:rPr>
                <w:sz w:val="1"/>
                <w:szCs w:val="1"/>
                <w:color w:val="auto"/>
              </w:rPr>
            </w:pPr>
          </w:p>
        </w:tc>
      </w:tr>
      <w:tr>
        <w:trPr>
          <w:trHeight w:val="213"/>
        </w:trPr>
        <w:tc>
          <w:tcPr>
            <w:tcW w:w="2520" w:type="dxa"/>
            <w:vAlign w:val="bottom"/>
            <w:gridSpan w:val="2"/>
          </w:tcPr>
          <w:p>
            <w:pPr>
              <w:ind w:left="20"/>
              <w:spacing w:after="0"/>
              <w:rPr>
                <w:sz w:val="20"/>
                <w:szCs w:val="20"/>
                <w:color w:val="auto"/>
              </w:rPr>
            </w:pPr>
            <w:r>
              <w:rPr>
                <w:rFonts w:ascii="Arial" w:cs="Arial" w:eastAsia="Arial" w:hAnsi="Arial"/>
                <w:sz w:val="16"/>
                <w:szCs w:val="16"/>
                <w:color w:val="auto"/>
              </w:rPr>
              <w:t>Military</w:t>
            </w:r>
          </w:p>
        </w:tc>
        <w:tc>
          <w:tcPr>
            <w:tcW w:w="1100" w:type="dxa"/>
            <w:vAlign w:val="bottom"/>
          </w:tcPr>
          <w:p>
            <w:pPr>
              <w:jc w:val="right"/>
              <w:spacing w:after="0"/>
              <w:rPr>
                <w:sz w:val="20"/>
                <w:szCs w:val="20"/>
                <w:color w:val="auto"/>
              </w:rPr>
            </w:pPr>
            <w:r>
              <w:rPr>
                <w:rFonts w:ascii="Arial" w:cs="Arial" w:eastAsia="Arial" w:hAnsi="Arial"/>
                <w:sz w:val="16"/>
                <w:szCs w:val="16"/>
                <w:color w:val="auto"/>
              </w:rPr>
              <w:t>65.0 %</w:t>
            </w: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(44.6)%</w:t>
            </w: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54</w:t>
            </w: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jc w:val="right"/>
              <w:ind w:right="441"/>
              <w:spacing w:after="0"/>
              <w:rPr>
                <w:sz w:val="20"/>
                <w:szCs w:val="20"/>
                <w:color w:val="auto"/>
              </w:rPr>
            </w:pPr>
            <w:r>
              <w:rPr>
                <w:rFonts w:ascii="Arial" w:cs="Arial" w:eastAsia="Arial" w:hAnsi="Arial"/>
                <w:sz w:val="16"/>
                <w:szCs w:val="16"/>
                <w:color w:val="auto"/>
              </w:rPr>
              <w:t>6,007</w:t>
            </w:r>
          </w:p>
        </w:tc>
        <w:tc>
          <w:tcPr>
            <w:tcW w:w="620" w:type="dxa"/>
            <w:vAlign w:val="bottom"/>
          </w:tcPr>
          <w:p>
            <w:pPr>
              <w:jc w:val="right"/>
              <w:spacing w:after="0"/>
              <w:rPr>
                <w:sz w:val="20"/>
                <w:szCs w:val="20"/>
                <w:color w:val="auto"/>
              </w:rPr>
            </w:pPr>
            <w:r>
              <w:rPr>
                <w:rFonts w:ascii="Arial" w:cs="Arial" w:eastAsia="Arial" w:hAnsi="Arial"/>
                <w:sz w:val="16"/>
                <w:szCs w:val="16"/>
                <w:color w:val="auto"/>
              </w:rPr>
              <w:t>1.1 %</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right"/>
              <w:ind w:right="401"/>
              <w:spacing w:after="0"/>
              <w:rPr>
                <w:sz w:val="20"/>
                <w:szCs w:val="20"/>
                <w:color w:val="auto"/>
              </w:rPr>
            </w:pPr>
            <w:r>
              <w:rPr>
                <w:rFonts w:ascii="Arial" w:cs="Arial" w:eastAsia="Arial" w:hAnsi="Arial"/>
                <w:sz w:val="16"/>
                <w:szCs w:val="16"/>
                <w:color w:val="auto"/>
              </w:rPr>
              <w:t>3,328</w:t>
            </w:r>
          </w:p>
        </w:tc>
        <w:tc>
          <w:tcPr>
            <w:tcW w:w="580" w:type="dxa"/>
            <w:vAlign w:val="bottom"/>
          </w:tcPr>
          <w:p>
            <w:pPr>
              <w:jc w:val="right"/>
              <w:spacing w:after="0"/>
              <w:rPr>
                <w:sz w:val="20"/>
                <w:szCs w:val="20"/>
                <w:color w:val="auto"/>
              </w:rPr>
            </w:pPr>
            <w:r>
              <w:rPr>
                <w:rFonts w:ascii="Arial" w:cs="Arial" w:eastAsia="Arial" w:hAnsi="Arial"/>
                <w:sz w:val="16"/>
                <w:szCs w:val="16"/>
                <w:color w:val="auto"/>
              </w:rPr>
              <w:t>1.3 %</w:t>
            </w:r>
          </w:p>
        </w:tc>
        <w:tc>
          <w:tcPr>
            <w:tcW w:w="0" w:type="dxa"/>
            <w:vAlign w:val="bottom"/>
          </w:tcPr>
          <w:p>
            <w:pPr>
              <w:spacing w:after="0"/>
              <w:rPr>
                <w:sz w:val="1"/>
                <w:szCs w:val="1"/>
                <w:color w:val="auto"/>
              </w:rPr>
            </w:pPr>
          </w:p>
        </w:tc>
      </w:tr>
      <w:tr>
        <w:trPr>
          <w:trHeight w:val="219"/>
        </w:trPr>
        <w:tc>
          <w:tcPr>
            <w:tcW w:w="25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Fred Meyer</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61.1 %</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(48.6)%</w:t>
            </w:r>
          </w:p>
        </w:tc>
        <w:tc>
          <w:tcPr>
            <w:tcW w:w="120" w:type="dxa"/>
            <w:vAlign w:val="bottom"/>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120" w:type="dxa"/>
            <w:vAlign w:val="bottom"/>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441"/>
              <w:spacing w:after="0"/>
              <w:rPr>
                <w:sz w:val="20"/>
                <w:szCs w:val="20"/>
                <w:color w:val="auto"/>
              </w:rPr>
            </w:pPr>
            <w:r>
              <w:rPr>
                <w:rFonts w:ascii="Arial" w:cs="Arial" w:eastAsia="Arial" w:hAnsi="Arial"/>
                <w:sz w:val="16"/>
                <w:szCs w:val="16"/>
                <w:color w:val="auto"/>
              </w:rPr>
              <w:t>3,243</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0.6 %</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401"/>
              <w:spacing w:after="0"/>
              <w:rPr>
                <w:sz w:val="20"/>
                <w:szCs w:val="20"/>
                <w:color w:val="auto"/>
              </w:rPr>
            </w:pPr>
            <w:r>
              <w:rPr>
                <w:rFonts w:ascii="Arial" w:cs="Arial" w:eastAsia="Arial" w:hAnsi="Arial"/>
                <w:sz w:val="16"/>
                <w:szCs w:val="16"/>
                <w:color w:val="auto"/>
              </w:rPr>
              <w:t>1,824</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0.7 %</w:t>
            </w:r>
          </w:p>
        </w:tc>
        <w:tc>
          <w:tcPr>
            <w:tcW w:w="0" w:type="dxa"/>
            <w:vAlign w:val="bottom"/>
          </w:tcPr>
          <w:p>
            <w:pPr>
              <w:spacing w:after="0"/>
              <w:rPr>
                <w:sz w:val="1"/>
                <w:szCs w:val="1"/>
                <w:color w:val="auto"/>
              </w:rPr>
            </w:pPr>
          </w:p>
        </w:tc>
      </w:tr>
      <w:tr>
        <w:trPr>
          <w:trHeight w:val="206"/>
        </w:trPr>
        <w:tc>
          <w:tcPr>
            <w:tcW w:w="2520" w:type="dxa"/>
            <w:vAlign w:val="bottom"/>
            <w:gridSpan w:val="2"/>
          </w:tcPr>
          <w:p>
            <w:pPr>
              <w:ind w:left="20"/>
              <w:spacing w:after="0"/>
              <w:rPr>
                <w:sz w:val="20"/>
                <w:szCs w:val="20"/>
                <w:color w:val="auto"/>
              </w:rPr>
            </w:pPr>
            <w:r>
              <w:rPr>
                <w:rFonts w:ascii="Arial" w:cs="Arial" w:eastAsia="Arial" w:hAnsi="Arial"/>
                <w:sz w:val="16"/>
                <w:szCs w:val="16"/>
                <w:color w:val="auto"/>
              </w:rPr>
              <w:t>Owned &amp; Host segment total</w:t>
            </w: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1,019</w:t>
            </w:r>
          </w:p>
        </w:tc>
        <w:tc>
          <w:tcPr>
            <w:tcW w:w="1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953</w:t>
            </w:r>
          </w:p>
        </w:tc>
        <w:tc>
          <w:tcPr>
            <w:tcW w:w="120" w:type="dxa"/>
            <w:vAlign w:val="bottom"/>
          </w:tcPr>
          <w:p>
            <w:pPr>
              <w:spacing w:after="0"/>
              <w:rPr>
                <w:sz w:val="17"/>
                <w:szCs w:val="17"/>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441"/>
              <w:spacing w:after="0"/>
              <w:rPr>
                <w:sz w:val="20"/>
                <w:szCs w:val="20"/>
                <w:color w:val="auto"/>
              </w:rPr>
            </w:pPr>
            <w:r>
              <w:rPr>
                <w:rFonts w:ascii="Arial" w:cs="Arial" w:eastAsia="Arial" w:hAnsi="Arial"/>
                <w:sz w:val="16"/>
                <w:szCs w:val="16"/>
                <w:color w:val="auto"/>
              </w:rPr>
              <w:t>440,157</w:t>
            </w:r>
          </w:p>
        </w:tc>
        <w:tc>
          <w:tcPr>
            <w:tcW w:w="620" w:type="dxa"/>
            <w:vAlign w:val="bottom"/>
          </w:tcPr>
          <w:p>
            <w:pPr>
              <w:jc w:val="right"/>
              <w:spacing w:after="0"/>
              <w:rPr>
                <w:sz w:val="20"/>
                <w:szCs w:val="20"/>
                <w:color w:val="auto"/>
              </w:rPr>
            </w:pPr>
            <w:r>
              <w:rPr>
                <w:rFonts w:ascii="Arial" w:cs="Arial" w:eastAsia="Arial" w:hAnsi="Arial"/>
                <w:sz w:val="16"/>
                <w:szCs w:val="16"/>
                <w:color w:val="auto"/>
              </w:rPr>
              <w:t>80.1 %</w:t>
            </w:r>
          </w:p>
        </w:tc>
        <w:tc>
          <w:tcPr>
            <w:tcW w:w="120" w:type="dxa"/>
            <w:vAlign w:val="bottom"/>
          </w:tcPr>
          <w:p>
            <w:pPr>
              <w:spacing w:after="0"/>
              <w:rPr>
                <w:sz w:val="17"/>
                <w:szCs w:val="17"/>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401"/>
              <w:spacing w:after="0"/>
              <w:rPr>
                <w:sz w:val="20"/>
                <w:szCs w:val="20"/>
                <w:color w:val="auto"/>
              </w:rPr>
            </w:pPr>
            <w:r>
              <w:rPr>
                <w:rFonts w:ascii="Arial" w:cs="Arial" w:eastAsia="Arial" w:hAnsi="Arial"/>
                <w:sz w:val="16"/>
                <w:szCs w:val="16"/>
                <w:color w:val="auto"/>
              </w:rPr>
              <w:t>211,705</w:t>
            </w:r>
          </w:p>
        </w:tc>
        <w:tc>
          <w:tcPr>
            <w:tcW w:w="580" w:type="dxa"/>
            <w:vAlign w:val="bottom"/>
          </w:tcPr>
          <w:p>
            <w:pPr>
              <w:jc w:val="right"/>
              <w:spacing w:after="0"/>
              <w:rPr>
                <w:sz w:val="20"/>
                <w:szCs w:val="20"/>
                <w:color w:val="auto"/>
              </w:rPr>
            </w:pPr>
            <w:r>
              <w:rPr>
                <w:rFonts w:ascii="Arial" w:cs="Arial" w:eastAsia="Arial" w:hAnsi="Arial"/>
                <w:sz w:val="16"/>
                <w:szCs w:val="16"/>
                <w:color w:val="auto"/>
              </w:rPr>
              <w:t>81.4 %</w:t>
            </w:r>
          </w:p>
        </w:tc>
        <w:tc>
          <w:tcPr>
            <w:tcW w:w="0" w:type="dxa"/>
            <w:vAlign w:val="bottom"/>
          </w:tcPr>
          <w:p>
            <w:pPr>
              <w:spacing w:after="0"/>
              <w:rPr>
                <w:sz w:val="1"/>
                <w:szCs w:val="1"/>
                <w:color w:val="auto"/>
              </w:rPr>
            </w:pPr>
          </w:p>
        </w:tc>
      </w:tr>
      <w:tr>
        <w:trPr>
          <w:trHeight w:val="219"/>
        </w:trPr>
        <w:tc>
          <w:tcPr>
            <w:tcW w:w="252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Legacy segment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58.2 %</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(35.8)%</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230</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441"/>
              <w:spacing w:after="0"/>
              <w:rPr>
                <w:sz w:val="20"/>
                <w:szCs w:val="20"/>
                <w:color w:val="auto"/>
              </w:rPr>
            </w:pPr>
            <w:r>
              <w:rPr>
                <w:rFonts w:ascii="Arial" w:cs="Arial" w:eastAsia="Arial" w:hAnsi="Arial"/>
                <w:sz w:val="16"/>
                <w:szCs w:val="16"/>
                <w:color w:val="auto"/>
              </w:rPr>
              <w:t>43,600</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7.9 %</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401"/>
              <w:spacing w:after="0"/>
              <w:rPr>
                <w:sz w:val="20"/>
                <w:szCs w:val="20"/>
                <w:color w:val="auto"/>
              </w:rPr>
            </w:pPr>
            <w:r>
              <w:rPr>
                <w:rFonts w:ascii="Arial" w:cs="Arial" w:eastAsia="Arial" w:hAnsi="Arial"/>
                <w:sz w:val="16"/>
                <w:szCs w:val="16"/>
                <w:color w:val="auto"/>
              </w:rPr>
              <w:t>25,413</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9.8 %</w:t>
            </w:r>
          </w:p>
        </w:tc>
        <w:tc>
          <w:tcPr>
            <w:tcW w:w="0" w:type="dxa"/>
            <w:vAlign w:val="bottom"/>
          </w:tcPr>
          <w:p>
            <w:pPr>
              <w:spacing w:after="0"/>
              <w:rPr>
                <w:sz w:val="1"/>
                <w:szCs w:val="1"/>
                <w:color w:val="auto"/>
              </w:rPr>
            </w:pPr>
          </w:p>
        </w:tc>
      </w:tr>
      <w:tr>
        <w:trPr>
          <w:trHeight w:val="213"/>
        </w:trPr>
        <w:tc>
          <w:tcPr>
            <w:tcW w:w="2520" w:type="dxa"/>
            <w:vAlign w:val="bottom"/>
            <w:gridSpan w:val="2"/>
          </w:tcPr>
          <w:p>
            <w:pPr>
              <w:ind w:left="20"/>
              <w:spacing w:after="0"/>
              <w:rPr>
                <w:sz w:val="20"/>
                <w:szCs w:val="20"/>
                <w:color w:val="auto"/>
              </w:rPr>
            </w:pPr>
            <w:r>
              <w:rPr>
                <w:rFonts w:ascii="Arial" w:cs="Arial" w:eastAsia="Arial" w:hAnsi="Arial"/>
                <w:sz w:val="16"/>
                <w:szCs w:val="16"/>
                <w:b w:val="1"/>
                <w:bCs w:val="1"/>
                <w:color w:val="auto"/>
              </w:rPr>
              <w:t>Corporate/Other</w:t>
            </w:r>
          </w:p>
        </w:tc>
        <w:tc>
          <w:tcPr>
            <w:tcW w:w="1220" w:type="dxa"/>
            <w:vAlign w:val="bottom"/>
            <w:gridSpan w:val="2"/>
          </w:tcPr>
          <w:p>
            <w:pPr>
              <w:jc w:val="right"/>
              <w:ind w:right="140"/>
              <w:spacing w:after="0"/>
              <w:rPr>
                <w:sz w:val="20"/>
                <w:szCs w:val="20"/>
                <w:color w:val="auto"/>
              </w:rPr>
            </w:pPr>
            <w:r>
              <w:rPr>
                <w:rFonts w:ascii="Arial" w:cs="Arial" w:eastAsia="Arial" w:hAnsi="Arial"/>
                <w:sz w:val="16"/>
                <w:szCs w:val="16"/>
                <w:color w:val="auto"/>
              </w:rPr>
              <w:t>— %</w:t>
            </w:r>
          </w:p>
        </w:tc>
        <w:tc>
          <w:tcPr>
            <w:tcW w:w="1200" w:type="dxa"/>
            <w:vAlign w:val="bottom"/>
            <w:gridSpan w:val="2"/>
          </w:tcPr>
          <w:p>
            <w:pPr>
              <w:jc w:val="right"/>
              <w:ind w:right="140"/>
              <w:spacing w:after="0"/>
              <w:rPr>
                <w:sz w:val="20"/>
                <w:szCs w:val="20"/>
                <w:color w:val="auto"/>
              </w:rPr>
            </w:pPr>
            <w:r>
              <w:rPr>
                <w:rFonts w:ascii="Arial" w:cs="Arial" w:eastAsia="Arial" w:hAnsi="Arial"/>
                <w:sz w:val="16"/>
                <w:szCs w:val="16"/>
                <w:color w:val="auto"/>
              </w:rPr>
              <w:t>— %</w:t>
            </w:r>
          </w:p>
        </w:tc>
        <w:tc>
          <w:tcPr>
            <w:tcW w:w="10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180" w:type="dxa"/>
            <w:vAlign w:val="bottom"/>
          </w:tcPr>
          <w:p>
            <w:pPr>
              <w:jc w:val="right"/>
              <w:ind w:right="441"/>
              <w:spacing w:after="0"/>
              <w:rPr>
                <w:sz w:val="20"/>
                <w:szCs w:val="20"/>
                <w:color w:val="auto"/>
              </w:rPr>
            </w:pPr>
            <w:r>
              <w:rPr>
                <w:rFonts w:ascii="Arial" w:cs="Arial" w:eastAsia="Arial" w:hAnsi="Arial"/>
                <w:sz w:val="16"/>
                <w:szCs w:val="16"/>
                <w:color w:val="auto"/>
              </w:rPr>
              <w:t>61,520</w:t>
            </w:r>
          </w:p>
        </w:tc>
        <w:tc>
          <w:tcPr>
            <w:tcW w:w="620" w:type="dxa"/>
            <w:vAlign w:val="bottom"/>
          </w:tcPr>
          <w:p>
            <w:pPr>
              <w:jc w:val="right"/>
              <w:spacing w:after="0"/>
              <w:rPr>
                <w:sz w:val="20"/>
                <w:szCs w:val="20"/>
                <w:color w:val="auto"/>
              </w:rPr>
            </w:pPr>
            <w:r>
              <w:rPr>
                <w:rFonts w:ascii="Arial" w:cs="Arial" w:eastAsia="Arial" w:hAnsi="Arial"/>
                <w:sz w:val="16"/>
                <w:szCs w:val="16"/>
                <w:color w:val="auto"/>
              </w:rPr>
              <w:t>11.2 %</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right"/>
              <w:ind w:right="401"/>
              <w:spacing w:after="0"/>
              <w:rPr>
                <w:sz w:val="20"/>
                <w:szCs w:val="20"/>
                <w:color w:val="auto"/>
              </w:rPr>
            </w:pPr>
            <w:r>
              <w:rPr>
                <w:rFonts w:ascii="Arial" w:cs="Arial" w:eastAsia="Arial" w:hAnsi="Arial"/>
                <w:sz w:val="16"/>
                <w:szCs w:val="16"/>
                <w:color w:val="auto"/>
              </w:rPr>
              <w:t>50,472</w:t>
            </w:r>
          </w:p>
        </w:tc>
        <w:tc>
          <w:tcPr>
            <w:tcW w:w="580" w:type="dxa"/>
            <w:vAlign w:val="bottom"/>
          </w:tcPr>
          <w:p>
            <w:pPr>
              <w:jc w:val="right"/>
              <w:spacing w:after="0"/>
              <w:rPr>
                <w:sz w:val="20"/>
                <w:szCs w:val="20"/>
                <w:color w:val="auto"/>
              </w:rPr>
            </w:pPr>
            <w:r>
              <w:rPr>
                <w:rFonts w:ascii="Arial" w:cs="Arial" w:eastAsia="Arial" w:hAnsi="Arial"/>
                <w:sz w:val="16"/>
                <w:szCs w:val="16"/>
                <w:color w:val="auto"/>
              </w:rPr>
              <w:t>19.4 %</w:t>
            </w:r>
          </w:p>
        </w:tc>
        <w:tc>
          <w:tcPr>
            <w:tcW w:w="0" w:type="dxa"/>
            <w:vAlign w:val="bottom"/>
          </w:tcPr>
          <w:p>
            <w:pPr>
              <w:spacing w:after="0"/>
              <w:rPr>
                <w:sz w:val="1"/>
                <w:szCs w:val="1"/>
                <w:color w:val="auto"/>
              </w:rPr>
            </w:pPr>
          </w:p>
        </w:tc>
      </w:tr>
      <w:tr>
        <w:trPr>
          <w:trHeight w:val="216"/>
        </w:trPr>
        <w:tc>
          <w:tcPr>
            <w:tcW w:w="252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Reconciliations</w:t>
            </w: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 %</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 %</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441"/>
              <w:spacing w:after="0"/>
              <w:rPr>
                <w:sz w:val="20"/>
                <w:szCs w:val="20"/>
                <w:color w:val="auto"/>
              </w:rPr>
            </w:pPr>
            <w:r>
              <w:rPr>
                <w:rFonts w:ascii="Arial" w:cs="Arial" w:eastAsia="Arial" w:hAnsi="Arial"/>
                <w:sz w:val="16"/>
                <w:szCs w:val="16"/>
                <w:color w:val="auto"/>
              </w:rPr>
              <w:t>4,212</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0.8 %</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61"/>
              <w:spacing w:after="0"/>
              <w:rPr>
                <w:sz w:val="20"/>
                <w:szCs w:val="20"/>
                <w:color w:val="auto"/>
              </w:rPr>
            </w:pPr>
            <w:r>
              <w:rPr>
                <w:rFonts w:ascii="Arial" w:cs="Arial" w:eastAsia="Arial" w:hAnsi="Arial"/>
                <w:sz w:val="16"/>
                <w:szCs w:val="16"/>
                <w:color w:val="auto"/>
              </w:rPr>
              <w:t>(27,583)</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6"/>
              </w:rPr>
              <w:t>(10.6)%</w:t>
            </w:r>
          </w:p>
        </w:tc>
        <w:tc>
          <w:tcPr>
            <w:tcW w:w="0" w:type="dxa"/>
            <w:vAlign w:val="bottom"/>
          </w:tcPr>
          <w:p>
            <w:pPr>
              <w:spacing w:after="0"/>
              <w:rPr>
                <w:sz w:val="1"/>
                <w:szCs w:val="1"/>
                <w:color w:val="auto"/>
              </w:rPr>
            </w:pPr>
          </w:p>
        </w:tc>
      </w:tr>
      <w:tr>
        <w:trPr>
          <w:trHeight w:val="212"/>
        </w:trPr>
        <w:tc>
          <w:tcPr>
            <w:tcW w:w="2520" w:type="dxa"/>
            <w:vAlign w:val="bottom"/>
            <w:gridSpan w:val="2"/>
          </w:tcPr>
          <w:p>
            <w:pPr>
              <w:ind w:left="20"/>
              <w:spacing w:after="0"/>
              <w:rPr>
                <w:sz w:val="20"/>
                <w:szCs w:val="20"/>
                <w:color w:val="auto"/>
              </w:rPr>
            </w:pPr>
            <w:r>
              <w:rPr>
                <w:rFonts w:ascii="Arial" w:cs="Arial" w:eastAsia="Arial" w:hAnsi="Arial"/>
                <w:sz w:val="16"/>
                <w:szCs w:val="16"/>
                <w:color w:val="auto"/>
              </w:rPr>
              <w:t>Total</w:t>
            </w:r>
          </w:p>
        </w:tc>
        <w:tc>
          <w:tcPr>
            <w:tcW w:w="1100" w:type="dxa"/>
            <w:vAlign w:val="bottom"/>
          </w:tcPr>
          <w:p>
            <w:pPr>
              <w:jc w:val="right"/>
              <w:spacing w:after="0"/>
              <w:rPr>
                <w:sz w:val="20"/>
                <w:szCs w:val="20"/>
                <w:color w:val="auto"/>
              </w:rPr>
            </w:pPr>
            <w:r>
              <w:rPr>
                <w:rFonts w:ascii="Arial" w:cs="Arial" w:eastAsia="Arial" w:hAnsi="Arial"/>
                <w:sz w:val="16"/>
                <w:szCs w:val="16"/>
                <w:color w:val="auto"/>
              </w:rPr>
              <w:t>99.1 %</w:t>
            </w: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(44.7)%</w:t>
            </w:r>
          </w:p>
        </w:tc>
        <w:tc>
          <w:tcPr>
            <w:tcW w:w="120" w:type="dxa"/>
            <w:vAlign w:val="bottom"/>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1,249</w:t>
            </w:r>
          </w:p>
        </w:tc>
        <w:tc>
          <w:tcPr>
            <w:tcW w:w="120" w:type="dxa"/>
            <w:vAlign w:val="bottom"/>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1,184</w:t>
            </w:r>
          </w:p>
        </w:tc>
        <w:tc>
          <w:tcPr>
            <w:tcW w:w="12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bottom w:val="single" w:sz="8" w:color="auto"/>
            </w:tcBorders>
          </w:tcPr>
          <w:p>
            <w:pPr>
              <w:jc w:val="right"/>
              <w:ind w:right="441"/>
              <w:spacing w:after="0"/>
              <w:rPr>
                <w:sz w:val="20"/>
                <w:szCs w:val="20"/>
                <w:color w:val="auto"/>
              </w:rPr>
            </w:pPr>
            <w:r>
              <w:rPr>
                <w:rFonts w:ascii="Arial" w:cs="Arial" w:eastAsia="Arial" w:hAnsi="Arial"/>
                <w:sz w:val="16"/>
                <w:szCs w:val="16"/>
                <w:color w:val="auto"/>
              </w:rPr>
              <w:t>549,489</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98"/>
              </w:rPr>
              <w:t>100.0 %</w:t>
            </w:r>
          </w:p>
        </w:tc>
        <w:tc>
          <w:tcPr>
            <w:tcW w:w="12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bottom w:val="single" w:sz="8" w:color="auto"/>
            </w:tcBorders>
          </w:tcPr>
          <w:p>
            <w:pPr>
              <w:jc w:val="right"/>
              <w:ind w:right="401"/>
              <w:spacing w:after="0"/>
              <w:rPr>
                <w:sz w:val="20"/>
                <w:szCs w:val="20"/>
                <w:color w:val="auto"/>
              </w:rPr>
            </w:pPr>
            <w:r>
              <w:rPr>
                <w:rFonts w:ascii="Arial" w:cs="Arial" w:eastAsia="Arial" w:hAnsi="Arial"/>
                <w:sz w:val="16"/>
                <w:szCs w:val="16"/>
                <w:color w:val="auto"/>
              </w:rPr>
              <w:t>260,007</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91"/>
              </w:rPr>
              <w:t>100.0 %</w:t>
            </w:r>
          </w:p>
        </w:tc>
        <w:tc>
          <w:tcPr>
            <w:tcW w:w="0" w:type="dxa"/>
            <w:vAlign w:val="bottom"/>
          </w:tcPr>
          <w:p>
            <w:pPr>
              <w:spacing w:after="0"/>
              <w:rPr>
                <w:sz w:val="1"/>
                <w:szCs w:val="1"/>
                <w:color w:val="auto"/>
              </w:rPr>
            </w:pPr>
          </w:p>
        </w:tc>
      </w:tr>
      <w:tr>
        <w:trPr>
          <w:trHeight w:val="20"/>
        </w:trPr>
        <w:tc>
          <w:tcPr>
            <w:tcW w:w="24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2520" w:type="dxa"/>
            <w:vAlign w:val="bottom"/>
            <w:gridSpan w:val="2"/>
            <w:shd w:val="clear" w:color="auto" w:fill="CCEEFF"/>
          </w:tcPr>
          <w:p>
            <w:pPr>
              <w:ind w:left="20"/>
              <w:spacing w:after="0" w:line="133" w:lineRule="exact"/>
              <w:rPr>
                <w:sz w:val="20"/>
                <w:szCs w:val="20"/>
                <w:color w:val="auto"/>
              </w:rPr>
            </w:pPr>
            <w:r>
              <w:rPr>
                <w:rFonts w:ascii="Arial" w:cs="Arial" w:eastAsia="Arial" w:hAnsi="Arial"/>
                <w:sz w:val="15"/>
                <w:szCs w:val="15"/>
                <w:color w:val="auto"/>
              </w:rPr>
              <w:t>Adjusted Comparable Store Sales</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76.7 %</w:t>
            </w:r>
          </w:p>
        </w:tc>
        <w:tc>
          <w:tcPr>
            <w:tcW w:w="120" w:type="dxa"/>
            <w:vAlign w:val="bottom"/>
            <w:shd w:val="clear" w:color="auto" w:fill="CCEEFF"/>
          </w:tcPr>
          <w:p>
            <w:pPr>
              <w:spacing w:after="0"/>
              <w:rPr>
                <w:sz w:val="11"/>
                <w:szCs w:val="11"/>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(36.5)%</w:t>
            </w:r>
          </w:p>
        </w:tc>
        <w:tc>
          <w:tcPr>
            <w:tcW w:w="1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12"/>
        </w:trPr>
        <w:tc>
          <w:tcPr>
            <w:tcW w:w="2520" w:type="dxa"/>
            <w:vAlign w:val="bottom"/>
            <w:gridSpan w:val="2"/>
            <w:shd w:val="clear" w:color="auto" w:fill="CCEEFF"/>
          </w:tcPr>
          <w:p>
            <w:pPr>
              <w:ind w:left="20"/>
              <w:spacing w:after="0" w:line="213" w:lineRule="exact"/>
              <w:rPr>
                <w:sz w:val="20"/>
                <w:szCs w:val="20"/>
                <w:color w:val="auto"/>
              </w:rPr>
            </w:pPr>
            <w:r>
              <w:rPr>
                <w:rFonts w:ascii="Arial" w:cs="Arial" w:eastAsia="Arial" w:hAnsi="Arial"/>
                <w:sz w:val="16"/>
                <w:szCs w:val="16"/>
                <w:color w:val="auto"/>
              </w:rPr>
              <w:t>Growth</w:t>
            </w:r>
            <w:r>
              <w:rPr>
                <w:rFonts w:ascii="Arial" w:cs="Arial" w:eastAsia="Arial" w:hAnsi="Arial"/>
                <w:sz w:val="21"/>
                <w:szCs w:val="21"/>
                <w:color w:val="auto"/>
                <w:vertAlign w:val="superscript"/>
              </w:rPr>
              <w:t>(3)</w:t>
            </w:r>
          </w:p>
        </w:tc>
        <w:tc>
          <w:tcPr>
            <w:tcW w:w="11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ind w:left="660" w:right="660" w:hanging="328"/>
        <w:spacing w:after="0" w:line="263" w:lineRule="auto"/>
        <w:tabs>
          <w:tab w:leader="none" w:pos="652" w:val="left"/>
        </w:tabs>
        <w:numPr>
          <w:ilvl w:val="0"/>
          <w:numId w:val="15"/>
        </w:numPr>
        <w:rPr>
          <w:rFonts w:ascii="Arial" w:cs="Arial" w:eastAsia="Arial" w:hAnsi="Arial"/>
          <w:sz w:val="13"/>
          <w:szCs w:val="13"/>
          <w:color w:val="auto"/>
        </w:rPr>
      </w:pPr>
      <w:r>
        <w:rPr>
          <w:rFonts w:ascii="Arial" w:cs="Arial" w:eastAsia="Arial" w:hAnsi="Arial"/>
          <w:sz w:val="13"/>
          <w:szCs w:val="13"/>
          <w:color w:val="auto"/>
        </w:rPr>
        <w:t>We calculate total comparable store sales based on consolidated net revenue excluding the impact of (i) Corporate/Other segment net revenue, (ii) sales from stores opened less than 13 months, (iii) stores closed in the periods presented, (iv) sales from partial months of operation when stores do not open or close on the first day of the month and (v) if applicable, the impact of a 53rd week in a fiscal year. Brand-level comparable store sales growth is calculated based on cash basis revenues consistent with what the CODM reviews, and consistent with reportable segment revenues presented in Note 10. “Segment Reporting” in our unaudited condensed consolidated financial statements included in Part I. Item 1. of this Form 10-Q, with the exception of the Legacy segment, which is adjusted as noted in clause (ii) of footnote (3) below.</w:t>
      </w:r>
    </w:p>
    <w:p>
      <w:pPr>
        <w:spacing w:after="0" w:line="2" w:lineRule="exact"/>
        <w:rPr>
          <w:rFonts w:ascii="Arial" w:cs="Arial" w:eastAsia="Arial" w:hAnsi="Arial"/>
          <w:sz w:val="13"/>
          <w:szCs w:val="13"/>
          <w:color w:val="auto"/>
        </w:rPr>
      </w:pPr>
    </w:p>
    <w:p>
      <w:pPr>
        <w:ind w:left="640" w:hanging="308"/>
        <w:spacing w:after="0"/>
        <w:tabs>
          <w:tab w:leader="none" w:pos="640" w:val="left"/>
        </w:tabs>
        <w:numPr>
          <w:ilvl w:val="0"/>
          <w:numId w:val="15"/>
        </w:numPr>
        <w:rPr>
          <w:rFonts w:ascii="Arial" w:cs="Arial" w:eastAsia="Arial" w:hAnsi="Arial"/>
          <w:sz w:val="14"/>
          <w:szCs w:val="14"/>
          <w:color w:val="auto"/>
        </w:rPr>
      </w:pPr>
      <w:r>
        <w:rPr>
          <w:rFonts w:ascii="Arial" w:cs="Arial" w:eastAsia="Arial" w:hAnsi="Arial"/>
          <w:sz w:val="14"/>
          <w:szCs w:val="14"/>
          <w:color w:val="auto"/>
        </w:rPr>
        <w:t>Percentages reflect line item as a percentage of net revenue, adjusted for rounding.</w:t>
      </w:r>
    </w:p>
    <w:p>
      <w:pPr>
        <w:spacing w:after="0" w:line="1" w:lineRule="exact"/>
        <w:rPr>
          <w:rFonts w:ascii="Arial" w:cs="Arial" w:eastAsia="Arial" w:hAnsi="Arial"/>
          <w:sz w:val="14"/>
          <w:szCs w:val="14"/>
          <w:color w:val="auto"/>
        </w:rPr>
      </w:pPr>
    </w:p>
    <w:p>
      <w:pPr>
        <w:jc w:val="both"/>
        <w:ind w:left="660" w:right="640" w:hanging="328"/>
        <w:spacing w:after="0" w:line="244" w:lineRule="auto"/>
        <w:tabs>
          <w:tab w:leader="none" w:pos="652" w:val="left"/>
        </w:tabs>
        <w:numPr>
          <w:ilvl w:val="0"/>
          <w:numId w:val="15"/>
        </w:numPr>
        <w:rPr>
          <w:rFonts w:ascii="Arial" w:cs="Arial" w:eastAsia="Arial" w:hAnsi="Arial"/>
          <w:sz w:val="14"/>
          <w:szCs w:val="14"/>
          <w:color w:val="auto"/>
        </w:rPr>
      </w:pPr>
      <w:r>
        <w:rPr>
          <w:rFonts w:ascii="Arial" w:cs="Arial" w:eastAsia="Arial" w:hAnsi="Arial"/>
          <w:sz w:val="14"/>
          <w:szCs w:val="14"/>
          <w:color w:val="auto"/>
        </w:rPr>
        <w:t>There are two differences between total comparable store sales growth based on consolidated net revenue and Adjusted Comparable Store Sales Growth: (i) Adjusted Comparable Store Sales Growth includes the effect of deferred and unearned revenue as if such revenues were earned at the point of sale, resulting in a decrease of 21.6% and an increase of 8.1% from total comparable store sales growth based on consolidated net revenue for the three months ended July 3, 2021 and June 27, 2020, respectively, and (ii) Adjusted Comparable Store Sales Growth includes retail sales to the legacy partner’s customers (rather than the revenues recognized consistent with the management &amp; services agreement with the legacy partner), resulting in a decrease of 0.8% and an increase of 0.1% from total comparable store sales growth based on consolidated net revenue for each of the three months ended July 3, 2021 and June 27, 2020.</w:t>
      </w:r>
    </w:p>
    <w:p>
      <w:pPr>
        <w:spacing w:after="0" w:line="9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Total net revenue of $549.5 million for the three months ended July 3, 2021 increased $289.5 million, or 111.3%, from $260.0 million for the three months ended June 27, 2020. This increase was primarily driven by comparable store sales growth from the effect of our stores being temporarily closed to the public in the second quarter of 2020, strong customer demand, government stimulus, and new store growth and maturation. Total net revenue was also positively impacted by changes in unearned revenue.</w:t>
      </w:r>
    </w:p>
    <w:p>
      <w:pPr>
        <w:spacing w:after="0" w:line="7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the three months ended July 3, 2021, we opened 18 America’s Best stores and two Eyeglass World stores and closed one America’s Best store. Overall, store count grew 5.5% from June 27, 2020 to July 3, 2021 (61 and five net new America’s Best and Eyeglass World were added, respectively and one Legacy store was closed). The store count as of June 27, 2020 has been updated from the previously reported number.</w:t>
      </w: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1" w:name="page32"/>
    <w:bookmarkEnd w:id="3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Comparable store sales growth and Adjusted Comparable Store Sales Growth for the three months ended July 3, 2021 were 99.1% and 76.7%, respectively and were primarily driven by the effect of our stores being temporarily closed to the public for a portion of the three months ended June 27, 2020, strong customer demand and government stimulus.</w:t>
      </w:r>
    </w:p>
    <w:p>
      <w:pPr>
        <w:spacing w:after="0" w:line="7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Net product sales comprised 83.4% and 80.7% of total net revenue for the three months ended July 3, 2021 and June 27, 2020, respectively. Net product sales increased $248.5 million, or 118.5%, in the three months ended July 3, 2021 compared to the three months ended June 27, 2020, driven primarily by eyeglass sales and, to a lesser extent, contact lens sales. Net sales of services and plans increased $41.0 million, or 81.5%, driven primarily by eye exam sales.</w:t>
      </w:r>
    </w:p>
    <w:p>
      <w:pPr>
        <w:spacing w:after="0" w:line="79" w:lineRule="exact"/>
        <w:rPr>
          <w:sz w:val="20"/>
          <w:szCs w:val="20"/>
          <w:color w:val="auto"/>
        </w:rPr>
      </w:pPr>
    </w:p>
    <w:p>
      <w:pPr>
        <w:jc w:val="both"/>
        <w:ind w:left="340" w:right="20"/>
        <w:spacing w:after="0" w:line="277" w:lineRule="auto"/>
        <w:rPr>
          <w:sz w:val="20"/>
          <w:szCs w:val="20"/>
          <w:color w:val="auto"/>
        </w:rPr>
      </w:pPr>
      <w:r>
        <w:rPr>
          <w:rFonts w:ascii="Arial" w:cs="Arial" w:eastAsia="Arial" w:hAnsi="Arial"/>
          <w:sz w:val="18"/>
          <w:szCs w:val="18"/>
          <w:i w:val="1"/>
          <w:iCs w:val="1"/>
          <w:color w:val="auto"/>
        </w:rPr>
        <w:t xml:space="preserve">Owned &amp; Host segment net revenue. </w:t>
      </w:r>
      <w:r>
        <w:rPr>
          <w:rFonts w:ascii="Arial" w:cs="Arial" w:eastAsia="Arial" w:hAnsi="Arial"/>
          <w:sz w:val="18"/>
          <w:szCs w:val="18"/>
          <w:color w:val="auto"/>
        </w:rPr>
        <w:t>Net revenue increased $228.5 million, or 107.9%, driven primarily by comparable store sales growth and new</w:t>
      </w:r>
      <w:r>
        <w:rPr>
          <w:rFonts w:ascii="Arial" w:cs="Arial" w:eastAsia="Arial" w:hAnsi="Arial"/>
          <w:sz w:val="18"/>
          <w:szCs w:val="18"/>
          <w:i w:val="1"/>
          <w:iCs w:val="1"/>
          <w:color w:val="auto"/>
        </w:rPr>
        <w:t xml:space="preserve"> </w:t>
      </w:r>
      <w:r>
        <w:rPr>
          <w:rFonts w:ascii="Arial" w:cs="Arial" w:eastAsia="Arial" w:hAnsi="Arial"/>
          <w:sz w:val="18"/>
          <w:szCs w:val="18"/>
          <w:color w:val="auto"/>
        </w:rPr>
        <w:t>store openings.</w:t>
      </w:r>
    </w:p>
    <w:p>
      <w:pPr>
        <w:spacing w:after="0" w:line="62"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i w:val="1"/>
          <w:iCs w:val="1"/>
          <w:color w:val="auto"/>
        </w:rPr>
        <w:t xml:space="preserve">Legacy segment net revenue. </w:t>
      </w:r>
      <w:r>
        <w:rPr>
          <w:rFonts w:ascii="Arial" w:cs="Arial" w:eastAsia="Arial" w:hAnsi="Arial"/>
          <w:sz w:val="18"/>
          <w:szCs w:val="18"/>
          <w:color w:val="auto"/>
        </w:rPr>
        <w:t>Net revenue increased $18.2 million, or 71.6%, driven by comparable store sales growth, as well as increases in fees from</w:t>
      </w:r>
      <w:r>
        <w:rPr>
          <w:rFonts w:ascii="Arial" w:cs="Arial" w:eastAsia="Arial" w:hAnsi="Arial"/>
          <w:sz w:val="18"/>
          <w:szCs w:val="18"/>
          <w:i w:val="1"/>
          <w:iCs w:val="1"/>
          <w:color w:val="auto"/>
        </w:rPr>
        <w:t xml:space="preserve"> </w:t>
      </w:r>
      <w:r>
        <w:rPr>
          <w:rFonts w:ascii="Arial" w:cs="Arial" w:eastAsia="Arial" w:hAnsi="Arial"/>
          <w:sz w:val="18"/>
          <w:szCs w:val="18"/>
          <w:color w:val="auto"/>
        </w:rPr>
        <w:t>our Legacy partner and eye exams.</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7"/>
          <w:szCs w:val="17"/>
          <w:i w:val="1"/>
          <w:iCs w:val="1"/>
          <w:color w:val="auto"/>
        </w:rPr>
        <w:t xml:space="preserve">Corporate/Other segment net revenue. </w:t>
      </w:r>
      <w:r>
        <w:rPr>
          <w:rFonts w:ascii="Arial" w:cs="Arial" w:eastAsia="Arial" w:hAnsi="Arial"/>
          <w:sz w:val="17"/>
          <w:szCs w:val="17"/>
          <w:color w:val="auto"/>
        </w:rPr>
        <w:t>Net revenue increased $11.0 million, or 21.9%, driven primarily by increases in wholesale fulfillment.</w:t>
      </w:r>
    </w:p>
    <w:p>
      <w:pPr>
        <w:spacing w:after="0" w:line="115" w:lineRule="exact"/>
        <w:rPr>
          <w:sz w:val="20"/>
          <w:szCs w:val="20"/>
          <w:color w:val="auto"/>
        </w:rPr>
      </w:pPr>
    </w:p>
    <w:p>
      <w:pPr>
        <w:jc w:val="both"/>
        <w:ind w:left="340"/>
        <w:spacing w:after="0" w:line="258" w:lineRule="auto"/>
        <w:rPr>
          <w:sz w:val="20"/>
          <w:szCs w:val="20"/>
          <w:color w:val="auto"/>
        </w:rPr>
      </w:pPr>
      <w:r>
        <w:rPr>
          <w:rFonts w:ascii="Arial" w:cs="Arial" w:eastAsia="Arial" w:hAnsi="Arial"/>
          <w:sz w:val="16"/>
          <w:szCs w:val="16"/>
          <w:i w:val="1"/>
          <w:iCs w:val="1"/>
          <w:color w:val="auto"/>
        </w:rPr>
        <w:t xml:space="preserve">Net revenue reconciliations. </w:t>
      </w:r>
      <w:r>
        <w:rPr>
          <w:rFonts w:ascii="Arial" w:cs="Arial" w:eastAsia="Arial" w:hAnsi="Arial"/>
          <w:sz w:val="16"/>
          <w:szCs w:val="16"/>
          <w:color w:val="auto"/>
        </w:rPr>
        <w:t>Net revenue was positively impacted by $31.8 million due to the timing of unearned revenue for the three months ended</w:t>
      </w:r>
      <w:r>
        <w:rPr>
          <w:rFonts w:ascii="Arial" w:cs="Arial" w:eastAsia="Arial" w:hAnsi="Arial"/>
          <w:sz w:val="16"/>
          <w:szCs w:val="16"/>
          <w:i w:val="1"/>
          <w:iCs w:val="1"/>
          <w:color w:val="auto"/>
        </w:rPr>
        <w:t xml:space="preserve"> </w:t>
      </w:r>
      <w:r>
        <w:rPr>
          <w:rFonts w:ascii="Arial" w:cs="Arial" w:eastAsia="Arial" w:hAnsi="Arial"/>
          <w:sz w:val="16"/>
          <w:szCs w:val="16"/>
          <w:color w:val="auto"/>
        </w:rPr>
        <w:t>July 3, 2021 compared to the three months ended June 27, 2020. The Company experienced a decrease in unearned revenue of $8.5 million compared to an increase in unearned revenue of $34.4 million for the three months ended July 3, 2021 and June 27, 2020, respectively, as well as an increase in deferred revenue of $4.2 million and a decrease of $6.9 million for the three months ended July 3, 2021 and June 27, 2020, respectively. The decrease in unearned revenue primarily resulted from higher sales at the end of the first quarter of 2021 compared to the prior period in 2020 when stores were temporarily closed to the public. The increase in deferred revenue is due to higher sales of warranties and club memberships.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Costs applicable to revenue</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Costs applicable to revenue of $235.9 million for the three months ended July 3, 2021 increased $95.2 million, or 67.6%, from $140.8 million for the three months ended June 27, 2020. As a percentage of net revenue, costs applicable to revenue decreased from 54.1% for the three months ended June 27, 2020 to 42.9% for the three months ended July 3, 2021. This decrease as a percentage of net revenue was primarily driven by negative margin impacts from the temporary closure of our stores in the prior year that were not experienced in the 2021 period, increased eyeglass mix and lower growth in optometrist costs.</w:t>
      </w:r>
    </w:p>
    <w:p>
      <w:pPr>
        <w:spacing w:after="0" w:line="80"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Costs of products as a percentage of net product sales decreased from 46.6% for the three months ended June 27, 2020 to 36.5% for the three months ended July 3, 2021, primarily driven by impact of the temporary store closures in fiscal year 2020, increased eyeglass mix and higher eyeglass margin.</w:t>
      </w:r>
    </w:p>
    <w:p>
      <w:pPr>
        <w:spacing w:after="0" w:line="16" w:lineRule="exact"/>
        <w:rPr>
          <w:sz w:val="20"/>
          <w:szCs w:val="20"/>
          <w:color w:val="auto"/>
        </w:rPr>
      </w:pPr>
    </w:p>
    <w:p>
      <w:pPr>
        <w:jc w:val="both"/>
        <w:ind w:left="340"/>
        <w:spacing w:after="0" w:line="263" w:lineRule="auto"/>
        <w:rPr>
          <w:sz w:val="20"/>
          <w:szCs w:val="20"/>
          <w:color w:val="auto"/>
        </w:rPr>
      </w:pPr>
      <w:r>
        <w:rPr>
          <w:rFonts w:ascii="Arial" w:cs="Arial" w:eastAsia="Arial" w:hAnsi="Arial"/>
          <w:sz w:val="18"/>
          <w:szCs w:val="18"/>
          <w:i w:val="1"/>
          <w:iCs w:val="1"/>
          <w:color w:val="auto"/>
        </w:rPr>
        <w:t xml:space="preserve">Owned &amp; Host segment costs of products. </w:t>
      </w:r>
      <w:r>
        <w:rPr>
          <w:rFonts w:ascii="Arial" w:cs="Arial" w:eastAsia="Arial" w:hAnsi="Arial"/>
          <w:sz w:val="18"/>
          <w:szCs w:val="18"/>
          <w:color w:val="auto"/>
        </w:rPr>
        <w:t>Costs of products as a percentage of net product sales decreased from 30.9% for the three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June 27, 2020 to 27.3% for the three months ended July 3, 2021. The decrease was primarily driven by the impact of the temporary store closures in fiscal year 2020, increased eyeglass mix and higher eyeglass margin.</w:t>
      </w:r>
    </w:p>
    <w:p>
      <w:pPr>
        <w:spacing w:after="0" w:line="76" w:lineRule="exact"/>
        <w:rPr>
          <w:sz w:val="20"/>
          <w:szCs w:val="20"/>
          <w:color w:val="auto"/>
        </w:rPr>
      </w:pPr>
    </w:p>
    <w:p>
      <w:pPr>
        <w:jc w:val="both"/>
        <w:ind w:left="340"/>
        <w:spacing w:after="0" w:line="291" w:lineRule="auto"/>
        <w:rPr>
          <w:sz w:val="20"/>
          <w:szCs w:val="20"/>
          <w:color w:val="auto"/>
        </w:rPr>
      </w:pPr>
      <w:r>
        <w:rPr>
          <w:rFonts w:ascii="Arial" w:cs="Arial" w:eastAsia="Arial" w:hAnsi="Arial"/>
          <w:sz w:val="16"/>
          <w:szCs w:val="16"/>
          <w:i w:val="1"/>
          <w:iCs w:val="1"/>
          <w:color w:val="auto"/>
        </w:rPr>
        <w:t xml:space="preserve">Legacy segment costs of products. </w:t>
      </w:r>
      <w:r>
        <w:rPr>
          <w:rFonts w:ascii="Arial" w:cs="Arial" w:eastAsia="Arial" w:hAnsi="Arial"/>
          <w:sz w:val="16"/>
          <w:szCs w:val="16"/>
          <w:color w:val="auto"/>
        </w:rPr>
        <w:t>Costs of products as a percentage of net product sales decreased from 55.9% for the three months ended June 27,</w:t>
      </w:r>
      <w:r>
        <w:rPr>
          <w:rFonts w:ascii="Arial" w:cs="Arial" w:eastAsia="Arial" w:hAnsi="Arial"/>
          <w:sz w:val="16"/>
          <w:szCs w:val="16"/>
          <w:i w:val="1"/>
          <w:iCs w:val="1"/>
          <w:color w:val="auto"/>
        </w:rPr>
        <w:t xml:space="preserve"> </w:t>
      </w:r>
      <w:r>
        <w:rPr>
          <w:rFonts w:ascii="Arial" w:cs="Arial" w:eastAsia="Arial" w:hAnsi="Arial"/>
          <w:sz w:val="16"/>
          <w:szCs w:val="16"/>
          <w:color w:val="auto"/>
        </w:rPr>
        <w:t>2020 to 48.1% for the three months ended July 3, 2021. The decrease was primarily driven by the impact of the temporary store closures in fiscal year 2020, increased eyeglass mix and a higher mix of managed care customer transactions versus non-managed care customer transactions. Legacy segment managed care net product revenue is recorded in net product sales while revenue associated with servicing non-managed care customers is recorded in net sales of services and plans. Eyeglass and contact lens product costs for both managed care and non-managed care net revenue are recorded in costs of products. Increases in managed care mix decrease costs of products as a percentage of net product sales and have a corresponding negative impact on costs of services as a percentage of net sales of services and plans in our Legacy segment.</w:t>
      </w:r>
    </w:p>
    <w:p>
      <w:pPr>
        <w:spacing w:after="0" w:line="58"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Costs of services and plans as a percentage of net sales of services and plans decreased from 85.8% for the three months ended June 27, 2020 to 75.5% for the three months ended July 3, 2021. The decrease was primarily driven by the impact of temporary closure of our stores in fiscal year 2020, lower growth in optometrist costs and higher eye exam sales.</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2" w:name="page33"/>
    <w:bookmarkEnd w:id="3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ind w:left="340"/>
        <w:spacing w:after="0" w:line="311" w:lineRule="auto"/>
        <w:rPr>
          <w:sz w:val="20"/>
          <w:szCs w:val="20"/>
          <w:color w:val="auto"/>
        </w:rPr>
      </w:pPr>
      <w:r>
        <w:rPr>
          <w:rFonts w:ascii="Arial" w:cs="Arial" w:eastAsia="Arial" w:hAnsi="Arial"/>
          <w:sz w:val="16"/>
          <w:szCs w:val="16"/>
          <w:i w:val="1"/>
          <w:iCs w:val="1"/>
          <w:color w:val="auto"/>
        </w:rPr>
        <w:t xml:space="preserve">Owned &amp; Host segment costs of services and plans. </w:t>
      </w:r>
      <w:r>
        <w:rPr>
          <w:rFonts w:ascii="Arial" w:cs="Arial" w:eastAsia="Arial" w:hAnsi="Arial"/>
          <w:sz w:val="16"/>
          <w:szCs w:val="16"/>
          <w:color w:val="auto"/>
        </w:rPr>
        <w:t>Costs of services and plans as a percentage of net sales of services and plans in the Owned &amp; Host</w:t>
      </w:r>
      <w:r>
        <w:rPr>
          <w:rFonts w:ascii="Arial" w:cs="Arial" w:eastAsia="Arial" w:hAnsi="Arial"/>
          <w:sz w:val="16"/>
          <w:szCs w:val="16"/>
          <w:i w:val="1"/>
          <w:iCs w:val="1"/>
          <w:color w:val="auto"/>
        </w:rPr>
        <w:t xml:space="preserve"> </w:t>
      </w:r>
      <w:r>
        <w:rPr>
          <w:rFonts w:ascii="Arial" w:cs="Arial" w:eastAsia="Arial" w:hAnsi="Arial"/>
          <w:sz w:val="16"/>
          <w:szCs w:val="16"/>
          <w:color w:val="auto"/>
        </w:rPr>
        <w:t>segment decreased from 112.5% for the three months ended June 27, 2020 to 79.3% for the three months ended July 3, 2021. The decrease was primarily driven by the impact of the temporary store closures in fiscal year 2020, lower growth in optometrist costs and higher eye exam sales.</w:t>
      </w:r>
    </w:p>
    <w:p>
      <w:pPr>
        <w:spacing w:after="0" w:line="41"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i w:val="1"/>
          <w:iCs w:val="1"/>
          <w:color w:val="auto"/>
        </w:rPr>
        <w:t xml:space="preserve">Legacy segment costs of services and plans. </w:t>
      </w:r>
      <w:r>
        <w:rPr>
          <w:rFonts w:ascii="Arial" w:cs="Arial" w:eastAsia="Arial" w:hAnsi="Arial"/>
          <w:sz w:val="18"/>
          <w:szCs w:val="18"/>
          <w:color w:val="auto"/>
        </w:rPr>
        <w:t>Costs of services and plans as a percentage of net sales of services and plans in the Legacy segment</w:t>
      </w:r>
      <w:r>
        <w:rPr>
          <w:rFonts w:ascii="Arial" w:cs="Arial" w:eastAsia="Arial" w:hAnsi="Arial"/>
          <w:sz w:val="18"/>
          <w:szCs w:val="18"/>
          <w:i w:val="1"/>
          <w:iCs w:val="1"/>
          <w:color w:val="auto"/>
        </w:rPr>
        <w:t xml:space="preserve"> </w:t>
      </w:r>
      <w:r>
        <w:rPr>
          <w:rFonts w:ascii="Arial" w:cs="Arial" w:eastAsia="Arial" w:hAnsi="Arial"/>
          <w:sz w:val="18"/>
          <w:szCs w:val="18"/>
          <w:color w:val="auto"/>
        </w:rPr>
        <w:t>decreased from 49.9% for the three months ended June 27, 2020 to 38.6% for the three months ended July 3, 2021. The decrease was primarily driven by the impact of the temporary store closures in fiscal year 2020, lower growth in optometrist costs and higher management fees from our Legacy partner.</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w:t>
      </w:r>
    </w:p>
    <w:p>
      <w:pPr>
        <w:spacing w:after="0" w:line="11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SG&amp;A of $234.2 million for the three months ended July 3, 2021 increased $97.7 million, or 71.5%, from the three months ended June 27, 2020. As a percentage of net revenue, SG&amp;A decreased from 52.5% for the three months ended June 27, 2020 to 42.6% for the three months ended July 3, 2021. The decrease in SG&amp;A as a percentage of net revenue was primarily driven by negative impacts from the temporary closure of our stores in the prior year that were not experienced in the 2021 period which contributed to leverage of store and corporate payroll and occupancy expenses as well as the decrease in unearned revenue, partially offset by higher advertising expenses. SG&amp;A for the three months ended July 3, 2021 and June 27, 2020 includes $0.3 million and $2.5 million, respectively, of incremental costs directly related to adapting the Company’s operations during the COVID-19 pandemic; these costs were not reflected as adjustments for the Company’s presentation of non-GAAP measures below.</w:t>
      </w:r>
    </w:p>
    <w:p>
      <w:pPr>
        <w:spacing w:after="0" w:line="69" w:lineRule="exact"/>
        <w:rPr>
          <w:sz w:val="20"/>
          <w:szCs w:val="20"/>
          <w:color w:val="auto"/>
        </w:rPr>
      </w:pPr>
    </w:p>
    <w:p>
      <w:pPr>
        <w:jc w:val="both"/>
        <w:ind w:left="340"/>
        <w:spacing w:after="0" w:line="263" w:lineRule="auto"/>
        <w:rPr>
          <w:sz w:val="20"/>
          <w:szCs w:val="20"/>
          <w:color w:val="auto"/>
        </w:rPr>
      </w:pPr>
      <w:r>
        <w:rPr>
          <w:rFonts w:ascii="Arial" w:cs="Arial" w:eastAsia="Arial" w:hAnsi="Arial"/>
          <w:sz w:val="18"/>
          <w:szCs w:val="18"/>
          <w:i w:val="1"/>
          <w:iCs w:val="1"/>
          <w:color w:val="auto"/>
        </w:rPr>
        <w:t xml:space="preserve">Owned &amp; Host SG&amp;A. </w:t>
      </w:r>
      <w:r>
        <w:rPr>
          <w:rFonts w:ascii="Arial" w:cs="Arial" w:eastAsia="Arial" w:hAnsi="Arial"/>
          <w:sz w:val="18"/>
          <w:szCs w:val="18"/>
          <w:color w:val="auto"/>
        </w:rPr>
        <w:t>SG&amp;A as a percentage of net revenue decreased from 41.0% for the three months ended June 27, 2020 to 36.1% for the three</w:t>
      </w:r>
      <w:r>
        <w:rPr>
          <w:rFonts w:ascii="Arial" w:cs="Arial" w:eastAsia="Arial" w:hAnsi="Arial"/>
          <w:sz w:val="18"/>
          <w:szCs w:val="18"/>
          <w:i w:val="1"/>
          <w:iCs w:val="1"/>
          <w:color w:val="auto"/>
        </w:rPr>
        <w:t xml:space="preserve"> </w:t>
      </w:r>
      <w:r>
        <w:rPr>
          <w:rFonts w:ascii="Arial" w:cs="Arial" w:eastAsia="Arial" w:hAnsi="Arial"/>
          <w:sz w:val="18"/>
          <w:szCs w:val="18"/>
          <w:color w:val="auto"/>
        </w:rPr>
        <w:t>months ended July 3, 2021, driven primarily by the impact of the temporary store closures in fiscal year 2020 which contributed to a leverage of payroll and occupancy expenses, partially offset by higher advertising expenses.</w:t>
      </w:r>
    </w:p>
    <w:p>
      <w:pPr>
        <w:spacing w:after="0" w:line="76" w:lineRule="exact"/>
        <w:rPr>
          <w:sz w:val="20"/>
          <w:szCs w:val="20"/>
          <w:color w:val="auto"/>
        </w:rPr>
      </w:pPr>
    </w:p>
    <w:p>
      <w:pPr>
        <w:jc w:val="both"/>
        <w:ind w:left="340"/>
        <w:spacing w:after="0" w:line="308" w:lineRule="auto"/>
        <w:rPr>
          <w:sz w:val="20"/>
          <w:szCs w:val="20"/>
          <w:color w:val="auto"/>
        </w:rPr>
      </w:pPr>
      <w:r>
        <w:rPr>
          <w:rFonts w:ascii="Arial" w:cs="Arial" w:eastAsia="Arial" w:hAnsi="Arial"/>
          <w:sz w:val="17"/>
          <w:szCs w:val="17"/>
          <w:i w:val="1"/>
          <w:iCs w:val="1"/>
          <w:color w:val="auto"/>
        </w:rPr>
        <w:t xml:space="preserve">Legacy segment SG&amp;A. </w:t>
      </w:r>
      <w:r>
        <w:rPr>
          <w:rFonts w:ascii="Arial" w:cs="Arial" w:eastAsia="Arial" w:hAnsi="Arial"/>
          <w:sz w:val="17"/>
          <w:szCs w:val="17"/>
          <w:color w:val="auto"/>
        </w:rPr>
        <w:t>SG&amp;A as a percentage of net revenue decreased from 41.6% for the three months ended June 27, 2020 to 33.9% for the three</w:t>
      </w:r>
      <w:r>
        <w:rPr>
          <w:rFonts w:ascii="Arial" w:cs="Arial" w:eastAsia="Arial" w:hAnsi="Arial"/>
          <w:sz w:val="17"/>
          <w:szCs w:val="17"/>
          <w:i w:val="1"/>
          <w:iCs w:val="1"/>
          <w:color w:val="auto"/>
        </w:rPr>
        <w:t xml:space="preserve"> </w:t>
      </w:r>
      <w:r>
        <w:rPr>
          <w:rFonts w:ascii="Arial" w:cs="Arial" w:eastAsia="Arial" w:hAnsi="Arial"/>
          <w:sz w:val="17"/>
          <w:szCs w:val="17"/>
          <w:color w:val="auto"/>
        </w:rPr>
        <w:t>months ended July 3, 2021, driven primarily by the impact of the temporary store closures in fiscal year 2020 and payroll leverage.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w:t>
      </w:r>
    </w:p>
    <w:p>
      <w:pPr>
        <w:spacing w:after="0" w:line="11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Depreciation and amortization expense of $24.0 million for the three months ended July 3, 2021 increased $2.1 million, or 9.6%, from $21.9 million for the three months ended June 27, 2020 primarily driven by new store openings.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 Impairment</w:t>
      </w:r>
    </w:p>
    <w:p>
      <w:pPr>
        <w:spacing w:after="0" w:line="117"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We recognized $0.5 million for impairment primarily of tangible long-lived assets and ROU assets associated with our retail stores during the three months ended July 3, 2021, compared to $2.4 million recognized during the three months ended June 27, 2020. The store asset impairment charge is primarily related to our Owned &amp; Host segment and is driven by lower than projected customer sales volume in certain stores, and other entity-specific assumptions. We considered multiple factors including, but not limited to: forecasted scenarios related to store performance and the likelihood that these scenarios would be ultimately realized; and the remaining useful lives of the assets. Asset impairment expenses were recognized in Corporate/Other.</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 net</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Interest expense, net, of $10.1 million for the three months ended July 3, 2021 decreased $5.4 million, or 34.9%, from $15.5 million for the three months ended June 27, 2020. The decrease was primarily driven by changes in fair value of derivatives of $2.5 million and by a reduction in our term loan and revolving credit facility utilization.</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 provision</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income tax expense for the three months ended July 3, 2021 reflected our statutory federal and state rate of 25.5%, offset by a discrete benefit of $4.1 million associated primarily with the exercise of stock options. In comparison, the income tax provision associated with the three months ended June 27, 2020 reflected income tax expense at our statutory federal and state rate of 25.5% and was reduced by a $0.3 million income tax benefit resulting from stock option exercises.</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3" w:name="page34"/>
    <w:bookmarkEnd w:id="3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Six Months Ended July 3, 2021 compared to Six Months Ended June 27, 2020</w:t>
      </w:r>
    </w:p>
    <w:p>
      <w:pPr>
        <w:spacing w:after="0" w:line="12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As a result of the COVID-19 pandemic, our retail stores were temporarily closed to the public beginning on March 19, 2020. We began reopening our stores to the public on April 27, 2020, and on June 8, 2020, we announced the successful completion of the reopening process. Comparisons of current year results to prior year results reflect the material and unprecedented impact of these temporary store closures.</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revenue</w:t>
      </w:r>
    </w:p>
    <w:p>
      <w:pPr>
        <w:spacing w:after="0" w:line="11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presents, by segment and by brand, comparable store sales growth, stores open at the end of the period and net revenue for the six months ended July 3, 2021 compared to the six months ended June 27, 2020.</w:t>
      </w:r>
    </w:p>
    <w:p>
      <w:pPr>
        <w:spacing w:after="0" w:line="86"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2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520" w:type="dxa"/>
            <w:vAlign w:val="bottom"/>
            <w:gridSpan w:val="4"/>
          </w:tcPr>
          <w:p>
            <w:pPr>
              <w:ind w:left="200"/>
              <w:spacing w:after="0"/>
              <w:rPr>
                <w:sz w:val="20"/>
                <w:szCs w:val="20"/>
                <w:color w:val="auto"/>
              </w:rPr>
            </w:pPr>
            <w:r>
              <w:rPr>
                <w:rFonts w:ascii="Arial" w:cs="Arial" w:eastAsia="Arial" w:hAnsi="Arial"/>
                <w:sz w:val="14"/>
                <w:szCs w:val="14"/>
                <w:b w:val="1"/>
                <w:bCs w:val="1"/>
                <w:color w:val="auto"/>
              </w:rPr>
              <w:t>Comparable store sales growth</w:t>
            </w:r>
            <w:r>
              <w:rPr>
                <w:rFonts w:ascii="Arial" w:cs="Arial" w:eastAsia="Arial" w:hAnsi="Arial"/>
                <w:sz w:val="18"/>
                <w:szCs w:val="18"/>
                <w:b w:val="1"/>
                <w:bCs w:val="1"/>
                <w:color w:val="auto"/>
                <w:vertAlign w:val="superscript"/>
              </w:rPr>
              <w:t>(1)</w:t>
            </w:r>
          </w:p>
        </w:tc>
        <w:tc>
          <w:tcPr>
            <w:tcW w:w="2100" w:type="dxa"/>
            <w:vAlign w:val="bottom"/>
            <w:gridSpan w:val="4"/>
          </w:tcPr>
          <w:p>
            <w:pPr>
              <w:ind w:left="140"/>
              <w:spacing w:after="0"/>
              <w:rPr>
                <w:sz w:val="20"/>
                <w:szCs w:val="20"/>
                <w:color w:val="auto"/>
              </w:rPr>
            </w:pPr>
            <w:r>
              <w:rPr>
                <w:rFonts w:ascii="Arial" w:cs="Arial" w:eastAsia="Arial" w:hAnsi="Arial"/>
                <w:sz w:val="14"/>
                <w:szCs w:val="14"/>
                <w:b w:val="1"/>
                <w:bCs w:val="1"/>
                <w:color w:val="auto"/>
              </w:rPr>
              <w:t>Stores open at end of period</w:t>
            </w:r>
          </w:p>
        </w:tc>
        <w:tc>
          <w:tcPr>
            <w:tcW w:w="2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100" w:type="dxa"/>
            <w:vAlign w:val="bottom"/>
            <w:gridSpan w:val="3"/>
          </w:tcPr>
          <w:p>
            <w:pPr>
              <w:jc w:val="right"/>
              <w:spacing w:after="0"/>
              <w:rPr>
                <w:sz w:val="20"/>
                <w:szCs w:val="20"/>
                <w:color w:val="auto"/>
              </w:rPr>
            </w:pPr>
            <w:r>
              <w:rPr>
                <w:rFonts w:ascii="Arial" w:cs="Arial" w:eastAsia="Arial" w:hAnsi="Arial"/>
                <w:sz w:val="14"/>
                <w:szCs w:val="14"/>
                <w:b w:val="1"/>
                <w:bCs w:val="1"/>
                <w:color w:val="auto"/>
              </w:rPr>
              <w:t>Net revenue</w:t>
            </w:r>
            <w:r>
              <w:rPr>
                <w:rFonts w:ascii="Arial" w:cs="Arial" w:eastAsia="Arial" w:hAnsi="Arial"/>
                <w:sz w:val="18"/>
                <w:szCs w:val="18"/>
                <w:b w:val="1"/>
                <w:bCs w:val="1"/>
                <w:color w:val="auto"/>
                <w:vertAlign w:val="superscript"/>
              </w:rPr>
              <w:t>(2)</w:t>
            </w:r>
          </w:p>
        </w:tc>
        <w:tc>
          <w:tcPr>
            <w:tcW w:w="10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8"/>
        </w:trPr>
        <w:tc>
          <w:tcPr>
            <w:tcW w:w="2400" w:type="dxa"/>
            <w:vAlign w:val="bottom"/>
            <w:gridSpan w:val="2"/>
            <w:vMerge w:val="restart"/>
          </w:tcPr>
          <w:p>
            <w:pPr>
              <w:ind w:left="20"/>
              <w:spacing w:after="0"/>
              <w:rPr>
                <w:sz w:val="20"/>
                <w:szCs w:val="20"/>
                <w:color w:val="auto"/>
              </w:rPr>
            </w:pPr>
            <w:r>
              <w:rPr>
                <w:rFonts w:ascii="Arial" w:cs="Arial" w:eastAsia="Arial" w:hAnsi="Arial"/>
                <w:sz w:val="14"/>
                <w:szCs w:val="14"/>
                <w:i w:val="1"/>
                <w:iCs w:val="1"/>
                <w:color w:val="auto"/>
              </w:rPr>
              <w:t>In thousands, except percentage and</w:t>
            </w:r>
          </w:p>
        </w:tc>
        <w:tc>
          <w:tcPr>
            <w:tcW w:w="1260" w:type="dxa"/>
            <w:vAlign w:val="bottom"/>
            <w:tcBorders>
              <w:top w:val="single" w:sz="8" w:color="auto"/>
            </w:tcBorders>
            <w:gridSpan w:val="2"/>
          </w:tcPr>
          <w:p>
            <w:pPr>
              <w:jc w:val="center"/>
              <w:ind w:right="80"/>
              <w:spacing w:after="0" w:line="129" w:lineRule="exact"/>
              <w:rPr>
                <w:sz w:val="20"/>
                <w:szCs w:val="20"/>
                <w:color w:val="auto"/>
              </w:rPr>
            </w:pPr>
            <w:r>
              <w:rPr>
                <w:rFonts w:ascii="Arial" w:cs="Arial" w:eastAsia="Arial" w:hAnsi="Arial"/>
                <w:sz w:val="14"/>
                <w:szCs w:val="14"/>
                <w:b w:val="1"/>
                <w:bCs w:val="1"/>
                <w:color w:val="auto"/>
                <w:w w:val="93"/>
              </w:rPr>
              <w:t>Six Months</w:t>
            </w:r>
          </w:p>
        </w:tc>
        <w:tc>
          <w:tcPr>
            <w:tcW w:w="114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3"/>
              </w:rPr>
              <w:t>Six Months</w:t>
            </w:r>
          </w:p>
        </w:tc>
        <w:tc>
          <w:tcPr>
            <w:tcW w:w="120" w:type="dxa"/>
            <w:vAlign w:val="bottom"/>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900" w:type="dxa"/>
            <w:vAlign w:val="bottom"/>
            <w:tcBorders>
              <w:top w:val="single" w:sz="8" w:color="auto"/>
            </w:tcBorders>
            <w:gridSpan w:val="3"/>
            <w:vMerge w:val="restart"/>
          </w:tcPr>
          <w:p>
            <w:pPr>
              <w:ind w:left="220"/>
              <w:spacing w:after="0"/>
              <w:rPr>
                <w:sz w:val="20"/>
                <w:szCs w:val="20"/>
                <w:color w:val="auto"/>
              </w:rPr>
            </w:pPr>
            <w:r>
              <w:rPr>
                <w:rFonts w:ascii="Arial" w:cs="Arial" w:eastAsia="Arial" w:hAnsi="Arial"/>
                <w:sz w:val="14"/>
                <w:szCs w:val="14"/>
                <w:b w:val="1"/>
                <w:bCs w:val="1"/>
                <w:color w:val="auto"/>
              </w:rPr>
              <w:t>Six Months Ended</w:t>
            </w:r>
          </w:p>
        </w:tc>
        <w:tc>
          <w:tcPr>
            <w:tcW w:w="420" w:type="dxa"/>
            <w:vAlign w:val="bottom"/>
            <w:tcBorders>
              <w:top w:val="single" w:sz="8" w:color="auto"/>
            </w:tcBorders>
          </w:tcPr>
          <w:p>
            <w:pPr>
              <w:spacing w:after="0"/>
              <w:rPr>
                <w:sz w:val="11"/>
                <w:szCs w:val="11"/>
                <w:color w:val="auto"/>
              </w:rPr>
            </w:pPr>
          </w:p>
        </w:tc>
        <w:tc>
          <w:tcPr>
            <w:tcW w:w="1620" w:type="dxa"/>
            <w:vAlign w:val="bottom"/>
            <w:tcBorders>
              <w:top w:val="single" w:sz="8" w:color="auto"/>
            </w:tcBorders>
            <w:gridSpan w:val="2"/>
            <w:vMerge w:val="restart"/>
          </w:tcPr>
          <w:p>
            <w:pPr>
              <w:jc w:val="right"/>
              <w:ind w:right="364"/>
              <w:spacing w:after="0"/>
              <w:rPr>
                <w:sz w:val="20"/>
                <w:szCs w:val="20"/>
                <w:color w:val="auto"/>
              </w:rPr>
            </w:pPr>
            <w:r>
              <w:rPr>
                <w:rFonts w:ascii="Arial" w:cs="Arial" w:eastAsia="Arial" w:hAnsi="Arial"/>
                <w:sz w:val="14"/>
                <w:szCs w:val="14"/>
                <w:b w:val="1"/>
                <w:bCs w:val="1"/>
                <w:color w:val="auto"/>
                <w:w w:val="95"/>
              </w:rPr>
              <w:t>Six Months Ended</w:t>
            </w:r>
          </w:p>
        </w:tc>
        <w:tc>
          <w:tcPr>
            <w:tcW w:w="0" w:type="dxa"/>
            <w:vAlign w:val="bottom"/>
          </w:tcPr>
          <w:p>
            <w:pPr>
              <w:spacing w:after="0"/>
              <w:rPr>
                <w:sz w:val="1"/>
                <w:szCs w:val="1"/>
                <w:color w:val="auto"/>
              </w:rPr>
            </w:pPr>
          </w:p>
        </w:tc>
      </w:tr>
      <w:tr>
        <w:trPr>
          <w:trHeight w:val="135"/>
        </w:trPr>
        <w:tc>
          <w:tcPr>
            <w:tcW w:w="2400" w:type="dxa"/>
            <w:vAlign w:val="bottom"/>
            <w:gridSpan w:val="2"/>
            <w:vMerge w:val="continue"/>
          </w:tcPr>
          <w:p>
            <w:pPr>
              <w:spacing w:after="0"/>
              <w:rPr>
                <w:sz w:val="11"/>
                <w:szCs w:val="11"/>
                <w:color w:val="auto"/>
              </w:rPr>
            </w:pPr>
          </w:p>
        </w:tc>
        <w:tc>
          <w:tcPr>
            <w:tcW w:w="126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3"/>
              </w:rPr>
              <w:t>Ended</w:t>
            </w:r>
          </w:p>
        </w:tc>
        <w:tc>
          <w:tcPr>
            <w:tcW w:w="126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3"/>
              </w:rPr>
              <w:t>Ended</w:t>
            </w:r>
          </w:p>
        </w:tc>
        <w:tc>
          <w:tcPr>
            <w:tcW w:w="104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July 3, 2021</w:t>
            </w:r>
          </w:p>
        </w:tc>
        <w:tc>
          <w:tcPr>
            <w:tcW w:w="10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June 27, 2020</w:t>
            </w:r>
          </w:p>
        </w:tc>
        <w:tc>
          <w:tcPr>
            <w:tcW w:w="240" w:type="dxa"/>
            <w:vAlign w:val="bottom"/>
          </w:tcPr>
          <w:p>
            <w:pPr>
              <w:spacing w:after="0"/>
              <w:rPr>
                <w:sz w:val="11"/>
                <w:szCs w:val="11"/>
                <w:color w:val="auto"/>
              </w:rPr>
            </w:pPr>
          </w:p>
        </w:tc>
        <w:tc>
          <w:tcPr>
            <w:tcW w:w="1900" w:type="dxa"/>
            <w:vAlign w:val="bottom"/>
            <w:gridSpan w:val="3"/>
            <w:vMerge w:val="continue"/>
          </w:tcPr>
          <w:p>
            <w:pPr>
              <w:spacing w:after="0"/>
              <w:rPr>
                <w:sz w:val="11"/>
                <w:szCs w:val="11"/>
                <w:color w:val="auto"/>
              </w:rPr>
            </w:pPr>
          </w:p>
        </w:tc>
        <w:tc>
          <w:tcPr>
            <w:tcW w:w="420" w:type="dxa"/>
            <w:vAlign w:val="bottom"/>
          </w:tcPr>
          <w:p>
            <w:pPr>
              <w:spacing w:after="0"/>
              <w:rPr>
                <w:sz w:val="11"/>
                <w:szCs w:val="11"/>
                <w:color w:val="auto"/>
              </w:rPr>
            </w:pPr>
          </w:p>
        </w:tc>
        <w:tc>
          <w:tcPr>
            <w:tcW w:w="16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2400" w:type="dxa"/>
            <w:vAlign w:val="bottom"/>
            <w:gridSpan w:val="2"/>
          </w:tcPr>
          <w:p>
            <w:pPr>
              <w:ind w:left="20"/>
              <w:spacing w:after="0"/>
              <w:rPr>
                <w:sz w:val="20"/>
                <w:szCs w:val="20"/>
                <w:color w:val="auto"/>
              </w:rPr>
            </w:pPr>
            <w:r>
              <w:rPr>
                <w:rFonts w:ascii="Arial" w:cs="Arial" w:eastAsia="Arial" w:hAnsi="Arial"/>
                <w:sz w:val="14"/>
                <w:szCs w:val="14"/>
                <w:i w:val="1"/>
                <w:iCs w:val="1"/>
                <w:color w:val="auto"/>
              </w:rPr>
              <w:t>store data</w:t>
            </w:r>
          </w:p>
        </w:tc>
        <w:tc>
          <w:tcPr>
            <w:tcW w:w="12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4"/>
              </w:rPr>
              <w:t>July 3, 2021</w:t>
            </w:r>
          </w:p>
        </w:tc>
        <w:tc>
          <w:tcPr>
            <w:tcW w:w="12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June 27, 2020</w:t>
            </w:r>
          </w:p>
        </w:tc>
        <w:tc>
          <w:tcPr>
            <w:tcW w:w="1040" w:type="dxa"/>
            <w:vAlign w:val="bottom"/>
            <w:gridSpan w:val="2"/>
            <w:vMerge w:val="continue"/>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b w:val="1"/>
                <w:bCs w:val="1"/>
                <w:color w:val="auto"/>
              </w:rPr>
              <w:t>July 3, 2021</w:t>
            </w: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June 27, 2020</w:t>
            </w: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23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Owned &amp; Host segment</w:t>
            </w:r>
          </w:p>
        </w:tc>
        <w:tc>
          <w:tcPr>
            <w:tcW w:w="100" w:type="dxa"/>
            <w:vAlign w:val="bottom"/>
            <w:tcBorders>
              <w:top w:val="single" w:sz="8" w:color="CCEEFF"/>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400" w:type="dxa"/>
            <w:vAlign w:val="bottom"/>
            <w:gridSpan w:val="2"/>
          </w:tcPr>
          <w:p>
            <w:pPr>
              <w:ind w:left="20"/>
              <w:spacing w:after="0"/>
              <w:rPr>
                <w:sz w:val="20"/>
                <w:szCs w:val="20"/>
                <w:color w:val="auto"/>
              </w:rPr>
            </w:pPr>
            <w:r>
              <w:rPr>
                <w:rFonts w:ascii="Arial" w:cs="Arial" w:eastAsia="Arial" w:hAnsi="Arial"/>
                <w:sz w:val="15"/>
                <w:szCs w:val="15"/>
                <w:color w:val="auto"/>
              </w:rPr>
              <w:t>America’s Best</w:t>
            </w:r>
          </w:p>
        </w:tc>
        <w:tc>
          <w:tcPr>
            <w:tcW w:w="1160" w:type="dxa"/>
            <w:vAlign w:val="bottom"/>
          </w:tcPr>
          <w:p>
            <w:pPr>
              <w:jc w:val="right"/>
              <w:spacing w:after="0"/>
              <w:rPr>
                <w:sz w:val="20"/>
                <w:szCs w:val="20"/>
                <w:color w:val="auto"/>
              </w:rPr>
            </w:pPr>
            <w:r>
              <w:rPr>
                <w:rFonts w:ascii="Arial" w:cs="Arial" w:eastAsia="Arial" w:hAnsi="Arial"/>
                <w:sz w:val="15"/>
                <w:szCs w:val="15"/>
                <w:color w:val="auto"/>
              </w:rPr>
              <w:t>54.9 %</w:t>
            </w:r>
          </w:p>
        </w:tc>
        <w:tc>
          <w:tcPr>
            <w:tcW w:w="100" w:type="dxa"/>
            <w:vAlign w:val="bottom"/>
          </w:tcPr>
          <w:p>
            <w:pPr>
              <w:spacing w:after="0"/>
              <w:rPr>
                <w:sz w:val="17"/>
                <w:szCs w:val="17"/>
                <w:color w:val="auto"/>
              </w:rPr>
            </w:pPr>
          </w:p>
        </w:tc>
        <w:tc>
          <w:tcPr>
            <w:tcW w:w="1140" w:type="dxa"/>
            <w:vAlign w:val="bottom"/>
          </w:tcPr>
          <w:p>
            <w:pPr>
              <w:jc w:val="center"/>
              <w:ind w:left="525"/>
              <w:spacing w:after="0"/>
              <w:rPr>
                <w:sz w:val="20"/>
                <w:szCs w:val="20"/>
                <w:color w:val="auto"/>
              </w:rPr>
            </w:pPr>
            <w:r>
              <w:rPr>
                <w:rFonts w:ascii="Arial" w:cs="Arial" w:eastAsia="Arial" w:hAnsi="Arial"/>
                <w:sz w:val="15"/>
                <w:szCs w:val="15"/>
                <w:color w:val="auto"/>
                <w:w w:val="95"/>
              </w:rPr>
              <w:t>(22.2)%</w:t>
            </w:r>
          </w:p>
        </w:tc>
        <w:tc>
          <w:tcPr>
            <w:tcW w:w="1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813</w:t>
            </w:r>
          </w:p>
        </w:tc>
        <w:tc>
          <w:tcPr>
            <w:tcW w:w="1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752</w:t>
            </w:r>
          </w:p>
        </w:tc>
        <w:tc>
          <w:tcPr>
            <w:tcW w:w="100" w:type="dxa"/>
            <w:vAlign w:val="bottom"/>
          </w:tcPr>
          <w:p>
            <w:pPr>
              <w:spacing w:after="0"/>
              <w:rPr>
                <w:sz w:val="17"/>
                <w:szCs w:val="17"/>
                <w:color w:val="auto"/>
              </w:rPr>
            </w:pPr>
          </w:p>
        </w:tc>
        <w:tc>
          <w:tcPr>
            <w:tcW w:w="240" w:type="dxa"/>
            <w:vAlign w:val="bottom"/>
          </w:tcPr>
          <w:p>
            <w:pPr>
              <w:jc w:val="right"/>
              <w:ind w:right="64"/>
              <w:spacing w:after="0"/>
              <w:rPr>
                <w:sz w:val="20"/>
                <w:szCs w:val="20"/>
                <w:color w:val="auto"/>
              </w:rPr>
            </w:pPr>
            <w:r>
              <w:rPr>
                <w:rFonts w:ascii="Arial" w:cs="Arial" w:eastAsia="Arial" w:hAnsi="Arial"/>
                <w:sz w:val="15"/>
                <w:szCs w:val="15"/>
                <w:color w:val="auto"/>
                <w:w w:val="95"/>
              </w:rPr>
              <w:t>$</w:t>
            </w:r>
          </w:p>
        </w:tc>
        <w:tc>
          <w:tcPr>
            <w:tcW w:w="1220" w:type="dxa"/>
            <w:vAlign w:val="bottom"/>
          </w:tcPr>
          <w:p>
            <w:pPr>
              <w:jc w:val="right"/>
              <w:ind w:right="404"/>
              <w:spacing w:after="0"/>
              <w:rPr>
                <w:sz w:val="20"/>
                <w:szCs w:val="20"/>
                <w:color w:val="auto"/>
              </w:rPr>
            </w:pPr>
            <w:r>
              <w:rPr>
                <w:rFonts w:ascii="Arial" w:cs="Arial" w:eastAsia="Arial" w:hAnsi="Arial"/>
                <w:sz w:val="15"/>
                <w:szCs w:val="15"/>
                <w:color w:val="auto"/>
              </w:rPr>
              <w:t>755,201</w:t>
            </w:r>
          </w:p>
        </w:tc>
        <w:tc>
          <w:tcPr>
            <w:tcW w:w="600" w:type="dxa"/>
            <w:vAlign w:val="bottom"/>
          </w:tcPr>
          <w:p>
            <w:pPr>
              <w:jc w:val="right"/>
              <w:spacing w:after="0"/>
              <w:rPr>
                <w:sz w:val="20"/>
                <w:szCs w:val="20"/>
                <w:color w:val="auto"/>
              </w:rPr>
            </w:pPr>
            <w:r>
              <w:rPr>
                <w:rFonts w:ascii="Arial" w:cs="Arial" w:eastAsia="Arial" w:hAnsi="Arial"/>
                <w:sz w:val="15"/>
                <w:szCs w:val="15"/>
                <w:color w:val="auto"/>
              </w:rPr>
              <w:t>69.7 %</w:t>
            </w:r>
          </w:p>
        </w:tc>
        <w:tc>
          <w:tcPr>
            <w:tcW w:w="80" w:type="dxa"/>
            <w:vAlign w:val="bottom"/>
          </w:tcPr>
          <w:p>
            <w:pPr>
              <w:spacing w:after="0"/>
              <w:rPr>
                <w:sz w:val="17"/>
                <w:szCs w:val="17"/>
                <w:color w:val="auto"/>
              </w:rPr>
            </w:pPr>
          </w:p>
        </w:tc>
        <w:tc>
          <w:tcPr>
            <w:tcW w:w="420" w:type="dxa"/>
            <w:vAlign w:val="bottom"/>
          </w:tcPr>
          <w:p>
            <w:pPr>
              <w:jc w:val="right"/>
              <w:ind w:right="244"/>
              <w:spacing w:after="0"/>
              <w:rPr>
                <w:sz w:val="20"/>
                <w:szCs w:val="20"/>
                <w:color w:val="auto"/>
              </w:rPr>
            </w:pPr>
            <w:r>
              <w:rPr>
                <w:rFonts w:ascii="Arial" w:cs="Arial" w:eastAsia="Arial" w:hAnsi="Arial"/>
                <w:sz w:val="15"/>
                <w:szCs w:val="15"/>
                <w:color w:val="auto"/>
                <w:w w:val="95"/>
              </w:rPr>
              <w:t>$</w:t>
            </w:r>
          </w:p>
        </w:tc>
        <w:tc>
          <w:tcPr>
            <w:tcW w:w="1060" w:type="dxa"/>
            <w:vAlign w:val="bottom"/>
          </w:tcPr>
          <w:p>
            <w:pPr>
              <w:jc w:val="right"/>
              <w:ind w:right="424"/>
              <w:spacing w:after="0"/>
              <w:rPr>
                <w:sz w:val="20"/>
                <w:szCs w:val="20"/>
                <w:color w:val="auto"/>
              </w:rPr>
            </w:pPr>
            <w:r>
              <w:rPr>
                <w:rFonts w:ascii="Arial" w:cs="Arial" w:eastAsia="Arial" w:hAnsi="Arial"/>
                <w:sz w:val="15"/>
                <w:szCs w:val="15"/>
                <w:color w:val="auto"/>
                <w:w w:val="99"/>
              </w:rPr>
              <w:t>470,366</w:t>
            </w:r>
          </w:p>
        </w:tc>
        <w:tc>
          <w:tcPr>
            <w:tcW w:w="560" w:type="dxa"/>
            <w:vAlign w:val="bottom"/>
          </w:tcPr>
          <w:p>
            <w:pPr>
              <w:jc w:val="right"/>
              <w:spacing w:after="0"/>
              <w:rPr>
                <w:sz w:val="20"/>
                <w:szCs w:val="20"/>
                <w:color w:val="auto"/>
              </w:rPr>
            </w:pPr>
            <w:r>
              <w:rPr>
                <w:rFonts w:ascii="Arial" w:cs="Arial" w:eastAsia="Arial" w:hAnsi="Arial"/>
                <w:sz w:val="15"/>
                <w:szCs w:val="15"/>
                <w:color w:val="auto"/>
              </w:rPr>
              <w:t>64.5 %</w:t>
            </w:r>
          </w:p>
        </w:tc>
        <w:tc>
          <w:tcPr>
            <w:tcW w:w="0" w:type="dxa"/>
            <w:vAlign w:val="bottom"/>
          </w:tcPr>
          <w:p>
            <w:pPr>
              <w:spacing w:after="0"/>
              <w:rPr>
                <w:sz w:val="1"/>
                <w:szCs w:val="1"/>
                <w:color w:val="auto"/>
              </w:rPr>
            </w:pPr>
          </w:p>
        </w:tc>
      </w:tr>
      <w:tr>
        <w:trPr>
          <w:trHeight w:val="207"/>
        </w:trPr>
        <w:tc>
          <w:tcPr>
            <w:tcW w:w="240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Eyeglass World</w:t>
            </w: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57.1 %</w:t>
            </w: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jc w:val="center"/>
              <w:ind w:left="525"/>
              <w:spacing w:after="0"/>
              <w:rPr>
                <w:sz w:val="20"/>
                <w:szCs w:val="20"/>
                <w:color w:val="auto"/>
              </w:rPr>
            </w:pPr>
            <w:r>
              <w:rPr>
                <w:rFonts w:ascii="Arial" w:cs="Arial" w:eastAsia="Arial" w:hAnsi="Arial"/>
                <w:sz w:val="15"/>
                <w:szCs w:val="15"/>
                <w:color w:val="auto"/>
                <w:w w:val="95"/>
              </w:rPr>
              <w:t>(21.2)%</w:t>
            </w: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123</w:t>
            </w: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118</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404"/>
              <w:spacing w:after="0"/>
              <w:rPr>
                <w:sz w:val="20"/>
                <w:szCs w:val="20"/>
                <w:color w:val="auto"/>
              </w:rPr>
            </w:pPr>
            <w:r>
              <w:rPr>
                <w:rFonts w:ascii="Arial" w:cs="Arial" w:eastAsia="Arial" w:hAnsi="Arial"/>
                <w:sz w:val="15"/>
                <w:szCs w:val="15"/>
                <w:color w:val="auto"/>
              </w:rPr>
              <w:t>118,836</w:t>
            </w:r>
          </w:p>
        </w:tc>
        <w:tc>
          <w:tcPr>
            <w:tcW w:w="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11.0 %</w:t>
            </w: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424"/>
              <w:spacing w:after="0"/>
              <w:rPr>
                <w:sz w:val="20"/>
                <w:szCs w:val="20"/>
                <w:color w:val="auto"/>
              </w:rPr>
            </w:pPr>
            <w:r>
              <w:rPr>
                <w:rFonts w:ascii="Arial" w:cs="Arial" w:eastAsia="Arial" w:hAnsi="Arial"/>
                <w:sz w:val="15"/>
                <w:szCs w:val="15"/>
                <w:color w:val="auto"/>
              </w:rPr>
              <w:t>74,843</w:t>
            </w: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10.3 %</w:t>
            </w:r>
          </w:p>
        </w:tc>
        <w:tc>
          <w:tcPr>
            <w:tcW w:w="0" w:type="dxa"/>
            <w:vAlign w:val="bottom"/>
          </w:tcPr>
          <w:p>
            <w:pPr>
              <w:spacing w:after="0"/>
              <w:rPr>
                <w:sz w:val="1"/>
                <w:szCs w:val="1"/>
                <w:color w:val="auto"/>
              </w:rPr>
            </w:pPr>
          </w:p>
        </w:tc>
      </w:tr>
      <w:tr>
        <w:trPr>
          <w:trHeight w:val="198"/>
        </w:trPr>
        <w:tc>
          <w:tcPr>
            <w:tcW w:w="2400" w:type="dxa"/>
            <w:vAlign w:val="bottom"/>
            <w:gridSpan w:val="2"/>
          </w:tcPr>
          <w:p>
            <w:pPr>
              <w:ind w:left="20"/>
              <w:spacing w:after="0"/>
              <w:rPr>
                <w:sz w:val="20"/>
                <w:szCs w:val="20"/>
                <w:color w:val="auto"/>
              </w:rPr>
            </w:pPr>
            <w:r>
              <w:rPr>
                <w:rFonts w:ascii="Arial" w:cs="Arial" w:eastAsia="Arial" w:hAnsi="Arial"/>
                <w:sz w:val="15"/>
                <w:szCs w:val="15"/>
                <w:color w:val="auto"/>
              </w:rPr>
              <w:t>Military</w:t>
            </w:r>
          </w:p>
        </w:tc>
        <w:tc>
          <w:tcPr>
            <w:tcW w:w="1160" w:type="dxa"/>
            <w:vAlign w:val="bottom"/>
          </w:tcPr>
          <w:p>
            <w:pPr>
              <w:jc w:val="right"/>
              <w:spacing w:after="0"/>
              <w:rPr>
                <w:sz w:val="20"/>
                <w:szCs w:val="20"/>
                <w:color w:val="auto"/>
              </w:rPr>
            </w:pPr>
            <w:r>
              <w:rPr>
                <w:rFonts w:ascii="Arial" w:cs="Arial" w:eastAsia="Arial" w:hAnsi="Arial"/>
                <w:sz w:val="15"/>
                <w:szCs w:val="15"/>
                <w:color w:val="auto"/>
              </w:rPr>
              <w:t>38.1 %</w:t>
            </w:r>
          </w:p>
        </w:tc>
        <w:tc>
          <w:tcPr>
            <w:tcW w:w="100" w:type="dxa"/>
            <w:vAlign w:val="bottom"/>
          </w:tcPr>
          <w:p>
            <w:pPr>
              <w:spacing w:after="0"/>
              <w:rPr>
                <w:sz w:val="17"/>
                <w:szCs w:val="17"/>
                <w:color w:val="auto"/>
              </w:rPr>
            </w:pPr>
          </w:p>
        </w:tc>
        <w:tc>
          <w:tcPr>
            <w:tcW w:w="1140" w:type="dxa"/>
            <w:vAlign w:val="bottom"/>
          </w:tcPr>
          <w:p>
            <w:pPr>
              <w:jc w:val="center"/>
              <w:ind w:left="525"/>
              <w:spacing w:after="0"/>
              <w:rPr>
                <w:sz w:val="20"/>
                <w:szCs w:val="20"/>
                <w:color w:val="auto"/>
              </w:rPr>
            </w:pPr>
            <w:r>
              <w:rPr>
                <w:rFonts w:ascii="Arial" w:cs="Arial" w:eastAsia="Arial" w:hAnsi="Arial"/>
                <w:sz w:val="15"/>
                <w:szCs w:val="15"/>
                <w:color w:val="auto"/>
                <w:w w:val="95"/>
              </w:rPr>
              <w:t>(27.8)%</w:t>
            </w:r>
          </w:p>
        </w:tc>
        <w:tc>
          <w:tcPr>
            <w:tcW w:w="1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54</w:t>
            </w:r>
          </w:p>
        </w:tc>
        <w:tc>
          <w:tcPr>
            <w:tcW w:w="1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54</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tcPr>
          <w:p>
            <w:pPr>
              <w:jc w:val="right"/>
              <w:ind w:right="404"/>
              <w:spacing w:after="0"/>
              <w:rPr>
                <w:sz w:val="20"/>
                <w:szCs w:val="20"/>
                <w:color w:val="auto"/>
              </w:rPr>
            </w:pPr>
            <w:r>
              <w:rPr>
                <w:rFonts w:ascii="Arial" w:cs="Arial" w:eastAsia="Arial" w:hAnsi="Arial"/>
                <w:sz w:val="15"/>
                <w:szCs w:val="15"/>
                <w:color w:val="auto"/>
              </w:rPr>
              <w:t>12,246</w:t>
            </w:r>
          </w:p>
        </w:tc>
        <w:tc>
          <w:tcPr>
            <w:tcW w:w="600" w:type="dxa"/>
            <w:vAlign w:val="bottom"/>
          </w:tcPr>
          <w:p>
            <w:pPr>
              <w:jc w:val="right"/>
              <w:spacing w:after="0"/>
              <w:rPr>
                <w:sz w:val="20"/>
                <w:szCs w:val="20"/>
                <w:color w:val="auto"/>
              </w:rPr>
            </w:pPr>
            <w:r>
              <w:rPr>
                <w:rFonts w:ascii="Arial" w:cs="Arial" w:eastAsia="Arial" w:hAnsi="Arial"/>
                <w:sz w:val="15"/>
                <w:szCs w:val="15"/>
                <w:color w:val="auto"/>
              </w:rPr>
              <w:t>1.1 %</w:t>
            </w: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60" w:type="dxa"/>
            <w:vAlign w:val="bottom"/>
          </w:tcPr>
          <w:p>
            <w:pPr>
              <w:jc w:val="right"/>
              <w:ind w:right="424"/>
              <w:spacing w:after="0"/>
              <w:rPr>
                <w:sz w:val="20"/>
                <w:szCs w:val="20"/>
                <w:color w:val="auto"/>
              </w:rPr>
            </w:pPr>
            <w:r>
              <w:rPr>
                <w:rFonts w:ascii="Arial" w:cs="Arial" w:eastAsia="Arial" w:hAnsi="Arial"/>
                <w:sz w:val="15"/>
                <w:szCs w:val="15"/>
                <w:color w:val="auto"/>
              </w:rPr>
              <w:t>8,970</w:t>
            </w:r>
          </w:p>
        </w:tc>
        <w:tc>
          <w:tcPr>
            <w:tcW w:w="560" w:type="dxa"/>
            <w:vAlign w:val="bottom"/>
          </w:tcPr>
          <w:p>
            <w:pPr>
              <w:jc w:val="right"/>
              <w:spacing w:after="0"/>
              <w:rPr>
                <w:sz w:val="20"/>
                <w:szCs w:val="20"/>
                <w:color w:val="auto"/>
              </w:rPr>
            </w:pPr>
            <w:r>
              <w:rPr>
                <w:rFonts w:ascii="Arial" w:cs="Arial" w:eastAsia="Arial" w:hAnsi="Arial"/>
                <w:sz w:val="15"/>
                <w:szCs w:val="15"/>
                <w:color w:val="auto"/>
              </w:rPr>
              <w:t>1.2 %</w:t>
            </w:r>
          </w:p>
        </w:tc>
        <w:tc>
          <w:tcPr>
            <w:tcW w:w="0" w:type="dxa"/>
            <w:vAlign w:val="bottom"/>
          </w:tcPr>
          <w:p>
            <w:pPr>
              <w:spacing w:after="0"/>
              <w:rPr>
                <w:sz w:val="1"/>
                <w:szCs w:val="1"/>
                <w:color w:val="auto"/>
              </w:rPr>
            </w:pPr>
          </w:p>
        </w:tc>
      </w:tr>
      <w:tr>
        <w:trPr>
          <w:trHeight w:val="207"/>
        </w:trPr>
        <w:tc>
          <w:tcPr>
            <w:tcW w:w="240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Fred Meyer</w:t>
            </w: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36.1 %</w:t>
            </w: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jc w:val="center"/>
              <w:ind w:left="525"/>
              <w:spacing w:after="0"/>
              <w:rPr>
                <w:sz w:val="20"/>
                <w:szCs w:val="20"/>
                <w:color w:val="auto"/>
              </w:rPr>
            </w:pPr>
            <w:r>
              <w:rPr>
                <w:rFonts w:ascii="Arial" w:cs="Arial" w:eastAsia="Arial" w:hAnsi="Arial"/>
                <w:sz w:val="15"/>
                <w:szCs w:val="15"/>
                <w:color w:val="auto"/>
                <w:w w:val="95"/>
              </w:rPr>
              <w:t>(32.5)%</w:t>
            </w:r>
          </w:p>
        </w:tc>
        <w:tc>
          <w:tcPr>
            <w:tcW w:w="120" w:type="dxa"/>
            <w:vAlign w:val="bottom"/>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29</w:t>
            </w:r>
          </w:p>
        </w:tc>
        <w:tc>
          <w:tcPr>
            <w:tcW w:w="100" w:type="dxa"/>
            <w:vAlign w:val="bottom"/>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29</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ind w:right="404"/>
              <w:spacing w:after="0"/>
              <w:rPr>
                <w:sz w:val="20"/>
                <w:szCs w:val="20"/>
                <w:color w:val="auto"/>
              </w:rPr>
            </w:pPr>
            <w:r>
              <w:rPr>
                <w:rFonts w:ascii="Arial" w:cs="Arial" w:eastAsia="Arial" w:hAnsi="Arial"/>
                <w:sz w:val="15"/>
                <w:szCs w:val="15"/>
                <w:color w:val="auto"/>
              </w:rPr>
              <w:t>6,321</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0.6 %</w:t>
            </w:r>
          </w:p>
        </w:tc>
        <w:tc>
          <w:tcPr>
            <w:tcW w:w="80" w:type="dxa"/>
            <w:vAlign w:val="bottom"/>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ind w:right="424"/>
              <w:spacing w:after="0"/>
              <w:rPr>
                <w:sz w:val="20"/>
                <w:szCs w:val="20"/>
                <w:color w:val="auto"/>
              </w:rPr>
            </w:pPr>
            <w:r>
              <w:rPr>
                <w:rFonts w:ascii="Arial" w:cs="Arial" w:eastAsia="Arial" w:hAnsi="Arial"/>
                <w:sz w:val="15"/>
                <w:szCs w:val="15"/>
                <w:color w:val="auto"/>
              </w:rPr>
              <w:t>4,753</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0.7 %</w:t>
            </w:r>
          </w:p>
        </w:tc>
        <w:tc>
          <w:tcPr>
            <w:tcW w:w="0" w:type="dxa"/>
            <w:vAlign w:val="bottom"/>
          </w:tcPr>
          <w:p>
            <w:pPr>
              <w:spacing w:after="0"/>
              <w:rPr>
                <w:sz w:val="1"/>
                <w:szCs w:val="1"/>
                <w:color w:val="auto"/>
              </w:rPr>
            </w:pPr>
          </w:p>
        </w:tc>
      </w:tr>
      <w:tr>
        <w:trPr>
          <w:trHeight w:val="192"/>
        </w:trPr>
        <w:tc>
          <w:tcPr>
            <w:tcW w:w="2400" w:type="dxa"/>
            <w:vAlign w:val="bottom"/>
            <w:gridSpan w:val="2"/>
          </w:tcPr>
          <w:p>
            <w:pPr>
              <w:ind w:left="20"/>
              <w:spacing w:after="0"/>
              <w:rPr>
                <w:sz w:val="20"/>
                <w:szCs w:val="20"/>
                <w:color w:val="auto"/>
              </w:rPr>
            </w:pPr>
            <w:r>
              <w:rPr>
                <w:rFonts w:ascii="Arial" w:cs="Arial" w:eastAsia="Arial" w:hAnsi="Arial"/>
                <w:sz w:val="15"/>
                <w:szCs w:val="15"/>
                <w:color w:val="auto"/>
              </w:rPr>
              <w:t>Owned &amp; Host segment total</w:t>
            </w: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1,019</w:t>
            </w:r>
          </w:p>
        </w:tc>
        <w:tc>
          <w:tcPr>
            <w:tcW w:w="1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953</w:t>
            </w:r>
          </w:p>
        </w:tc>
        <w:tc>
          <w:tcPr>
            <w:tcW w:w="100" w:type="dxa"/>
            <w:vAlign w:val="bottom"/>
          </w:tcPr>
          <w:p>
            <w:pPr>
              <w:spacing w:after="0"/>
              <w:rPr>
                <w:sz w:val="16"/>
                <w:szCs w:val="16"/>
                <w:color w:val="auto"/>
              </w:rPr>
            </w:pPr>
          </w:p>
        </w:tc>
        <w:tc>
          <w:tcPr>
            <w:tcW w:w="240" w:type="dxa"/>
            <w:vAlign w:val="bottom"/>
          </w:tcPr>
          <w:p>
            <w:pPr>
              <w:jc w:val="right"/>
              <w:ind w:right="64"/>
              <w:spacing w:after="0"/>
              <w:rPr>
                <w:sz w:val="20"/>
                <w:szCs w:val="20"/>
                <w:color w:val="auto"/>
              </w:rPr>
            </w:pPr>
            <w:r>
              <w:rPr>
                <w:rFonts w:ascii="Arial" w:cs="Arial" w:eastAsia="Arial" w:hAnsi="Arial"/>
                <w:sz w:val="15"/>
                <w:szCs w:val="15"/>
                <w:color w:val="auto"/>
                <w:w w:val="95"/>
              </w:rPr>
              <w:t>$</w:t>
            </w:r>
          </w:p>
        </w:tc>
        <w:tc>
          <w:tcPr>
            <w:tcW w:w="1220" w:type="dxa"/>
            <w:vAlign w:val="bottom"/>
          </w:tcPr>
          <w:p>
            <w:pPr>
              <w:jc w:val="right"/>
              <w:ind w:right="404"/>
              <w:spacing w:after="0"/>
              <w:rPr>
                <w:sz w:val="20"/>
                <w:szCs w:val="20"/>
                <w:color w:val="auto"/>
              </w:rPr>
            </w:pPr>
            <w:r>
              <w:rPr>
                <w:rFonts w:ascii="Arial" w:cs="Arial" w:eastAsia="Arial" w:hAnsi="Arial"/>
                <w:sz w:val="15"/>
                <w:szCs w:val="15"/>
                <w:color w:val="auto"/>
              </w:rPr>
              <w:t>892,604</w:t>
            </w:r>
          </w:p>
        </w:tc>
        <w:tc>
          <w:tcPr>
            <w:tcW w:w="600" w:type="dxa"/>
            <w:vAlign w:val="bottom"/>
          </w:tcPr>
          <w:p>
            <w:pPr>
              <w:jc w:val="right"/>
              <w:spacing w:after="0"/>
              <w:rPr>
                <w:sz w:val="20"/>
                <w:szCs w:val="20"/>
                <w:color w:val="auto"/>
              </w:rPr>
            </w:pPr>
            <w:r>
              <w:rPr>
                <w:rFonts w:ascii="Arial" w:cs="Arial" w:eastAsia="Arial" w:hAnsi="Arial"/>
                <w:sz w:val="15"/>
                <w:szCs w:val="15"/>
                <w:color w:val="auto"/>
              </w:rPr>
              <w:t>82.4 %</w:t>
            </w:r>
          </w:p>
        </w:tc>
        <w:tc>
          <w:tcPr>
            <w:tcW w:w="80" w:type="dxa"/>
            <w:vAlign w:val="bottom"/>
          </w:tcPr>
          <w:p>
            <w:pPr>
              <w:spacing w:after="0"/>
              <w:rPr>
                <w:sz w:val="16"/>
                <w:szCs w:val="16"/>
                <w:color w:val="auto"/>
              </w:rPr>
            </w:pPr>
          </w:p>
        </w:tc>
        <w:tc>
          <w:tcPr>
            <w:tcW w:w="420" w:type="dxa"/>
            <w:vAlign w:val="bottom"/>
          </w:tcPr>
          <w:p>
            <w:pPr>
              <w:jc w:val="right"/>
              <w:ind w:right="244"/>
              <w:spacing w:after="0"/>
              <w:rPr>
                <w:sz w:val="20"/>
                <w:szCs w:val="20"/>
                <w:color w:val="auto"/>
              </w:rPr>
            </w:pPr>
            <w:r>
              <w:rPr>
                <w:rFonts w:ascii="Arial" w:cs="Arial" w:eastAsia="Arial" w:hAnsi="Arial"/>
                <w:sz w:val="15"/>
                <w:szCs w:val="15"/>
                <w:color w:val="auto"/>
                <w:w w:val="95"/>
              </w:rPr>
              <w:t>$</w:t>
            </w:r>
          </w:p>
        </w:tc>
        <w:tc>
          <w:tcPr>
            <w:tcW w:w="1060" w:type="dxa"/>
            <w:vAlign w:val="bottom"/>
          </w:tcPr>
          <w:p>
            <w:pPr>
              <w:jc w:val="right"/>
              <w:ind w:right="424"/>
              <w:spacing w:after="0"/>
              <w:rPr>
                <w:sz w:val="20"/>
                <w:szCs w:val="20"/>
                <w:color w:val="auto"/>
              </w:rPr>
            </w:pPr>
            <w:r>
              <w:rPr>
                <w:rFonts w:ascii="Arial" w:cs="Arial" w:eastAsia="Arial" w:hAnsi="Arial"/>
                <w:sz w:val="15"/>
                <w:szCs w:val="15"/>
                <w:color w:val="auto"/>
                <w:w w:val="99"/>
              </w:rPr>
              <w:t>558,932</w:t>
            </w:r>
          </w:p>
        </w:tc>
        <w:tc>
          <w:tcPr>
            <w:tcW w:w="560" w:type="dxa"/>
            <w:vAlign w:val="bottom"/>
          </w:tcPr>
          <w:p>
            <w:pPr>
              <w:jc w:val="right"/>
              <w:spacing w:after="0"/>
              <w:rPr>
                <w:sz w:val="20"/>
                <w:szCs w:val="20"/>
                <w:color w:val="auto"/>
              </w:rPr>
            </w:pPr>
            <w:r>
              <w:rPr>
                <w:rFonts w:ascii="Arial" w:cs="Arial" w:eastAsia="Arial" w:hAnsi="Arial"/>
                <w:sz w:val="15"/>
                <w:szCs w:val="15"/>
                <w:color w:val="auto"/>
              </w:rPr>
              <w:t>76.6 %</w:t>
            </w:r>
          </w:p>
        </w:tc>
        <w:tc>
          <w:tcPr>
            <w:tcW w:w="0" w:type="dxa"/>
            <w:vAlign w:val="bottom"/>
          </w:tcPr>
          <w:p>
            <w:pPr>
              <w:spacing w:after="0"/>
              <w:rPr>
                <w:sz w:val="1"/>
                <w:szCs w:val="1"/>
                <w:color w:val="auto"/>
              </w:rPr>
            </w:pPr>
          </w:p>
        </w:tc>
      </w:tr>
      <w:tr>
        <w:trPr>
          <w:trHeight w:val="206"/>
        </w:trPr>
        <w:tc>
          <w:tcPr>
            <w:tcW w:w="2400" w:type="dxa"/>
            <w:vAlign w:val="bottom"/>
            <w:gridSpan w:val="2"/>
            <w:shd w:val="clear" w:color="auto" w:fill="CCEEFF"/>
          </w:tcPr>
          <w:p>
            <w:pPr>
              <w:ind w:left="20"/>
              <w:spacing w:after="0"/>
              <w:rPr>
                <w:sz w:val="20"/>
                <w:szCs w:val="20"/>
                <w:color w:val="auto"/>
              </w:rPr>
            </w:pPr>
            <w:r>
              <w:rPr>
                <w:rFonts w:ascii="Arial" w:cs="Arial" w:eastAsia="Arial" w:hAnsi="Arial"/>
                <w:sz w:val="15"/>
                <w:szCs w:val="15"/>
                <w:b w:val="1"/>
                <w:bCs w:val="1"/>
                <w:color w:val="auto"/>
              </w:rPr>
              <w:t>Legacy segment</w:t>
            </w: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42.6 %</w:t>
            </w: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jc w:val="center"/>
              <w:ind w:left="525"/>
              <w:spacing w:after="0"/>
              <w:rPr>
                <w:sz w:val="20"/>
                <w:szCs w:val="20"/>
                <w:color w:val="auto"/>
              </w:rPr>
            </w:pPr>
            <w:r>
              <w:rPr>
                <w:rFonts w:ascii="Arial" w:cs="Arial" w:eastAsia="Arial" w:hAnsi="Arial"/>
                <w:sz w:val="15"/>
                <w:szCs w:val="15"/>
                <w:color w:val="auto"/>
                <w:w w:val="95"/>
              </w:rPr>
              <w:t>(24.4)%</w:t>
            </w: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230</w:t>
            </w: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231</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404"/>
              <w:spacing w:after="0"/>
              <w:rPr>
                <w:sz w:val="20"/>
                <w:szCs w:val="20"/>
                <w:color w:val="auto"/>
              </w:rPr>
            </w:pPr>
            <w:r>
              <w:rPr>
                <w:rFonts w:ascii="Arial" w:cs="Arial" w:eastAsia="Arial" w:hAnsi="Arial"/>
                <w:sz w:val="15"/>
                <w:szCs w:val="15"/>
                <w:color w:val="auto"/>
              </w:rPr>
              <w:t>87,182</w:t>
            </w:r>
          </w:p>
        </w:tc>
        <w:tc>
          <w:tcPr>
            <w:tcW w:w="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8.0 %</w:t>
            </w: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424"/>
              <w:spacing w:after="0"/>
              <w:rPr>
                <w:sz w:val="20"/>
                <w:szCs w:val="20"/>
                <w:color w:val="auto"/>
              </w:rPr>
            </w:pPr>
            <w:r>
              <w:rPr>
                <w:rFonts w:ascii="Arial" w:cs="Arial" w:eastAsia="Arial" w:hAnsi="Arial"/>
                <w:sz w:val="15"/>
                <w:szCs w:val="15"/>
                <w:color w:val="auto"/>
              </w:rPr>
              <w:t>61,870</w:t>
            </w: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8.5 %</w:t>
            </w:r>
          </w:p>
        </w:tc>
        <w:tc>
          <w:tcPr>
            <w:tcW w:w="0" w:type="dxa"/>
            <w:vAlign w:val="bottom"/>
          </w:tcPr>
          <w:p>
            <w:pPr>
              <w:spacing w:after="0"/>
              <w:rPr>
                <w:sz w:val="1"/>
                <w:szCs w:val="1"/>
                <w:color w:val="auto"/>
              </w:rPr>
            </w:pPr>
          </w:p>
        </w:tc>
      </w:tr>
      <w:tr>
        <w:trPr>
          <w:trHeight w:val="200"/>
        </w:trPr>
        <w:tc>
          <w:tcPr>
            <w:tcW w:w="2400" w:type="dxa"/>
            <w:vAlign w:val="bottom"/>
            <w:gridSpan w:val="2"/>
          </w:tcPr>
          <w:p>
            <w:pPr>
              <w:ind w:left="20"/>
              <w:spacing w:after="0"/>
              <w:rPr>
                <w:sz w:val="20"/>
                <w:szCs w:val="20"/>
                <w:color w:val="auto"/>
              </w:rPr>
            </w:pPr>
            <w:r>
              <w:rPr>
                <w:rFonts w:ascii="Arial" w:cs="Arial" w:eastAsia="Arial" w:hAnsi="Arial"/>
                <w:sz w:val="15"/>
                <w:szCs w:val="15"/>
                <w:b w:val="1"/>
                <w:bCs w:val="1"/>
                <w:color w:val="auto"/>
              </w:rPr>
              <w:t>Corporate/Other</w:t>
            </w:r>
          </w:p>
        </w:tc>
        <w:tc>
          <w:tcPr>
            <w:tcW w:w="126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c>
          <w:tcPr>
            <w:tcW w:w="1260" w:type="dxa"/>
            <w:vAlign w:val="bottom"/>
            <w:gridSpan w:val="2"/>
          </w:tcPr>
          <w:p>
            <w:pPr>
              <w:jc w:val="center"/>
              <w:ind w:left="425"/>
              <w:spacing w:after="0"/>
              <w:rPr>
                <w:sz w:val="20"/>
                <w:szCs w:val="20"/>
                <w:color w:val="auto"/>
              </w:rPr>
            </w:pPr>
            <w:r>
              <w:rPr>
                <w:rFonts w:ascii="Arial" w:cs="Arial" w:eastAsia="Arial" w:hAnsi="Arial"/>
                <w:sz w:val="15"/>
                <w:szCs w:val="15"/>
                <w:color w:val="auto"/>
              </w:rPr>
              <w:t>—</w:t>
            </w:r>
          </w:p>
        </w:tc>
        <w:tc>
          <w:tcPr>
            <w:tcW w:w="104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0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7"/>
                <w:szCs w:val="17"/>
                <w:color w:val="auto"/>
              </w:rPr>
            </w:pPr>
          </w:p>
        </w:tc>
        <w:tc>
          <w:tcPr>
            <w:tcW w:w="1220" w:type="dxa"/>
            <w:vAlign w:val="bottom"/>
          </w:tcPr>
          <w:p>
            <w:pPr>
              <w:jc w:val="right"/>
              <w:ind w:right="404"/>
              <w:spacing w:after="0"/>
              <w:rPr>
                <w:sz w:val="20"/>
                <w:szCs w:val="20"/>
                <w:color w:val="auto"/>
              </w:rPr>
            </w:pPr>
            <w:r>
              <w:rPr>
                <w:rFonts w:ascii="Arial" w:cs="Arial" w:eastAsia="Arial" w:hAnsi="Arial"/>
                <w:sz w:val="15"/>
                <w:szCs w:val="15"/>
                <w:color w:val="auto"/>
              </w:rPr>
              <w:t>122,738</w:t>
            </w:r>
          </w:p>
        </w:tc>
        <w:tc>
          <w:tcPr>
            <w:tcW w:w="600" w:type="dxa"/>
            <w:vAlign w:val="bottom"/>
          </w:tcPr>
          <w:p>
            <w:pPr>
              <w:jc w:val="right"/>
              <w:spacing w:after="0"/>
              <w:rPr>
                <w:sz w:val="20"/>
                <w:szCs w:val="20"/>
                <w:color w:val="auto"/>
              </w:rPr>
            </w:pPr>
            <w:r>
              <w:rPr>
                <w:rFonts w:ascii="Arial" w:cs="Arial" w:eastAsia="Arial" w:hAnsi="Arial"/>
                <w:sz w:val="15"/>
                <w:szCs w:val="15"/>
                <w:color w:val="auto"/>
              </w:rPr>
              <w:t>11.3 %</w:t>
            </w: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60" w:type="dxa"/>
            <w:vAlign w:val="bottom"/>
          </w:tcPr>
          <w:p>
            <w:pPr>
              <w:jc w:val="right"/>
              <w:ind w:right="424"/>
              <w:spacing w:after="0"/>
              <w:rPr>
                <w:sz w:val="20"/>
                <w:szCs w:val="20"/>
                <w:color w:val="auto"/>
              </w:rPr>
            </w:pPr>
            <w:r>
              <w:rPr>
                <w:rFonts w:ascii="Arial" w:cs="Arial" w:eastAsia="Arial" w:hAnsi="Arial"/>
                <w:sz w:val="15"/>
                <w:szCs w:val="15"/>
                <w:color w:val="auto"/>
                <w:w w:val="99"/>
              </w:rPr>
              <w:t>117,044</w:t>
            </w:r>
          </w:p>
        </w:tc>
        <w:tc>
          <w:tcPr>
            <w:tcW w:w="560" w:type="dxa"/>
            <w:vAlign w:val="bottom"/>
          </w:tcPr>
          <w:p>
            <w:pPr>
              <w:jc w:val="right"/>
              <w:spacing w:after="0"/>
              <w:rPr>
                <w:sz w:val="20"/>
                <w:szCs w:val="20"/>
                <w:color w:val="auto"/>
              </w:rPr>
            </w:pPr>
            <w:r>
              <w:rPr>
                <w:rFonts w:ascii="Arial" w:cs="Arial" w:eastAsia="Arial" w:hAnsi="Arial"/>
                <w:sz w:val="15"/>
                <w:szCs w:val="15"/>
                <w:color w:val="auto"/>
              </w:rPr>
              <w:t>16.0 %</w:t>
            </w:r>
          </w:p>
        </w:tc>
        <w:tc>
          <w:tcPr>
            <w:tcW w:w="0" w:type="dxa"/>
            <w:vAlign w:val="bottom"/>
          </w:tcPr>
          <w:p>
            <w:pPr>
              <w:spacing w:after="0"/>
              <w:rPr>
                <w:sz w:val="1"/>
                <w:szCs w:val="1"/>
                <w:color w:val="auto"/>
              </w:rPr>
            </w:pPr>
          </w:p>
        </w:tc>
      </w:tr>
      <w:tr>
        <w:trPr>
          <w:trHeight w:val="203"/>
        </w:trPr>
        <w:tc>
          <w:tcPr>
            <w:tcW w:w="2400" w:type="dxa"/>
            <w:vAlign w:val="bottom"/>
            <w:gridSpan w:val="2"/>
            <w:shd w:val="clear" w:color="auto" w:fill="CCEEFF"/>
          </w:tcPr>
          <w:p>
            <w:pPr>
              <w:ind w:left="20"/>
              <w:spacing w:after="0"/>
              <w:rPr>
                <w:sz w:val="20"/>
                <w:szCs w:val="20"/>
                <w:color w:val="auto"/>
              </w:rPr>
            </w:pPr>
            <w:r>
              <w:rPr>
                <w:rFonts w:ascii="Arial" w:cs="Arial" w:eastAsia="Arial" w:hAnsi="Arial"/>
                <w:sz w:val="15"/>
                <w:szCs w:val="15"/>
                <w:b w:val="1"/>
                <w:bCs w:val="1"/>
                <w:color w:val="auto"/>
              </w:rPr>
              <w:t>Reconciliations</w:t>
            </w: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5"/>
                <w:szCs w:val="15"/>
                <w:color w:val="auto"/>
              </w:rPr>
              <w:t>—</w:t>
            </w:r>
          </w:p>
        </w:tc>
        <w:tc>
          <w:tcPr>
            <w:tcW w:w="1260" w:type="dxa"/>
            <w:vAlign w:val="bottom"/>
            <w:gridSpan w:val="2"/>
            <w:shd w:val="clear" w:color="auto" w:fill="CCEEFF"/>
          </w:tcPr>
          <w:p>
            <w:pPr>
              <w:jc w:val="center"/>
              <w:ind w:left="425"/>
              <w:spacing w:after="0"/>
              <w:rPr>
                <w:sz w:val="20"/>
                <w:szCs w:val="20"/>
                <w:color w:val="auto"/>
              </w:rPr>
            </w:pPr>
            <w:r>
              <w:rPr>
                <w:rFonts w:ascii="Arial" w:cs="Arial" w:eastAsia="Arial" w:hAnsi="Arial"/>
                <w:sz w:val="15"/>
                <w:szCs w:val="15"/>
                <w:color w:val="auto"/>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364"/>
              <w:spacing w:after="0"/>
              <w:rPr>
                <w:sz w:val="20"/>
                <w:szCs w:val="20"/>
                <w:color w:val="auto"/>
              </w:rPr>
            </w:pPr>
            <w:r>
              <w:rPr>
                <w:rFonts w:ascii="Arial" w:cs="Arial" w:eastAsia="Arial" w:hAnsi="Arial"/>
                <w:sz w:val="15"/>
                <w:szCs w:val="15"/>
                <w:color w:val="auto"/>
              </w:rPr>
              <w:t>(18,855)</w:t>
            </w:r>
          </w:p>
        </w:tc>
        <w:tc>
          <w:tcPr>
            <w:tcW w:w="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w:t>
            </w: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384"/>
              <w:spacing w:after="0"/>
              <w:rPr>
                <w:sz w:val="20"/>
                <w:szCs w:val="20"/>
                <w:color w:val="auto"/>
              </w:rPr>
            </w:pPr>
            <w:r>
              <w:rPr>
                <w:rFonts w:ascii="Arial" w:cs="Arial" w:eastAsia="Arial" w:hAnsi="Arial"/>
                <w:sz w:val="15"/>
                <w:szCs w:val="15"/>
                <w:color w:val="auto"/>
              </w:rPr>
              <w:t>(8,135)</w:t>
            </w: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w:t>
            </w:r>
          </w:p>
        </w:tc>
        <w:tc>
          <w:tcPr>
            <w:tcW w:w="0" w:type="dxa"/>
            <w:vAlign w:val="bottom"/>
          </w:tcPr>
          <w:p>
            <w:pPr>
              <w:spacing w:after="0"/>
              <w:rPr>
                <w:sz w:val="1"/>
                <w:szCs w:val="1"/>
                <w:color w:val="auto"/>
              </w:rPr>
            </w:pPr>
          </w:p>
        </w:tc>
      </w:tr>
      <w:tr>
        <w:trPr>
          <w:trHeight w:val="198"/>
        </w:trPr>
        <w:tc>
          <w:tcPr>
            <w:tcW w:w="2400" w:type="dxa"/>
            <w:vAlign w:val="bottom"/>
            <w:gridSpan w:val="2"/>
          </w:tcPr>
          <w:p>
            <w:pPr>
              <w:ind w:left="20"/>
              <w:spacing w:after="0"/>
              <w:rPr>
                <w:sz w:val="20"/>
                <w:szCs w:val="20"/>
                <w:color w:val="auto"/>
              </w:rPr>
            </w:pPr>
            <w:r>
              <w:rPr>
                <w:rFonts w:ascii="Arial" w:cs="Arial" w:eastAsia="Arial" w:hAnsi="Arial"/>
                <w:sz w:val="15"/>
                <w:szCs w:val="15"/>
                <w:color w:val="auto"/>
              </w:rPr>
              <w:t>Total</w:t>
            </w:r>
          </w:p>
        </w:tc>
        <w:tc>
          <w:tcPr>
            <w:tcW w:w="1160" w:type="dxa"/>
            <w:vAlign w:val="bottom"/>
          </w:tcPr>
          <w:p>
            <w:pPr>
              <w:jc w:val="right"/>
              <w:spacing w:after="0"/>
              <w:rPr>
                <w:sz w:val="20"/>
                <w:szCs w:val="20"/>
                <w:color w:val="auto"/>
              </w:rPr>
            </w:pPr>
            <w:r>
              <w:rPr>
                <w:rFonts w:ascii="Arial" w:cs="Arial" w:eastAsia="Arial" w:hAnsi="Arial"/>
                <w:sz w:val="15"/>
                <w:szCs w:val="15"/>
                <w:color w:val="auto"/>
              </w:rPr>
              <w:t>48.9 %</w:t>
            </w:r>
          </w:p>
        </w:tc>
        <w:tc>
          <w:tcPr>
            <w:tcW w:w="100" w:type="dxa"/>
            <w:vAlign w:val="bottom"/>
          </w:tcPr>
          <w:p>
            <w:pPr>
              <w:spacing w:after="0"/>
              <w:rPr>
                <w:sz w:val="17"/>
                <w:szCs w:val="17"/>
                <w:color w:val="auto"/>
              </w:rPr>
            </w:pPr>
          </w:p>
        </w:tc>
        <w:tc>
          <w:tcPr>
            <w:tcW w:w="1140" w:type="dxa"/>
            <w:vAlign w:val="bottom"/>
          </w:tcPr>
          <w:p>
            <w:pPr>
              <w:jc w:val="center"/>
              <w:ind w:left="525"/>
              <w:spacing w:after="0"/>
              <w:rPr>
                <w:sz w:val="20"/>
                <w:szCs w:val="20"/>
                <w:color w:val="auto"/>
              </w:rPr>
            </w:pPr>
            <w:r>
              <w:rPr>
                <w:rFonts w:ascii="Arial" w:cs="Arial" w:eastAsia="Arial" w:hAnsi="Arial"/>
                <w:sz w:val="15"/>
                <w:szCs w:val="15"/>
                <w:color w:val="auto"/>
                <w:w w:val="95"/>
              </w:rPr>
              <w:t>(23.0)%</w:t>
            </w:r>
          </w:p>
        </w:tc>
        <w:tc>
          <w:tcPr>
            <w:tcW w:w="120" w:type="dxa"/>
            <w:vAlign w:val="bottom"/>
          </w:tcPr>
          <w:p>
            <w:pPr>
              <w:spacing w:after="0"/>
              <w:rPr>
                <w:sz w:val="17"/>
                <w:szCs w:val="17"/>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1,249</w:t>
            </w:r>
          </w:p>
        </w:tc>
        <w:tc>
          <w:tcPr>
            <w:tcW w:w="100" w:type="dxa"/>
            <w:vAlign w:val="bottom"/>
          </w:tcPr>
          <w:p>
            <w:pPr>
              <w:spacing w:after="0"/>
              <w:rPr>
                <w:sz w:val="17"/>
                <w:szCs w:val="17"/>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1,184</w:t>
            </w:r>
          </w:p>
        </w:tc>
        <w:tc>
          <w:tcPr>
            <w:tcW w:w="10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64"/>
              <w:spacing w:after="0"/>
              <w:rPr>
                <w:sz w:val="20"/>
                <w:szCs w:val="20"/>
                <w:color w:val="auto"/>
              </w:rPr>
            </w:pPr>
            <w:r>
              <w:rPr>
                <w:rFonts w:ascii="Arial" w:cs="Arial" w:eastAsia="Arial" w:hAnsi="Arial"/>
                <w:sz w:val="15"/>
                <w:szCs w:val="15"/>
                <w:color w:val="auto"/>
                <w:w w:val="95"/>
              </w:rPr>
              <w:t>$</w:t>
            </w:r>
          </w:p>
        </w:tc>
        <w:tc>
          <w:tcPr>
            <w:tcW w:w="1220" w:type="dxa"/>
            <w:vAlign w:val="bottom"/>
            <w:tcBorders>
              <w:top w:val="single" w:sz="8" w:color="auto"/>
              <w:bottom w:val="single" w:sz="8" w:color="auto"/>
            </w:tcBorders>
          </w:tcPr>
          <w:p>
            <w:pPr>
              <w:jc w:val="right"/>
              <w:ind w:right="404"/>
              <w:spacing w:after="0"/>
              <w:rPr>
                <w:sz w:val="20"/>
                <w:szCs w:val="20"/>
                <w:color w:val="auto"/>
              </w:rPr>
            </w:pPr>
            <w:r>
              <w:rPr>
                <w:rFonts w:ascii="Arial" w:cs="Arial" w:eastAsia="Arial" w:hAnsi="Arial"/>
                <w:sz w:val="15"/>
                <w:szCs w:val="15"/>
                <w:color w:val="auto"/>
              </w:rPr>
              <w:t>1,083,669</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100.0 %</w:t>
            </w:r>
          </w:p>
        </w:tc>
        <w:tc>
          <w:tcPr>
            <w:tcW w:w="80" w:type="dxa"/>
            <w:vAlign w:val="bottom"/>
          </w:tcPr>
          <w:p>
            <w:pPr>
              <w:spacing w:after="0"/>
              <w:rPr>
                <w:sz w:val="17"/>
                <w:szCs w:val="17"/>
                <w:color w:val="auto"/>
              </w:rPr>
            </w:pPr>
          </w:p>
        </w:tc>
        <w:tc>
          <w:tcPr>
            <w:tcW w:w="420" w:type="dxa"/>
            <w:vAlign w:val="bottom"/>
            <w:tcBorders>
              <w:top w:val="single" w:sz="8" w:color="auto"/>
              <w:bottom w:val="single" w:sz="8" w:color="auto"/>
            </w:tcBorders>
          </w:tcPr>
          <w:p>
            <w:pPr>
              <w:jc w:val="right"/>
              <w:ind w:right="244"/>
              <w:spacing w:after="0"/>
              <w:rPr>
                <w:sz w:val="20"/>
                <w:szCs w:val="20"/>
                <w:color w:val="auto"/>
              </w:rPr>
            </w:pPr>
            <w:r>
              <w:rPr>
                <w:rFonts w:ascii="Arial" w:cs="Arial" w:eastAsia="Arial" w:hAnsi="Arial"/>
                <w:sz w:val="15"/>
                <w:szCs w:val="15"/>
                <w:color w:val="auto"/>
                <w:w w:val="95"/>
              </w:rPr>
              <w:t>$</w:t>
            </w:r>
          </w:p>
        </w:tc>
        <w:tc>
          <w:tcPr>
            <w:tcW w:w="1060" w:type="dxa"/>
            <w:vAlign w:val="bottom"/>
            <w:tcBorders>
              <w:top w:val="single" w:sz="8" w:color="auto"/>
              <w:bottom w:val="single" w:sz="8" w:color="auto"/>
            </w:tcBorders>
          </w:tcPr>
          <w:p>
            <w:pPr>
              <w:jc w:val="right"/>
              <w:ind w:right="424"/>
              <w:spacing w:after="0"/>
              <w:rPr>
                <w:sz w:val="20"/>
                <w:szCs w:val="20"/>
                <w:color w:val="auto"/>
              </w:rPr>
            </w:pPr>
            <w:r>
              <w:rPr>
                <w:rFonts w:ascii="Arial" w:cs="Arial" w:eastAsia="Arial" w:hAnsi="Arial"/>
                <w:sz w:val="15"/>
                <w:szCs w:val="15"/>
                <w:color w:val="auto"/>
                <w:w w:val="99"/>
              </w:rPr>
              <w:t>729,711</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4"/>
              </w:rPr>
              <w:t>100.0 %</w:t>
            </w:r>
          </w:p>
        </w:tc>
        <w:tc>
          <w:tcPr>
            <w:tcW w:w="0" w:type="dxa"/>
            <w:vAlign w:val="bottom"/>
          </w:tcPr>
          <w:p>
            <w:pPr>
              <w:spacing w:after="0"/>
              <w:rPr>
                <w:sz w:val="1"/>
                <w:szCs w:val="1"/>
                <w:color w:val="auto"/>
              </w:rPr>
            </w:pPr>
          </w:p>
        </w:tc>
      </w:tr>
      <w:tr>
        <w:trPr>
          <w:trHeight w:val="20"/>
        </w:trPr>
        <w:tc>
          <w:tcPr>
            <w:tcW w:w="23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2400" w:type="dxa"/>
            <w:vAlign w:val="bottom"/>
            <w:gridSpan w:val="2"/>
            <w:shd w:val="clear" w:color="auto" w:fill="CCEEFF"/>
          </w:tcPr>
          <w:p>
            <w:pPr>
              <w:ind w:left="20"/>
              <w:spacing w:after="0" w:line="116" w:lineRule="exact"/>
              <w:rPr>
                <w:sz w:val="20"/>
                <w:szCs w:val="20"/>
                <w:color w:val="auto"/>
              </w:rPr>
            </w:pPr>
            <w:r>
              <w:rPr>
                <w:rFonts w:ascii="Arial" w:cs="Arial" w:eastAsia="Arial" w:hAnsi="Arial"/>
                <w:sz w:val="13"/>
                <w:szCs w:val="13"/>
                <w:color w:val="auto"/>
              </w:rPr>
              <w:t>Adjusted Comparable Store Sales</w:t>
            </w: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53.3 %</w:t>
            </w:r>
          </w:p>
        </w:tc>
        <w:tc>
          <w:tcPr>
            <w:tcW w:w="100" w:type="dxa"/>
            <w:vAlign w:val="bottom"/>
            <w:shd w:val="clear" w:color="auto" w:fill="CCEEFF"/>
          </w:tcPr>
          <w:p>
            <w:pPr>
              <w:spacing w:after="0"/>
              <w:rPr>
                <w:sz w:val="10"/>
                <w:szCs w:val="10"/>
                <w:color w:val="auto"/>
              </w:rPr>
            </w:pPr>
          </w:p>
        </w:tc>
        <w:tc>
          <w:tcPr>
            <w:tcW w:w="1140" w:type="dxa"/>
            <w:vAlign w:val="bottom"/>
            <w:vMerge w:val="restart"/>
            <w:shd w:val="clear" w:color="auto" w:fill="CCEEFF"/>
          </w:tcPr>
          <w:p>
            <w:pPr>
              <w:jc w:val="center"/>
              <w:ind w:left="525"/>
              <w:spacing w:after="0"/>
              <w:rPr>
                <w:sz w:val="20"/>
                <w:szCs w:val="20"/>
                <w:color w:val="auto"/>
              </w:rPr>
            </w:pPr>
            <w:r>
              <w:rPr>
                <w:rFonts w:ascii="Arial" w:cs="Arial" w:eastAsia="Arial" w:hAnsi="Arial"/>
                <w:sz w:val="15"/>
                <w:szCs w:val="15"/>
                <w:color w:val="auto"/>
                <w:w w:val="95"/>
              </w:rPr>
              <w:t>(22.6)%</w:t>
            </w:r>
          </w:p>
        </w:tc>
        <w:tc>
          <w:tcPr>
            <w:tcW w:w="12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2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0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03"/>
        </w:trPr>
        <w:tc>
          <w:tcPr>
            <w:tcW w:w="2400" w:type="dxa"/>
            <w:vAlign w:val="bottom"/>
            <w:gridSpan w:val="2"/>
            <w:shd w:val="clear" w:color="auto" w:fill="CCEEFF"/>
          </w:tcPr>
          <w:p>
            <w:pPr>
              <w:ind w:left="20"/>
              <w:spacing w:after="0" w:line="203" w:lineRule="exact"/>
              <w:rPr>
                <w:sz w:val="20"/>
                <w:szCs w:val="20"/>
                <w:color w:val="auto"/>
              </w:rPr>
            </w:pPr>
            <w:r>
              <w:rPr>
                <w:rFonts w:ascii="Arial" w:cs="Arial" w:eastAsia="Arial" w:hAnsi="Arial"/>
                <w:sz w:val="15"/>
                <w:szCs w:val="15"/>
                <w:color w:val="auto"/>
              </w:rPr>
              <w:t>Growth</w:t>
            </w:r>
            <w:r>
              <w:rPr>
                <w:rFonts w:ascii="Arial" w:cs="Arial" w:eastAsia="Arial" w:hAnsi="Arial"/>
                <w:sz w:val="19"/>
                <w:szCs w:val="19"/>
                <w:color w:val="auto"/>
                <w:vertAlign w:val="superscript"/>
              </w:rPr>
              <w:t>(3)</w:t>
            </w:r>
          </w:p>
        </w:tc>
        <w:tc>
          <w:tcPr>
            <w:tcW w:w="11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ind w:left="660" w:right="660" w:hanging="328"/>
        <w:spacing w:after="0" w:line="263" w:lineRule="auto"/>
        <w:tabs>
          <w:tab w:leader="none" w:pos="652" w:val="left"/>
        </w:tabs>
        <w:numPr>
          <w:ilvl w:val="0"/>
          <w:numId w:val="16"/>
        </w:numPr>
        <w:rPr>
          <w:rFonts w:ascii="Arial" w:cs="Arial" w:eastAsia="Arial" w:hAnsi="Arial"/>
          <w:sz w:val="13"/>
          <w:szCs w:val="13"/>
          <w:color w:val="auto"/>
        </w:rPr>
      </w:pPr>
      <w:r>
        <w:rPr>
          <w:rFonts w:ascii="Arial" w:cs="Arial" w:eastAsia="Arial" w:hAnsi="Arial"/>
          <w:sz w:val="13"/>
          <w:szCs w:val="13"/>
          <w:color w:val="auto"/>
        </w:rPr>
        <w:t>We calculate total comparable store sales based on consolidated net revenue excluding the impact of (i) Corporate/Other segment net revenue, (ii) sales from stores opened less than 13 months, (iii) stores closed in the periods presented, (iv) sales from partial months of operation when stores do not open or close on the first day of the month and (v) if applicable, the impact of a 53rd week in a fiscal year. Brand-level comparable store sales growth is calculated based on cash basis revenues consistent with what the CODM reviews, and consistent with reportable segment revenues presented in Note 10. “Segment Reporting” in our unaudited condensed consolidated financial statements included in Part I. Item 1. of this Form 10-Q, with the exception of the Legacy segment, which is adjusted as noted in clause (ii) of footnote (3) below.</w:t>
      </w:r>
    </w:p>
    <w:p>
      <w:pPr>
        <w:spacing w:after="0" w:line="2" w:lineRule="exact"/>
        <w:rPr>
          <w:rFonts w:ascii="Arial" w:cs="Arial" w:eastAsia="Arial" w:hAnsi="Arial"/>
          <w:sz w:val="13"/>
          <w:szCs w:val="13"/>
          <w:color w:val="auto"/>
        </w:rPr>
      </w:pPr>
    </w:p>
    <w:p>
      <w:pPr>
        <w:ind w:left="640" w:hanging="308"/>
        <w:spacing w:after="0"/>
        <w:tabs>
          <w:tab w:leader="none" w:pos="640" w:val="left"/>
        </w:tabs>
        <w:numPr>
          <w:ilvl w:val="0"/>
          <w:numId w:val="16"/>
        </w:numPr>
        <w:rPr>
          <w:rFonts w:ascii="Arial" w:cs="Arial" w:eastAsia="Arial" w:hAnsi="Arial"/>
          <w:sz w:val="14"/>
          <w:szCs w:val="14"/>
          <w:color w:val="auto"/>
        </w:rPr>
      </w:pPr>
      <w:r>
        <w:rPr>
          <w:rFonts w:ascii="Arial" w:cs="Arial" w:eastAsia="Arial" w:hAnsi="Arial"/>
          <w:sz w:val="14"/>
          <w:szCs w:val="14"/>
          <w:color w:val="auto"/>
        </w:rPr>
        <w:t>Percentages reflect line item as a percentage of net revenue, adjusted for rounding.</w:t>
      </w:r>
    </w:p>
    <w:p>
      <w:pPr>
        <w:spacing w:after="0" w:line="1" w:lineRule="exact"/>
        <w:rPr>
          <w:rFonts w:ascii="Arial" w:cs="Arial" w:eastAsia="Arial" w:hAnsi="Arial"/>
          <w:sz w:val="14"/>
          <w:szCs w:val="14"/>
          <w:color w:val="auto"/>
        </w:rPr>
      </w:pPr>
    </w:p>
    <w:p>
      <w:pPr>
        <w:jc w:val="both"/>
        <w:ind w:left="660" w:right="640" w:hanging="328"/>
        <w:spacing w:after="0" w:line="244" w:lineRule="auto"/>
        <w:tabs>
          <w:tab w:leader="none" w:pos="652" w:val="left"/>
        </w:tabs>
        <w:numPr>
          <w:ilvl w:val="0"/>
          <w:numId w:val="16"/>
        </w:numPr>
        <w:rPr>
          <w:rFonts w:ascii="Arial" w:cs="Arial" w:eastAsia="Arial" w:hAnsi="Arial"/>
          <w:sz w:val="14"/>
          <w:szCs w:val="14"/>
          <w:color w:val="auto"/>
        </w:rPr>
      </w:pPr>
      <w:r>
        <w:rPr>
          <w:rFonts w:ascii="Arial" w:cs="Arial" w:eastAsia="Arial" w:hAnsi="Arial"/>
          <w:sz w:val="14"/>
          <w:szCs w:val="14"/>
          <w:color w:val="auto"/>
        </w:rPr>
        <w:t>There are two differences between total comparable store sales growth based on consolidated net revenue and Adjusted Comparable Store Sales Growth: (i) Adjusted Comparable Store Sales Growth includes the effect of deferred and unearned revenue as if such revenues were earned at the point of sale, resulting in an increase of 4.4% and an increase of 0.3% from total comparable store sales growth based on consolidated net revenue for the six months ended July 3, 2021 and June 27, 2020, respectively, and (ii) Adjusted Comparable Store Sales Growth includes retail sales to the legacy partner’s customers (rather than the revenues recognized consistent with the management &amp; services agreement with the legacy partner), resulting in an increase of 0.1% from total comparable store sales growth based on consolidated net revenue for the six months ended June 27, 2020.</w:t>
      </w:r>
    </w:p>
    <w:p>
      <w:pPr>
        <w:spacing w:after="0" w:line="9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Total net revenue of $1,083.7 million for the six months ended July 3, 2021 increased $354.0 million, or 48.5%, from $729.7 million for the six months ended June 27, 2020. This increase was primarily driven by comparable store sales growth driven by strong customer demand, including the effect of our stores being temporarily closed to the public for a portion of the six months ended June 27, 2020, government stimulus, and new store growth and maturation. Total net revenue was also positively impacted by changes in unearned revenue.</w:t>
      </w:r>
    </w:p>
    <w:p>
      <w:pPr>
        <w:spacing w:after="0" w:line="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the six months ended July 3, 2021, we opened 41 new America’s Best stores and four Eyeglass World stores and closed one America’s Best store; Overall, store count grew 5.5% from June 27, 2020 to July 3, 2021 (61, and five net new America’s Best and Eyeglass World stores were added, respectively, and one Legacy store was closed during the same period). The store count as of June 27, 2020 has been updated from the previously reported number.</w:t>
      </w:r>
    </w:p>
    <w:p>
      <w:pPr>
        <w:spacing w:after="0" w:line="79"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Comparable store sales growth and Adjusted Comparable Store Sales Growth for the six months ended July 3, 2021 were 48.9% and 53.3%, respectively. The increases in comparable store sales growth and Adjusted Comparable Store Sales Growth were primarily driven by strong customer demand, including the effect of our stores being temporarily closed for a portion of the six months ended June 27, 2020 and government stimulus.</w:t>
      </w: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4" w:name="page35"/>
    <w:bookmarkEnd w:id="3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Net product sales comprised 83.2% and 82.6% of total net revenue for the six months ended July 3, 2021 and June 27, 2020, respectively. Net product sales increased $298.7 million, or 49.6%, in the six months ended July 3, 2021 compared to the six months ended June 27, 2020, primarily due to increased eyeglass sales and to a lesser extent increased contact lens sales. Net sales of services and plans increased $55.2 million, or 43.4%, primarily driven by eye exam revenue.</w:t>
      </w:r>
    </w:p>
    <w:p>
      <w:pPr>
        <w:spacing w:after="0" w:line="79"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i w:val="1"/>
          <w:iCs w:val="1"/>
          <w:color w:val="auto"/>
        </w:rPr>
        <w:t xml:space="preserve">Owned &amp; Host segment net revenue. </w:t>
      </w:r>
      <w:r>
        <w:rPr>
          <w:rFonts w:ascii="Arial" w:cs="Arial" w:eastAsia="Arial" w:hAnsi="Arial"/>
          <w:sz w:val="18"/>
          <w:szCs w:val="18"/>
          <w:color w:val="auto"/>
        </w:rPr>
        <w:t>Net revenue increased $333.7 million, or 59.7%, driven primarily by comparable store sales growth and new store</w:t>
      </w:r>
      <w:r>
        <w:rPr>
          <w:rFonts w:ascii="Arial" w:cs="Arial" w:eastAsia="Arial" w:hAnsi="Arial"/>
          <w:sz w:val="18"/>
          <w:szCs w:val="18"/>
          <w:i w:val="1"/>
          <w:iCs w:val="1"/>
          <w:color w:val="auto"/>
        </w:rPr>
        <w:t xml:space="preserve"> </w:t>
      </w:r>
      <w:r>
        <w:rPr>
          <w:rFonts w:ascii="Arial" w:cs="Arial" w:eastAsia="Arial" w:hAnsi="Arial"/>
          <w:sz w:val="18"/>
          <w:szCs w:val="18"/>
          <w:color w:val="auto"/>
        </w:rPr>
        <w:t>openings.</w:t>
      </w:r>
    </w:p>
    <w:p>
      <w:pPr>
        <w:spacing w:after="0" w:line="62"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i w:val="1"/>
          <w:iCs w:val="1"/>
          <w:color w:val="auto"/>
        </w:rPr>
        <w:t xml:space="preserve">Legacy segment net revenue. </w:t>
      </w:r>
      <w:r>
        <w:rPr>
          <w:rFonts w:ascii="Arial" w:cs="Arial" w:eastAsia="Arial" w:hAnsi="Arial"/>
          <w:sz w:val="18"/>
          <w:szCs w:val="18"/>
          <w:color w:val="auto"/>
        </w:rPr>
        <w:t>Net revenue increased $25.3 million, or 40.9%, driven by comparable store sales growth, increases in fees from our</w:t>
      </w:r>
      <w:r>
        <w:rPr>
          <w:rFonts w:ascii="Arial" w:cs="Arial" w:eastAsia="Arial" w:hAnsi="Arial"/>
          <w:sz w:val="18"/>
          <w:szCs w:val="18"/>
          <w:i w:val="1"/>
          <w:iCs w:val="1"/>
          <w:color w:val="auto"/>
        </w:rPr>
        <w:t xml:space="preserve"> </w:t>
      </w:r>
      <w:r>
        <w:rPr>
          <w:rFonts w:ascii="Arial" w:cs="Arial" w:eastAsia="Arial" w:hAnsi="Arial"/>
          <w:sz w:val="18"/>
          <w:szCs w:val="18"/>
          <w:color w:val="auto"/>
        </w:rPr>
        <w:t>Legacy partner and eye exams.</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 xml:space="preserve">Corporate/Other segment net revenue. </w:t>
      </w:r>
      <w:r>
        <w:rPr>
          <w:rFonts w:ascii="Arial" w:cs="Arial" w:eastAsia="Arial" w:hAnsi="Arial"/>
          <w:sz w:val="18"/>
          <w:szCs w:val="18"/>
          <w:color w:val="auto"/>
        </w:rPr>
        <w:t>Net revenue increased $5.7 million, or 4.9%, due to increases in wholesale fulfillment.</w:t>
      </w:r>
    </w:p>
    <w:p>
      <w:pPr>
        <w:spacing w:after="0" w:line="117" w:lineRule="exact"/>
        <w:rPr>
          <w:sz w:val="20"/>
          <w:szCs w:val="20"/>
          <w:color w:val="auto"/>
        </w:rPr>
      </w:pPr>
    </w:p>
    <w:p>
      <w:pPr>
        <w:jc w:val="both"/>
        <w:ind w:left="340"/>
        <w:spacing w:after="0" w:line="254" w:lineRule="auto"/>
        <w:rPr>
          <w:sz w:val="20"/>
          <w:szCs w:val="20"/>
          <w:color w:val="auto"/>
        </w:rPr>
      </w:pPr>
      <w:r>
        <w:rPr>
          <w:rFonts w:ascii="Arial" w:cs="Arial" w:eastAsia="Arial" w:hAnsi="Arial"/>
          <w:sz w:val="18"/>
          <w:szCs w:val="18"/>
          <w:i w:val="1"/>
          <w:iCs w:val="1"/>
          <w:color w:val="auto"/>
        </w:rPr>
        <w:t xml:space="preserve">Net revenue reconciliations. </w:t>
      </w:r>
      <w:r>
        <w:rPr>
          <w:rFonts w:ascii="Arial" w:cs="Arial" w:eastAsia="Arial" w:hAnsi="Arial"/>
          <w:sz w:val="18"/>
          <w:szCs w:val="18"/>
          <w:color w:val="auto"/>
        </w:rPr>
        <w:t>The impact of reconciliations decreased net revenue by $10.7 million in the six months ended July 3, 2021 compared to</w:t>
      </w:r>
      <w:r>
        <w:rPr>
          <w:rFonts w:ascii="Arial" w:cs="Arial" w:eastAsia="Arial" w:hAnsi="Arial"/>
          <w:sz w:val="18"/>
          <w:szCs w:val="18"/>
          <w:i w:val="1"/>
          <w:iCs w:val="1"/>
          <w:color w:val="auto"/>
        </w:rPr>
        <w:t xml:space="preserve"> </w:t>
      </w:r>
      <w:r>
        <w:rPr>
          <w:rFonts w:ascii="Arial" w:cs="Arial" w:eastAsia="Arial" w:hAnsi="Arial"/>
          <w:sz w:val="18"/>
          <w:szCs w:val="18"/>
          <w:color w:val="auto"/>
        </w:rPr>
        <w:t>the six months ended June 27, 2020. Reconciliations include an increase in unearned revenue of $6.5 million for the six months ended July 3, 2021 compared to an increase in unearned revenue of $14.5 million for the six months ended June 27, 2020, and an increase in deferred revenue of $12.4 million compared to a decrease of $6.4 million, for the six months ended July 3, 2021 and June 27, 2020, respectively. The increase in deferred revenue is due to higher sales of warranties and club memberships. Unearned revenue increased net revenue in the current year compared to prior year primarily due to higher sales at the end of the second quarter of 2020 after our stores reopened and customers made purchases reflective of demand that was not met during the temporary closure period.</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Costs applicable to revenue</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Costs applicable to revenue of $460.6 million for the six months ended July 3, 2021 increased $101.3 million, or 28.2%, from $359.3 million for the six months ended June 27, 2020. As a percentage of net revenue, costs applicable to revenue decreased from 49.2% for the six months ended June 27, 2020 to 42.5% for the six months ended July 3, 2021. This decrease as a percentage of net revenue was primarily driven by negative margin impacts from the temporary closure of our stores in the prior year that were not experienced in the 2021 period, lower growth in optometrist costs, increased eyeglass mix and higher eyeglass margin.</w:t>
      </w:r>
    </w:p>
    <w:p>
      <w:pPr>
        <w:spacing w:after="0" w:line="80"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Costs of products as a percentage of net product sales decreased from 42.2% for the six months ended June 27, 2020 to 36.3% for the six months ended July 3, 2021, primarily driven by the impact of the temporary store closures in fiscal year 2020, increased eyeglass mix and higher eyeglass margin.</w:t>
      </w:r>
    </w:p>
    <w:p>
      <w:pPr>
        <w:spacing w:after="0" w:line="16" w:lineRule="exact"/>
        <w:rPr>
          <w:sz w:val="20"/>
          <w:szCs w:val="20"/>
          <w:color w:val="auto"/>
        </w:rPr>
      </w:pPr>
    </w:p>
    <w:p>
      <w:pPr>
        <w:jc w:val="both"/>
        <w:ind w:left="340"/>
        <w:spacing w:after="0" w:line="263" w:lineRule="auto"/>
        <w:rPr>
          <w:sz w:val="20"/>
          <w:szCs w:val="20"/>
          <w:color w:val="auto"/>
        </w:rPr>
      </w:pPr>
      <w:r>
        <w:rPr>
          <w:rFonts w:ascii="Arial" w:cs="Arial" w:eastAsia="Arial" w:hAnsi="Arial"/>
          <w:sz w:val="18"/>
          <w:szCs w:val="18"/>
          <w:i w:val="1"/>
          <w:iCs w:val="1"/>
          <w:color w:val="auto"/>
        </w:rPr>
        <w:t xml:space="preserve">Owned &amp; Host segment costs of products. </w:t>
      </w:r>
      <w:r>
        <w:rPr>
          <w:rFonts w:ascii="Arial" w:cs="Arial" w:eastAsia="Arial" w:hAnsi="Arial"/>
          <w:sz w:val="18"/>
          <w:szCs w:val="18"/>
          <w:color w:val="auto"/>
        </w:rPr>
        <w:t>Costs of products as a percentage of net product sales decreased from 29.8% for the six months ended June</w:t>
      </w:r>
      <w:r>
        <w:rPr>
          <w:rFonts w:ascii="Arial" w:cs="Arial" w:eastAsia="Arial" w:hAnsi="Arial"/>
          <w:sz w:val="18"/>
          <w:szCs w:val="18"/>
          <w:i w:val="1"/>
          <w:iCs w:val="1"/>
          <w:color w:val="auto"/>
        </w:rPr>
        <w:t xml:space="preserve"> </w:t>
      </w:r>
      <w:r>
        <w:rPr>
          <w:rFonts w:ascii="Arial" w:cs="Arial" w:eastAsia="Arial" w:hAnsi="Arial"/>
          <w:sz w:val="18"/>
          <w:szCs w:val="18"/>
          <w:color w:val="auto"/>
        </w:rPr>
        <w:t>27, 2020 to 26.8% for the six months ended July 3, 2021 driven by the impact of the temporary store closures in fiscal year 2020, increased eyeglass mix and higher eyeglass margin.</w:t>
      </w:r>
    </w:p>
    <w:p>
      <w:pPr>
        <w:spacing w:after="0" w:line="76" w:lineRule="exact"/>
        <w:rPr>
          <w:sz w:val="20"/>
          <w:szCs w:val="20"/>
          <w:color w:val="auto"/>
        </w:rPr>
      </w:pPr>
    </w:p>
    <w:p>
      <w:pPr>
        <w:jc w:val="both"/>
        <w:ind w:left="340"/>
        <w:spacing w:after="0" w:line="272" w:lineRule="auto"/>
        <w:rPr>
          <w:sz w:val="20"/>
          <w:szCs w:val="20"/>
          <w:color w:val="auto"/>
        </w:rPr>
      </w:pPr>
      <w:r>
        <w:rPr>
          <w:rFonts w:ascii="Arial" w:cs="Arial" w:eastAsia="Arial" w:hAnsi="Arial"/>
          <w:sz w:val="17"/>
          <w:szCs w:val="17"/>
          <w:i w:val="1"/>
          <w:iCs w:val="1"/>
          <w:color w:val="auto"/>
        </w:rPr>
        <w:t xml:space="preserve">Legacy segment costs of products. </w:t>
      </w:r>
      <w:r>
        <w:rPr>
          <w:rFonts w:ascii="Arial" w:cs="Arial" w:eastAsia="Arial" w:hAnsi="Arial"/>
          <w:sz w:val="17"/>
          <w:szCs w:val="17"/>
          <w:color w:val="auto"/>
        </w:rPr>
        <w:t>Costs of products as a percentage of net product sales decreased from 50.4% for the six months ended June 27, 2020</w:t>
      </w:r>
      <w:r>
        <w:rPr>
          <w:rFonts w:ascii="Arial" w:cs="Arial" w:eastAsia="Arial" w:hAnsi="Arial"/>
          <w:sz w:val="17"/>
          <w:szCs w:val="17"/>
          <w:i w:val="1"/>
          <w:iCs w:val="1"/>
          <w:color w:val="auto"/>
        </w:rPr>
        <w:t xml:space="preserve"> </w:t>
      </w:r>
      <w:r>
        <w:rPr>
          <w:rFonts w:ascii="Arial" w:cs="Arial" w:eastAsia="Arial" w:hAnsi="Arial"/>
          <w:sz w:val="17"/>
          <w:szCs w:val="17"/>
          <w:color w:val="auto"/>
        </w:rPr>
        <w:t>to 47.5% for the six months ended July 3, 2021. The decrease was primarily driven by impact of the temporary store closures in fiscal year 2020 and a higher mix of managed care customer transactions versus non-managed care customer transactions. Legacy segment managed care net product revenue is recorded in net product sales while revenue associated with servicing non-managed care customers is recorded in net sales of services and plans. Eyeglass and contact lens product costs for both managed care and non-managed care net revenue are recorded in costs of products. Increases in managed care mix decrease costs of products as a percentage of net product sales and have a corresponding negative impact on costs of services as a percentage of net sales of services and plans in our Legacy segment.</w:t>
      </w:r>
    </w:p>
    <w:p>
      <w:pPr>
        <w:spacing w:after="0" w:line="6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Costs of services and plans as a percentage of net sales of services and plans decreased from 82.8% for the six months ended June 27, 2020 to 73.4% for the six months ended July 3, 2021. The decrease was primarily driven by the impact of the temporary store closures in fiscal year 2020, lower growth in optometrist cost and higher eye exam sales.</w:t>
      </w:r>
    </w:p>
    <w:p>
      <w:pPr>
        <w:spacing w:after="0" w:line="76" w:lineRule="exact"/>
        <w:rPr>
          <w:sz w:val="20"/>
          <w:szCs w:val="20"/>
          <w:color w:val="auto"/>
        </w:rPr>
      </w:pPr>
    </w:p>
    <w:p>
      <w:pPr>
        <w:jc w:val="both"/>
        <w:ind w:left="340"/>
        <w:spacing w:after="0" w:line="286" w:lineRule="auto"/>
        <w:rPr>
          <w:sz w:val="20"/>
          <w:szCs w:val="20"/>
          <w:color w:val="auto"/>
        </w:rPr>
      </w:pPr>
      <w:r>
        <w:rPr>
          <w:rFonts w:ascii="Arial" w:cs="Arial" w:eastAsia="Arial" w:hAnsi="Arial"/>
          <w:sz w:val="17"/>
          <w:szCs w:val="17"/>
          <w:i w:val="1"/>
          <w:iCs w:val="1"/>
          <w:color w:val="auto"/>
        </w:rPr>
        <w:t xml:space="preserve">Owned &amp; Host segment costs of services and plans. </w:t>
      </w:r>
      <w:r>
        <w:rPr>
          <w:rFonts w:ascii="Arial" w:cs="Arial" w:eastAsia="Arial" w:hAnsi="Arial"/>
          <w:sz w:val="17"/>
          <w:szCs w:val="17"/>
          <w:color w:val="auto"/>
        </w:rPr>
        <w:t>Costs of services and plans as a percentage of net sales of services and plans decreased from</w:t>
      </w:r>
      <w:r>
        <w:rPr>
          <w:rFonts w:ascii="Arial" w:cs="Arial" w:eastAsia="Arial" w:hAnsi="Arial"/>
          <w:sz w:val="17"/>
          <w:szCs w:val="17"/>
          <w:i w:val="1"/>
          <w:iCs w:val="1"/>
          <w:color w:val="auto"/>
        </w:rPr>
        <w:t xml:space="preserve"> </w:t>
      </w:r>
      <w:r>
        <w:rPr>
          <w:rFonts w:ascii="Arial" w:cs="Arial" w:eastAsia="Arial" w:hAnsi="Arial"/>
          <w:sz w:val="17"/>
          <w:szCs w:val="17"/>
          <w:color w:val="auto"/>
        </w:rPr>
        <w:t>94.6% for the six months ended June 27, 2020 to 74.9% for the six months ended July 3, 2021. The decrease was primarily driven by the impact of the temporary store closures in fiscal year 2020, lower growth in optometrist costs and higher eye exam sales.</w:t>
      </w: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5" w:name="page36"/>
    <w:bookmarkEnd w:id="3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ind w:left="340"/>
        <w:spacing w:after="0" w:line="311" w:lineRule="auto"/>
        <w:rPr>
          <w:sz w:val="20"/>
          <w:szCs w:val="20"/>
          <w:color w:val="auto"/>
        </w:rPr>
      </w:pPr>
      <w:r>
        <w:rPr>
          <w:rFonts w:ascii="Arial" w:cs="Arial" w:eastAsia="Arial" w:hAnsi="Arial"/>
          <w:sz w:val="16"/>
          <w:szCs w:val="16"/>
          <w:i w:val="1"/>
          <w:iCs w:val="1"/>
          <w:color w:val="auto"/>
        </w:rPr>
        <w:t xml:space="preserve">Legacy segment costs of services and plans. </w:t>
      </w:r>
      <w:r>
        <w:rPr>
          <w:rFonts w:ascii="Arial" w:cs="Arial" w:eastAsia="Arial" w:hAnsi="Arial"/>
          <w:sz w:val="16"/>
          <w:szCs w:val="16"/>
          <w:color w:val="auto"/>
        </w:rPr>
        <w:t>Costs of services and plans as a percentage of net sales of services and plans decreased from 52.7% for the</w:t>
      </w:r>
      <w:r>
        <w:rPr>
          <w:rFonts w:ascii="Arial" w:cs="Arial" w:eastAsia="Arial" w:hAnsi="Arial"/>
          <w:sz w:val="16"/>
          <w:szCs w:val="16"/>
          <w:i w:val="1"/>
          <w:iCs w:val="1"/>
          <w:color w:val="auto"/>
        </w:rPr>
        <w:t xml:space="preserve"> </w:t>
      </w:r>
      <w:r>
        <w:rPr>
          <w:rFonts w:ascii="Arial" w:cs="Arial" w:eastAsia="Arial" w:hAnsi="Arial"/>
          <w:sz w:val="16"/>
          <w:szCs w:val="16"/>
          <w:color w:val="auto"/>
        </w:rPr>
        <w:t>six months ended June 27, 2020 to 38.5% for the six months ended July 3, 2021. The decrease was primarily driven by the impact of the temporary store closures in fiscal year 2020, higher management fees from our Legacy partner, higher eye exam sales and lower growth in optometrist costs.</w:t>
      </w:r>
    </w:p>
    <w:p>
      <w:pPr>
        <w:spacing w:after="0" w:line="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w:t>
      </w:r>
    </w:p>
    <w:p>
      <w:pPr>
        <w:spacing w:after="0" w:line="11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SG&amp;A of $457.8 million for the six months ended July 3, 2021 increased $127.5 million, or 38.6%, from the six months ended June 27, 2020. As a percentage of net revenue, SG&amp;A decreased from 45.3% for the six months ended June 27, 2020 to 42.2% for the six months ended July 3, 2021. The decrease in SG&amp;A as a percentage of net revenue was primarily driven by negative impacts from the temporary closure of our stores in the prior year that were not experienced in the 2021 period and leverage of store and corporate payroll and occupancy expenses, partially offset by higher advertising expenses and higher performance-based incentive compensation. SG&amp;A for the six months ended July 3, 2021 and June 27, 2020 includes $0.7 million and $3.1 million, respectively, of incremental costs directly related to adapting the Company’s operations during the COVID-19 pandemic; of these costs, $0.6 million were reflected as adjustments for the Company’s presentation of non-GAAP measures below for the six months ended June 27, 2020.</w:t>
      </w:r>
    </w:p>
    <w:p>
      <w:pPr>
        <w:spacing w:after="0" w:line="58" w:lineRule="exact"/>
        <w:rPr>
          <w:sz w:val="20"/>
          <w:szCs w:val="20"/>
          <w:color w:val="auto"/>
        </w:rPr>
      </w:pPr>
    </w:p>
    <w:p>
      <w:pPr>
        <w:jc w:val="both"/>
        <w:ind w:left="340"/>
        <w:spacing w:after="0" w:line="263" w:lineRule="auto"/>
        <w:rPr>
          <w:sz w:val="20"/>
          <w:szCs w:val="20"/>
          <w:color w:val="auto"/>
        </w:rPr>
      </w:pPr>
      <w:r>
        <w:rPr>
          <w:rFonts w:ascii="Arial" w:cs="Arial" w:eastAsia="Arial" w:hAnsi="Arial"/>
          <w:sz w:val="18"/>
          <w:szCs w:val="18"/>
          <w:i w:val="1"/>
          <w:iCs w:val="1"/>
          <w:color w:val="auto"/>
        </w:rPr>
        <w:t xml:space="preserve">Owned &amp; Host SG&amp;A. </w:t>
      </w:r>
      <w:r>
        <w:rPr>
          <w:rFonts w:ascii="Arial" w:cs="Arial" w:eastAsia="Arial" w:hAnsi="Arial"/>
          <w:sz w:val="18"/>
          <w:szCs w:val="18"/>
          <w:color w:val="auto"/>
        </w:rPr>
        <w:t>SG&amp;A as a percentage of net revenue decreased from 39.6% for the six months ended June 27, 2020 to 34.6% for the six</w:t>
      </w:r>
      <w:r>
        <w:rPr>
          <w:rFonts w:ascii="Arial" w:cs="Arial" w:eastAsia="Arial" w:hAnsi="Arial"/>
          <w:sz w:val="18"/>
          <w:szCs w:val="18"/>
          <w:i w:val="1"/>
          <w:iCs w:val="1"/>
          <w:color w:val="auto"/>
        </w:rPr>
        <w:t xml:space="preserve"> </w:t>
      </w:r>
      <w:r>
        <w:rPr>
          <w:rFonts w:ascii="Arial" w:cs="Arial" w:eastAsia="Arial" w:hAnsi="Arial"/>
          <w:sz w:val="18"/>
          <w:szCs w:val="18"/>
          <w:color w:val="auto"/>
        </w:rPr>
        <w:t>months ended July 3, 2021, driven primarily by the impact of the temporary store closures in fiscal year 2020 and payroll and occupancy leverage, partially offset by higher advertising expense.</w:t>
      </w:r>
    </w:p>
    <w:p>
      <w:pPr>
        <w:spacing w:after="0" w:line="76" w:lineRule="exact"/>
        <w:rPr>
          <w:sz w:val="20"/>
          <w:szCs w:val="20"/>
          <w:color w:val="auto"/>
        </w:rPr>
      </w:pPr>
    </w:p>
    <w:p>
      <w:pPr>
        <w:jc w:val="both"/>
        <w:ind w:left="340" w:right="20"/>
        <w:spacing w:after="0" w:line="342" w:lineRule="auto"/>
        <w:rPr>
          <w:sz w:val="20"/>
          <w:szCs w:val="20"/>
          <w:color w:val="auto"/>
        </w:rPr>
      </w:pPr>
      <w:r>
        <w:rPr>
          <w:rFonts w:ascii="Arial" w:cs="Arial" w:eastAsia="Arial" w:hAnsi="Arial"/>
          <w:sz w:val="16"/>
          <w:szCs w:val="16"/>
          <w:i w:val="1"/>
          <w:iCs w:val="1"/>
          <w:color w:val="auto"/>
        </w:rPr>
        <w:t xml:space="preserve">Legacy segment SG&amp;A. </w:t>
      </w:r>
      <w:r>
        <w:rPr>
          <w:rFonts w:ascii="Arial" w:cs="Arial" w:eastAsia="Arial" w:hAnsi="Arial"/>
          <w:sz w:val="16"/>
          <w:szCs w:val="16"/>
          <w:color w:val="auto"/>
        </w:rPr>
        <w:t>SG&amp;A as a percentage of net revenue decreased from 39.1% for the six months ended June 27, 2020 to 33.4% for the six</w:t>
      </w:r>
      <w:r>
        <w:rPr>
          <w:rFonts w:ascii="Arial" w:cs="Arial" w:eastAsia="Arial" w:hAnsi="Arial"/>
          <w:sz w:val="16"/>
          <w:szCs w:val="16"/>
          <w:i w:val="1"/>
          <w:iCs w:val="1"/>
          <w:color w:val="auto"/>
        </w:rPr>
        <w:t xml:space="preserve"> </w:t>
      </w:r>
      <w:r>
        <w:rPr>
          <w:rFonts w:ascii="Arial" w:cs="Arial" w:eastAsia="Arial" w:hAnsi="Arial"/>
          <w:sz w:val="16"/>
          <w:szCs w:val="16"/>
          <w:color w:val="auto"/>
        </w:rPr>
        <w:t>months ended July 3, 2021 primarily driven by the impact of the temporary store closures in fiscal year 2020 and payroll and occupancy leverage.</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w:t>
      </w:r>
    </w:p>
    <w:p>
      <w:pPr>
        <w:spacing w:after="0" w:line="11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Depreciation and amortization expense of $47.6 million for the six months ended July 3, 2021 increased $0.8 million, or 1.8%, from $46.7 million for the six months ended June 27, 2020 primarily driven by new store openings.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 impairment</w:t>
      </w:r>
    </w:p>
    <w:p>
      <w:pPr>
        <w:spacing w:after="0" w:line="117"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We recognized $1.5 million for impairment of tangible long-lived assets and ROU assets associated with our retail stores during the six months ended July 3, 2021 compared to $13.8 million recognized during the six months ended June 27, 2020. The store asset impairment charge is primarily related to our Owned &amp; Host segment and is driven by lower than projected customer sales volume in certain stores, and other entity-specific assumptions. We considered multiple factors including, but not limited to: forecasted scenarios related to store performance and the likelihood that these scenarios would be ultimately realized; and the remaining useful lives of the assets. Asset impairment expenses were recognized in Corporate/Other.</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 net</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Interest expense, net, of $16.4 million for the six months ended July 3, 2021 decreased $6.5 million, or 28.4%, from $23.0 million for the six months ended June 27, 2020. The decrease was primarily driven by changes in fair value of derivatives of $4.7 million and by a reduction in our term loan and revolving credit facility utilization, partially offset by expenses related to the 2025 Notes.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 provision</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income tax provision for the six months ended July 3, 2021 reflected our statutory federal and state rate of 25.5%, combined with a benefit of $6.6 million primarily with the exercise of stock options and for the stranded tax effect associated with our interest rate swaps that matured in the first quarter of 2021. In comparison, the income tax benefit for the six months ended June 27, 2020 reflected our statutory federal and state rate of 25.5% combined with a benefit of $3.0 million resulting from stock option exercises.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6" w:name="page37"/>
    <w:bookmarkEnd w:id="3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Adjusted Operating Income, Adjusted Operating Margin, EBITDA, Adjusted EBITDA, Adjusted EBITDA Margin and Adjusted Diluted EPS</w:t>
      </w:r>
    </w:p>
    <w:p>
      <w:pPr>
        <w:spacing w:after="0" w:line="11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define Adjusted Operating Income as net income (loss), plus interest expense and income tax provision (benefit), further adjusted to exclude stock compensation expense, asset impairment, litigation settlement, amortization of acquisition intangibles, and other expenses. We define Adjusted Operating Margin as Adjusted Operating Income as a percentage of net revenue. We define EBITDA as net income (loss), plus interest expense, income tax provision (benefit) and depreciation and amortization. We define Adjusted EBITDA as net income (loss), plus interest expense, income tax provision (benefit) and depreciation and amortization, further adjusted to exclude stock compensation expense, asset impairment, litigation settlement, and other expenses. We define Adjusted EBITDA Margin as Adjusted EBITDA as a percentage of net revenue. We define Adjusted Diluted EPS as diluted earnings (loss) per share, adjusted for the per share impact of stock compensation expense, asset impairment, litigation settlement, amortization of acquisition intangibles, amortization of debt discounts and deferred financing costs of our term loan borrowings, amortization of costs related to our 2025 Notes, losses (gains) on change in fair value of derivatives, other expenses, and tax benefit of stock option exercises, less the tax effect of these adjustments. We adjust for amortization of costs related to the 2025 Notes only when adjustment for these costs is not required in the calculation of diluted earnings per share according to U.S. GAAP.</w:t>
      </w:r>
    </w:p>
    <w:p>
      <w:pPr>
        <w:spacing w:after="0" w:line="7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EBITDA and the Company Non-GAAP Measures can vary substantially in size from one period to the next, and certain types of expenses are non-recurring in nature and consequently may not have been incurred in any of the periods presented below.</w:t>
      </w:r>
    </w:p>
    <w:p>
      <w:pPr>
        <w:spacing w:after="0" w:line="6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EBITDA and the Company Non-GAAP Measures have been presented as supplemental measures of financial performance that are not required by, or presented in accordance with U.S. GAAP, because we believe they assist investors and analysts in comparing our operating performance across reporting periods on a consistent basis by excluding items that we do not believe are indicative of our core operating performance. Management believes EBITDA, and the Company Non-GAAP Measures are useful to investors in highlighting trends in our operating performance, while other measures can differ significantly depending on long-term strategic decisions regarding capital structure, the tax jurisdictions in which we operate and capital investments. We also use EBITDA and the Company Non-GAAP Measures to supplement U.S. GAAP measures of performance in the evaluation of the effectiveness of our business strategies, to make budgeting decisions, to establish discretionary annual incentive compensation and to compare our performance against that of other peer companies using similar measures. Management supplements U.S. GAAP results with Non-GAAP financial measures to provide a more complete understanding of the factors and trends affecting the business than U.S. GAAP results alone.</w:t>
      </w:r>
    </w:p>
    <w:p>
      <w:pPr>
        <w:spacing w:after="0" w:line="7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EBITDA and the Company Non-GAAP Measures are not recognized terms under U.S. GAAP and should not be considered as an alternative to net income or income from operations as a measure of financial performance or cash flows provided by operating activities as a measure of liquidity, or any other performance measure derived in accordance with U.S. GAAP. Additionally, these measures are not intended to be a measure of free cash flow available for management’s discretionary use as they do not consider certain cash requirements such as interest payments, tax payments and debt service requirements. In evaluating EBITDA and the Company Non-GAAP Measures, we may incur expenses in the future that are the same as or similar to some of the adjustments in this presentation. Our presentation of EBITDA and the Company Non-GAAP Measures should not be construed to imply that our future results will be unaffected by any such adjustments. Management compensates for these limitations by primarily relying on our U.S. GAAP results in addition to using EBITDA and the Company Non-GAAP Measures.</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7" w:name="page38"/>
    <w:bookmarkEnd w:id="3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presentations of these measures have limitations as analytical tools and should not be considered in isolation, or as a substitute for analysis of our results as reported under U.S. GAAP. Some of these limitations are:</w:t>
      </w:r>
    </w:p>
    <w:p>
      <w:pPr>
        <w:spacing w:after="0" w:line="62"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they do not reflect costs or cash outlays for capital expenditures or contractual commitments;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they do not reflect changes in, or cash requirements for, our working capital needs;</w:t>
      </w:r>
    </w:p>
    <w:p>
      <w:pPr>
        <w:spacing w:after="0" w:line="9" w:lineRule="exact"/>
        <w:rPr>
          <w:rFonts w:ascii="Arial" w:cs="Arial" w:eastAsia="Arial" w:hAnsi="Arial"/>
          <w:sz w:val="18"/>
          <w:szCs w:val="18"/>
          <w:color w:val="auto"/>
        </w:rPr>
      </w:pPr>
    </w:p>
    <w:p>
      <w:pPr>
        <w:ind w:left="660" w:hanging="328"/>
        <w:spacing w:after="0" w:line="250"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EBITDA, Adjusted EBITDA and Adjusted Operating Income do not reflect the interest expense, or the cash requirements necessary to service interest or principal payments, on our debt;</w:t>
      </w:r>
    </w:p>
    <w:p>
      <w:pPr>
        <w:ind w:left="660" w:hanging="328"/>
        <w:spacing w:after="0" w:line="250"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EBITDA, Adjusted EBITDA and Adjusted Operating Income do not reflect period to period changes in taxes, income tax expense or the cash necessary to pay income taxes;</w:t>
      </w:r>
    </w:p>
    <w:p>
      <w:pPr>
        <w:ind w:left="660" w:hanging="328"/>
        <w:spacing w:after="0"/>
        <w:tabs>
          <w:tab w:leader="none" w:pos="6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they do not reflect the impact of earnings or charges resulting from matters we consider not to be indicative of our ongoing operations;</w:t>
      </w:r>
    </w:p>
    <w:p>
      <w:pPr>
        <w:spacing w:after="0" w:line="20" w:lineRule="exact"/>
        <w:rPr>
          <w:rFonts w:ascii="Arial" w:cs="Arial" w:eastAsia="Arial" w:hAnsi="Arial"/>
          <w:sz w:val="17"/>
          <w:szCs w:val="17"/>
          <w:color w:val="auto"/>
        </w:rPr>
      </w:pPr>
    </w:p>
    <w:p>
      <w:pPr>
        <w:ind w:left="660" w:hanging="328"/>
        <w:spacing w:after="0" w:line="250"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although depreciation and amortization are non-cash charges, the assets being depreciated and amortized will often have to be replaced in the future, and EBITDA and Adjusted EBITDA do not reflect cash requirements for such replacements; and</w:t>
      </w:r>
    </w:p>
    <w:p>
      <w:pPr>
        <w:ind w:left="660" w:hanging="328"/>
        <w:spacing w:after="0"/>
        <w:tabs>
          <w:tab w:leader="none" w:pos="6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other companies in our industry may calculate these measures differently than we do, limiting their usefulness as comparative measures.</w:t>
      </w:r>
    </w:p>
    <w:p>
      <w:pPr>
        <w:spacing w:after="0" w:line="11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Because of these limitations, EBITDA and the Company Non-GAAP Measures should not be considered as measures of discretionary cash available to invest in business growth or to reduce indebtedness.</w:t>
      </w:r>
    </w:p>
    <w:p>
      <w:pPr>
        <w:spacing w:after="0" w:line="62"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following table reconciles our Adjusted Operating Income, Adjusted Operating Margin, EBITDA, Adjusted EBITDA, Adjusted EBITDA Margin to net income; and Adjusted Diluted EPS for the periods presented:</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9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2140" w:type="dxa"/>
            <w:vAlign w:val="bottom"/>
            <w:tcBorders>
              <w:bottom w:val="single" w:sz="8" w:color="auto"/>
            </w:tcBorders>
            <w:gridSpan w:val="5"/>
          </w:tcPr>
          <w:p>
            <w:pPr>
              <w:jc w:val="right"/>
              <w:ind w:right="250"/>
              <w:spacing w:after="0"/>
              <w:rPr>
                <w:sz w:val="20"/>
                <w:szCs w:val="20"/>
                <w:color w:val="auto"/>
              </w:rPr>
            </w:pPr>
            <w:r>
              <w:rPr>
                <w:rFonts w:ascii="Arial" w:cs="Arial" w:eastAsia="Arial" w:hAnsi="Arial"/>
                <w:sz w:val="18"/>
                <w:szCs w:val="18"/>
                <w:color w:val="auto"/>
              </w:rPr>
              <w:t>Three Months Ended</w:t>
            </w:r>
          </w:p>
        </w:tc>
        <w:tc>
          <w:tcPr>
            <w:tcW w:w="9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2120" w:type="dxa"/>
            <w:vAlign w:val="bottom"/>
            <w:tcBorders>
              <w:bottom w:val="single" w:sz="8" w:color="auto"/>
            </w:tcBorders>
            <w:gridSpan w:val="5"/>
          </w:tcPr>
          <w:p>
            <w:pPr>
              <w:jc w:val="right"/>
              <w:ind w:right="350"/>
              <w:spacing w:after="0"/>
              <w:rPr>
                <w:sz w:val="20"/>
                <w:szCs w:val="20"/>
                <w:color w:val="auto"/>
              </w:rPr>
            </w:pPr>
            <w:r>
              <w:rPr>
                <w:rFonts w:ascii="Arial" w:cs="Arial" w:eastAsia="Arial" w:hAnsi="Arial"/>
                <w:sz w:val="18"/>
                <w:szCs w:val="18"/>
                <w:color w:val="auto"/>
              </w:rPr>
              <w:t>Six Months Ended</w:t>
            </w:r>
          </w:p>
        </w:tc>
        <w:tc>
          <w:tcPr>
            <w:tcW w:w="9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960" w:type="dxa"/>
            <w:vAlign w:val="bottom"/>
            <w:tcBorders>
              <w:bottom w:val="single" w:sz="8" w:color="CCEEFF"/>
            </w:tcBorders>
          </w:tcPr>
          <w:p>
            <w:pPr>
              <w:ind w:left="20"/>
              <w:spacing w:after="0"/>
              <w:rPr>
                <w:sz w:val="20"/>
                <w:szCs w:val="20"/>
                <w:color w:val="auto"/>
              </w:rPr>
            </w:pPr>
            <w:r>
              <w:rPr>
                <w:rFonts w:ascii="Arial" w:cs="Arial" w:eastAsia="Arial" w:hAnsi="Arial"/>
                <w:sz w:val="18"/>
                <w:szCs w:val="18"/>
                <w:i w:val="1"/>
                <w:iCs w:val="1"/>
                <w:color w:val="auto"/>
              </w:rPr>
              <w:t>In thousands</w:t>
            </w: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2"/>
          </w:tcPr>
          <w:p>
            <w:pPr>
              <w:ind w:left="280"/>
              <w:spacing w:after="0"/>
              <w:rPr>
                <w:sz w:val="20"/>
                <w:szCs w:val="20"/>
                <w:color w:val="auto"/>
              </w:rPr>
            </w:pPr>
            <w:r>
              <w:rPr>
                <w:rFonts w:ascii="Arial" w:cs="Arial" w:eastAsia="Arial" w:hAnsi="Arial"/>
                <w:sz w:val="18"/>
                <w:szCs w:val="18"/>
                <w:color w:val="auto"/>
                <w:w w:val="92"/>
              </w:rPr>
              <w:t>July 3, 2021</w:t>
            </w:r>
          </w:p>
        </w:tc>
        <w:tc>
          <w:tcPr>
            <w:tcW w:w="54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gridSpan w:val="2"/>
          </w:tcPr>
          <w:p>
            <w:pPr>
              <w:jc w:val="right"/>
              <w:ind w:right="390"/>
              <w:spacing w:after="0"/>
              <w:rPr>
                <w:sz w:val="20"/>
                <w:szCs w:val="20"/>
                <w:color w:val="auto"/>
              </w:rPr>
            </w:pPr>
            <w:r>
              <w:rPr>
                <w:rFonts w:ascii="Arial" w:cs="Arial" w:eastAsia="Arial" w:hAnsi="Arial"/>
                <w:sz w:val="18"/>
                <w:szCs w:val="18"/>
                <w:color w:val="auto"/>
              </w:rPr>
              <w:t>June 27, 2020</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2"/>
          </w:tcPr>
          <w:p>
            <w:pPr>
              <w:ind w:left="320"/>
              <w:spacing w:after="0"/>
              <w:rPr>
                <w:sz w:val="20"/>
                <w:szCs w:val="20"/>
                <w:color w:val="auto"/>
              </w:rPr>
            </w:pPr>
            <w:r>
              <w:rPr>
                <w:rFonts w:ascii="Arial" w:cs="Arial" w:eastAsia="Arial" w:hAnsi="Arial"/>
                <w:sz w:val="18"/>
                <w:szCs w:val="18"/>
                <w:color w:val="auto"/>
                <w:w w:val="88"/>
              </w:rPr>
              <w:t>July 3, 2021</w:t>
            </w:r>
          </w:p>
        </w:tc>
        <w:tc>
          <w:tcPr>
            <w:tcW w:w="54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gridSpan w:val="2"/>
          </w:tcPr>
          <w:p>
            <w:pPr>
              <w:jc w:val="right"/>
              <w:ind w:right="370"/>
              <w:spacing w:after="0"/>
              <w:rPr>
                <w:sz w:val="20"/>
                <w:szCs w:val="20"/>
                <w:color w:val="auto"/>
              </w:rPr>
            </w:pPr>
            <w:r>
              <w:rPr>
                <w:rFonts w:ascii="Arial" w:cs="Arial" w:eastAsia="Arial" w:hAnsi="Arial"/>
                <w:sz w:val="18"/>
                <w:szCs w:val="18"/>
                <w:color w:val="auto"/>
              </w:rPr>
              <w:t>June 27, 2020</w:t>
            </w:r>
          </w:p>
        </w:tc>
        <w:tc>
          <w:tcPr>
            <w:tcW w:w="0" w:type="dxa"/>
            <w:vAlign w:val="bottom"/>
          </w:tcPr>
          <w:p>
            <w:pPr>
              <w:spacing w:after="0"/>
              <w:rPr>
                <w:sz w:val="1"/>
                <w:szCs w:val="1"/>
                <w:color w:val="auto"/>
              </w:rPr>
            </w:pPr>
          </w:p>
        </w:tc>
      </w:tr>
      <w:tr>
        <w:trPr>
          <w:trHeight w:val="223"/>
        </w:trPr>
        <w:tc>
          <w:tcPr>
            <w:tcW w:w="29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(loss)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37,601</w:t>
            </w:r>
          </w:p>
        </w:tc>
        <w:tc>
          <w:tcPr>
            <w:tcW w:w="4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6.8 %</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(43,833)</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81,033</w:t>
            </w:r>
          </w:p>
        </w:tc>
        <w:tc>
          <w:tcPr>
            <w:tcW w:w="42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7.5 %</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(34,091)</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29"/>
        </w:trPr>
        <w:tc>
          <w:tcPr>
            <w:tcW w:w="296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10,096</w:t>
            </w:r>
          </w:p>
        </w:tc>
        <w:tc>
          <w:tcPr>
            <w:tcW w:w="4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1.8 %</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15,502</w:t>
            </w:r>
          </w:p>
        </w:tc>
        <w:tc>
          <w:tcPr>
            <w:tcW w:w="960" w:type="dxa"/>
            <w:vAlign w:val="bottom"/>
          </w:tcPr>
          <w:p>
            <w:pPr>
              <w:jc w:val="right"/>
              <w:spacing w:after="0"/>
              <w:rPr>
                <w:sz w:val="20"/>
                <w:szCs w:val="20"/>
                <w:color w:val="auto"/>
              </w:rPr>
            </w:pPr>
            <w:r>
              <w:rPr>
                <w:rFonts w:ascii="Arial" w:cs="Arial" w:eastAsia="Arial" w:hAnsi="Arial"/>
                <w:sz w:val="18"/>
                <w:szCs w:val="18"/>
                <w:color w:val="auto"/>
              </w:rPr>
              <w:t>6.0 %</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16,426</w:t>
            </w:r>
          </w:p>
        </w:tc>
        <w:tc>
          <w:tcPr>
            <w:tcW w:w="4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1.5 %</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22,957</w:t>
            </w:r>
          </w:p>
        </w:tc>
        <w:tc>
          <w:tcPr>
            <w:tcW w:w="900" w:type="dxa"/>
            <w:vAlign w:val="bottom"/>
          </w:tcPr>
          <w:p>
            <w:pPr>
              <w:jc w:val="right"/>
              <w:spacing w:after="0"/>
              <w:rPr>
                <w:sz w:val="20"/>
                <w:szCs w:val="20"/>
                <w:color w:val="auto"/>
              </w:rPr>
            </w:pPr>
            <w:r>
              <w:rPr>
                <w:rFonts w:ascii="Arial" w:cs="Arial" w:eastAsia="Arial" w:hAnsi="Arial"/>
                <w:sz w:val="18"/>
                <w:szCs w:val="18"/>
                <w:color w:val="auto"/>
              </w:rPr>
              <w:t>3.1 %</w:t>
            </w:r>
          </w:p>
        </w:tc>
        <w:tc>
          <w:tcPr>
            <w:tcW w:w="0" w:type="dxa"/>
            <w:vAlign w:val="bottom"/>
          </w:tcPr>
          <w:p>
            <w:pPr>
              <w:spacing w:after="0"/>
              <w:rPr>
                <w:sz w:val="1"/>
                <w:szCs w:val="1"/>
                <w:color w:val="auto"/>
              </w:rPr>
            </w:pPr>
          </w:p>
        </w:tc>
      </w:tr>
      <w:tr>
        <w:trPr>
          <w:trHeight w:val="230"/>
        </w:trPr>
        <w:tc>
          <w:tcPr>
            <w:tcW w:w="2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provision (benefit)</w:t>
            </w:r>
          </w:p>
        </w:tc>
        <w:tc>
          <w:tcPr>
            <w:tcW w:w="2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7,040</w:t>
            </w:r>
          </w:p>
        </w:tc>
        <w:tc>
          <w:tcPr>
            <w:tcW w:w="4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1.3 %</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(13,403)</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18,726</w:t>
            </w:r>
          </w:p>
        </w:tc>
        <w:tc>
          <w:tcPr>
            <w:tcW w:w="42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1.7 %</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(13,685)</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29"/>
        </w:trPr>
        <w:tc>
          <w:tcPr>
            <w:tcW w:w="296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Stock compensation expense </w:t>
            </w:r>
            <w:r>
              <w:rPr>
                <w:rFonts w:ascii="Arial" w:cs="Arial" w:eastAsia="Arial" w:hAnsi="Arial"/>
                <w:sz w:val="23"/>
                <w:szCs w:val="23"/>
                <w:color w:val="auto"/>
                <w:vertAlign w:val="superscript"/>
              </w:rPr>
              <w:t>(a)</w:t>
            </w:r>
          </w:p>
        </w:tc>
        <w:tc>
          <w:tcPr>
            <w:tcW w:w="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7,213</w:t>
            </w:r>
          </w:p>
        </w:tc>
        <w:tc>
          <w:tcPr>
            <w:tcW w:w="4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1.3 %</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3,352</w:t>
            </w:r>
          </w:p>
        </w:tc>
        <w:tc>
          <w:tcPr>
            <w:tcW w:w="960" w:type="dxa"/>
            <w:vAlign w:val="bottom"/>
          </w:tcPr>
          <w:p>
            <w:pPr>
              <w:jc w:val="right"/>
              <w:spacing w:after="0"/>
              <w:rPr>
                <w:sz w:val="20"/>
                <w:szCs w:val="20"/>
                <w:color w:val="auto"/>
              </w:rPr>
            </w:pPr>
            <w:r>
              <w:rPr>
                <w:rFonts w:ascii="Arial" w:cs="Arial" w:eastAsia="Arial" w:hAnsi="Arial"/>
                <w:sz w:val="18"/>
                <w:szCs w:val="18"/>
                <w:color w:val="auto"/>
              </w:rPr>
              <w:t>1.3 %</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10,201</w:t>
            </w:r>
          </w:p>
        </w:tc>
        <w:tc>
          <w:tcPr>
            <w:tcW w:w="4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0.9 %</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5,445</w:t>
            </w:r>
          </w:p>
        </w:tc>
        <w:tc>
          <w:tcPr>
            <w:tcW w:w="900" w:type="dxa"/>
            <w:vAlign w:val="bottom"/>
          </w:tcPr>
          <w:p>
            <w:pPr>
              <w:jc w:val="right"/>
              <w:spacing w:after="0"/>
              <w:rPr>
                <w:sz w:val="20"/>
                <w:szCs w:val="20"/>
                <w:color w:val="auto"/>
              </w:rPr>
            </w:pPr>
            <w:r>
              <w:rPr>
                <w:rFonts w:ascii="Arial" w:cs="Arial" w:eastAsia="Arial" w:hAnsi="Arial"/>
                <w:sz w:val="18"/>
                <w:szCs w:val="18"/>
                <w:color w:val="auto"/>
              </w:rPr>
              <w:t>0.7 %</w:t>
            </w:r>
          </w:p>
        </w:tc>
        <w:tc>
          <w:tcPr>
            <w:tcW w:w="0" w:type="dxa"/>
            <w:vAlign w:val="bottom"/>
          </w:tcPr>
          <w:p>
            <w:pPr>
              <w:spacing w:after="0"/>
              <w:rPr>
                <w:sz w:val="1"/>
                <w:szCs w:val="1"/>
                <w:color w:val="auto"/>
              </w:rPr>
            </w:pPr>
          </w:p>
        </w:tc>
      </w:tr>
      <w:tr>
        <w:trPr>
          <w:trHeight w:val="230"/>
        </w:trPr>
        <w:tc>
          <w:tcPr>
            <w:tcW w:w="296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Asset impairment </w:t>
            </w:r>
            <w:r>
              <w:rPr>
                <w:rFonts w:ascii="Arial" w:cs="Arial" w:eastAsia="Arial" w:hAnsi="Arial"/>
                <w:sz w:val="23"/>
                <w:szCs w:val="23"/>
                <w:color w:val="auto"/>
                <w:vertAlign w:val="superscript"/>
              </w:rPr>
              <w:t>(b)</w:t>
            </w:r>
          </w:p>
        </w:tc>
        <w:tc>
          <w:tcPr>
            <w:tcW w:w="2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w:t>
            </w:r>
          </w:p>
        </w:tc>
        <w:tc>
          <w:tcPr>
            <w:tcW w:w="4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0.1 %</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2,411</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0.9 %</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1,478</w:t>
            </w:r>
          </w:p>
        </w:tc>
        <w:tc>
          <w:tcPr>
            <w:tcW w:w="42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0.1 %</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13,766</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1.9 %</w:t>
            </w:r>
          </w:p>
        </w:tc>
        <w:tc>
          <w:tcPr>
            <w:tcW w:w="0" w:type="dxa"/>
            <w:vAlign w:val="bottom"/>
          </w:tcPr>
          <w:p>
            <w:pPr>
              <w:spacing w:after="0"/>
              <w:rPr>
                <w:sz w:val="1"/>
                <w:szCs w:val="1"/>
                <w:color w:val="auto"/>
              </w:rPr>
            </w:pPr>
          </w:p>
        </w:tc>
      </w:tr>
      <w:tr>
        <w:trPr>
          <w:trHeight w:val="229"/>
        </w:trPr>
        <w:tc>
          <w:tcPr>
            <w:tcW w:w="296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Litigation settlement </w:t>
            </w:r>
            <w:r>
              <w:rPr>
                <w:rFonts w:ascii="Arial" w:cs="Arial" w:eastAsia="Arial" w:hAnsi="Arial"/>
                <w:sz w:val="23"/>
                <w:szCs w:val="23"/>
                <w:color w:val="auto"/>
                <w:vertAlign w:val="superscript"/>
              </w:rPr>
              <w:t>(c)</w:t>
            </w:r>
          </w:p>
        </w:tc>
        <w:tc>
          <w:tcPr>
            <w:tcW w:w="280" w:type="dxa"/>
            <w:vAlign w:val="bottom"/>
          </w:tcPr>
          <w:p>
            <w:pPr>
              <w:spacing w:after="0"/>
              <w:rPr>
                <w:sz w:val="19"/>
                <w:szCs w:val="19"/>
                <w:color w:val="auto"/>
              </w:rPr>
            </w:pPr>
          </w:p>
        </w:tc>
        <w:tc>
          <w:tcPr>
            <w:tcW w:w="1200" w:type="dxa"/>
            <w:vAlign w:val="bottom"/>
            <w:gridSpan w:val="2"/>
          </w:tcPr>
          <w:p>
            <w:pPr>
              <w:jc w:val="right"/>
              <w:ind w:right="45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 %</w:t>
            </w: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 %</w:t>
            </w:r>
          </w:p>
        </w:tc>
        <w:tc>
          <w:tcPr>
            <w:tcW w:w="240" w:type="dxa"/>
            <w:vAlign w:val="bottom"/>
          </w:tcPr>
          <w:p>
            <w:pPr>
              <w:spacing w:after="0"/>
              <w:rPr>
                <w:sz w:val="19"/>
                <w:szCs w:val="19"/>
                <w:color w:val="auto"/>
              </w:rPr>
            </w:pPr>
          </w:p>
        </w:tc>
        <w:tc>
          <w:tcPr>
            <w:tcW w:w="1200" w:type="dxa"/>
            <w:vAlign w:val="bottom"/>
            <w:gridSpan w:val="2"/>
          </w:tcPr>
          <w:p>
            <w:pPr>
              <w:jc w:val="right"/>
              <w:ind w:right="39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 %</w:t>
            </w:r>
          </w:p>
        </w:tc>
        <w:tc>
          <w:tcPr>
            <w:tcW w:w="2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4,395</w:t>
            </w:r>
          </w:p>
        </w:tc>
        <w:tc>
          <w:tcPr>
            <w:tcW w:w="900" w:type="dxa"/>
            <w:vAlign w:val="bottom"/>
          </w:tcPr>
          <w:p>
            <w:pPr>
              <w:jc w:val="right"/>
              <w:spacing w:after="0"/>
              <w:rPr>
                <w:sz w:val="20"/>
                <w:szCs w:val="20"/>
                <w:color w:val="auto"/>
              </w:rPr>
            </w:pPr>
            <w:r>
              <w:rPr>
                <w:rFonts w:ascii="Arial" w:cs="Arial" w:eastAsia="Arial" w:hAnsi="Arial"/>
                <w:sz w:val="18"/>
                <w:szCs w:val="18"/>
                <w:color w:val="auto"/>
              </w:rPr>
              <w:t>0.6 %</w:t>
            </w:r>
          </w:p>
        </w:tc>
        <w:tc>
          <w:tcPr>
            <w:tcW w:w="0" w:type="dxa"/>
            <w:vAlign w:val="bottom"/>
          </w:tcPr>
          <w:p>
            <w:pPr>
              <w:spacing w:after="0"/>
              <w:rPr>
                <w:sz w:val="1"/>
                <w:szCs w:val="1"/>
                <w:color w:val="auto"/>
              </w:rPr>
            </w:pPr>
          </w:p>
        </w:tc>
      </w:tr>
      <w:tr>
        <w:trPr>
          <w:trHeight w:val="175"/>
        </w:trPr>
        <w:tc>
          <w:tcPr>
            <w:tcW w:w="296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6"/>
              </w:rPr>
              <w:t>Amortization of acquisition intangibles</w:t>
            </w:r>
          </w:p>
        </w:tc>
        <w:tc>
          <w:tcPr>
            <w:tcW w:w="280" w:type="dxa"/>
            <w:vAlign w:val="bottom"/>
            <w:shd w:val="clear" w:color="auto" w:fill="CCEEFF"/>
          </w:tcPr>
          <w:p>
            <w:pPr>
              <w:spacing w:after="0"/>
              <w:rPr>
                <w:sz w:val="15"/>
                <w:szCs w:val="15"/>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1,871</w:t>
            </w:r>
          </w:p>
        </w:tc>
        <w:tc>
          <w:tcPr>
            <w:tcW w:w="460" w:type="dxa"/>
            <w:vAlign w:val="bottom"/>
            <w:shd w:val="clear" w:color="auto" w:fill="CCEEFF"/>
          </w:tcPr>
          <w:p>
            <w:pPr>
              <w:spacing w:after="0"/>
              <w:rPr>
                <w:sz w:val="15"/>
                <w:szCs w:val="15"/>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0.3 %</w:t>
            </w: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1,851</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0.7 %</w:t>
            </w: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3,744</w:t>
            </w:r>
          </w:p>
        </w:tc>
        <w:tc>
          <w:tcPr>
            <w:tcW w:w="420" w:type="dxa"/>
            <w:vAlign w:val="bottom"/>
            <w:shd w:val="clear" w:color="auto" w:fill="CCEEFF"/>
          </w:tcPr>
          <w:p>
            <w:pPr>
              <w:spacing w:after="0"/>
              <w:rPr>
                <w:sz w:val="15"/>
                <w:szCs w:val="15"/>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0.3 %</w:t>
            </w: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3,702</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0.5 %</w:t>
            </w:r>
          </w:p>
        </w:tc>
        <w:tc>
          <w:tcPr>
            <w:tcW w:w="0" w:type="dxa"/>
            <w:vAlign w:val="bottom"/>
          </w:tcPr>
          <w:p>
            <w:pPr>
              <w:spacing w:after="0"/>
              <w:rPr>
                <w:sz w:val="1"/>
                <w:szCs w:val="1"/>
                <w:color w:val="auto"/>
              </w:rPr>
            </w:pPr>
          </w:p>
        </w:tc>
      </w:tr>
      <w:tr>
        <w:trPr>
          <w:trHeight w:val="162"/>
        </w:trPr>
        <w:tc>
          <w:tcPr>
            <w:tcW w:w="2960" w:type="dxa"/>
            <w:vAlign w:val="bottom"/>
            <w:shd w:val="clear" w:color="auto" w:fill="CCEEFF"/>
          </w:tcPr>
          <w:p>
            <w:pPr>
              <w:ind w:left="20"/>
              <w:spacing w:after="0"/>
              <w:rPr>
                <w:sz w:val="20"/>
                <w:szCs w:val="20"/>
                <w:color w:val="auto"/>
              </w:rPr>
            </w:pPr>
            <w:r>
              <w:rPr>
                <w:rFonts w:ascii="Arial" w:cs="Arial" w:eastAsia="Arial" w:hAnsi="Arial"/>
                <w:sz w:val="12"/>
                <w:szCs w:val="12"/>
                <w:color w:val="auto"/>
              </w:rPr>
              <w:t>(d)</w:t>
            </w:r>
          </w:p>
        </w:tc>
        <w:tc>
          <w:tcPr>
            <w:tcW w:w="280" w:type="dxa"/>
            <w:vAlign w:val="bottom"/>
            <w:shd w:val="clear" w:color="auto" w:fill="CCEEFF"/>
          </w:tcPr>
          <w:p>
            <w:pPr>
              <w:spacing w:after="0"/>
              <w:rPr>
                <w:sz w:val="14"/>
                <w:szCs w:val="14"/>
                <w:color w:val="auto"/>
              </w:rPr>
            </w:pPr>
          </w:p>
        </w:tc>
        <w:tc>
          <w:tcPr>
            <w:tcW w:w="740" w:type="dxa"/>
            <w:vAlign w:val="bottom"/>
            <w:vMerge w:val="continue"/>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54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80" w:type="dxa"/>
            <w:vAlign w:val="bottom"/>
            <w:vMerge w:val="continue"/>
            <w:shd w:val="clear" w:color="auto" w:fill="CCEEFF"/>
          </w:tcPr>
          <w:p>
            <w:pPr>
              <w:spacing w:after="0"/>
              <w:rPr>
                <w:sz w:val="14"/>
                <w:szCs w:val="14"/>
                <w:color w:val="auto"/>
              </w:rPr>
            </w:pPr>
          </w:p>
        </w:tc>
        <w:tc>
          <w:tcPr>
            <w:tcW w:w="96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80" w:type="dxa"/>
            <w:vAlign w:val="bottom"/>
            <w:vMerge w:val="continue"/>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54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80" w:type="dxa"/>
            <w:vAlign w:val="bottom"/>
            <w:vMerge w:val="continue"/>
            <w:shd w:val="clear" w:color="auto" w:fill="CCEEFF"/>
          </w:tcPr>
          <w:p>
            <w:pPr>
              <w:spacing w:after="0"/>
              <w:rPr>
                <w:sz w:val="14"/>
                <w:szCs w:val="14"/>
                <w:color w:val="auto"/>
              </w:rPr>
            </w:pPr>
          </w:p>
        </w:tc>
        <w:tc>
          <w:tcPr>
            <w:tcW w:w="90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2960" w:type="dxa"/>
            <w:vAlign w:val="bottom"/>
            <w:tcBorders>
              <w:bottom w:val="single" w:sz="8" w:color="CCEEFF"/>
            </w:tcBorders>
          </w:tcPr>
          <w:p>
            <w:pPr>
              <w:ind w:left="20"/>
              <w:spacing w:after="0" w:line="230" w:lineRule="exact"/>
              <w:rPr>
                <w:sz w:val="20"/>
                <w:szCs w:val="20"/>
                <w:color w:val="auto"/>
              </w:rPr>
            </w:pPr>
            <w:r>
              <w:rPr>
                <w:rFonts w:ascii="Arial" w:cs="Arial" w:eastAsia="Arial" w:hAnsi="Arial"/>
                <w:sz w:val="18"/>
                <w:szCs w:val="18"/>
                <w:color w:val="auto"/>
              </w:rPr>
              <w:t xml:space="preserve">Other </w:t>
            </w:r>
            <w:r>
              <w:rPr>
                <w:rFonts w:ascii="Arial" w:cs="Arial" w:eastAsia="Arial" w:hAnsi="Arial"/>
                <w:sz w:val="23"/>
                <w:szCs w:val="23"/>
                <w:color w:val="auto"/>
                <w:vertAlign w:val="superscript"/>
              </w:rPr>
              <w:t>(g)</w:t>
            </w:r>
          </w:p>
        </w:tc>
        <w:tc>
          <w:tcPr>
            <w:tcW w:w="2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1,241</w:t>
            </w:r>
          </w:p>
        </w:tc>
        <w:tc>
          <w:tcPr>
            <w:tcW w:w="460" w:type="dxa"/>
            <w:vAlign w:val="bottom"/>
            <w:tcBorders>
              <w:bottom w:val="single" w:sz="8" w:color="CCEEFF"/>
            </w:tcBorders>
          </w:tcPr>
          <w:p>
            <w:pPr>
              <w:spacing w:after="0"/>
              <w:rPr>
                <w:sz w:val="19"/>
                <w:szCs w:val="19"/>
                <w:color w:val="auto"/>
              </w:rPr>
            </w:pPr>
          </w:p>
        </w:tc>
        <w:tc>
          <w:tcPr>
            <w:tcW w:w="5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0.2 %</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(307)</w:t>
            </w:r>
          </w:p>
        </w:tc>
        <w:tc>
          <w:tcPr>
            <w:tcW w:w="9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1,641</w:t>
            </w:r>
          </w:p>
        </w:tc>
        <w:tc>
          <w:tcPr>
            <w:tcW w:w="420" w:type="dxa"/>
            <w:vAlign w:val="bottom"/>
            <w:tcBorders>
              <w:bottom w:val="single" w:sz="8" w:color="CCEEFF"/>
            </w:tcBorders>
          </w:tcPr>
          <w:p>
            <w:pPr>
              <w:spacing w:after="0"/>
              <w:rPr>
                <w:sz w:val="19"/>
                <w:szCs w:val="19"/>
                <w:color w:val="auto"/>
              </w:rPr>
            </w:pPr>
          </w:p>
        </w:tc>
        <w:tc>
          <w:tcPr>
            <w:tcW w:w="5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0.2 %</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1,149</w:t>
            </w:r>
          </w:p>
        </w:tc>
        <w:tc>
          <w:tcPr>
            <w:tcW w:w="9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0.2 %</w:t>
            </w:r>
          </w:p>
        </w:tc>
        <w:tc>
          <w:tcPr>
            <w:tcW w:w="0" w:type="dxa"/>
            <w:vAlign w:val="bottom"/>
          </w:tcPr>
          <w:p>
            <w:pPr>
              <w:spacing w:after="0"/>
              <w:rPr>
                <w:sz w:val="1"/>
                <w:szCs w:val="1"/>
                <w:color w:val="auto"/>
              </w:rPr>
            </w:pPr>
          </w:p>
        </w:tc>
      </w:tr>
      <w:tr>
        <w:trPr>
          <w:trHeight w:val="155"/>
        </w:trPr>
        <w:tc>
          <w:tcPr>
            <w:tcW w:w="2960" w:type="dxa"/>
            <w:vAlign w:val="bottom"/>
            <w:shd w:val="clear" w:color="auto" w:fill="CCEEFF"/>
          </w:tcPr>
          <w:p>
            <w:pPr>
              <w:ind w:left="140"/>
              <w:spacing w:after="0" w:line="156" w:lineRule="exact"/>
              <w:rPr>
                <w:sz w:val="20"/>
                <w:szCs w:val="20"/>
                <w:color w:val="auto"/>
              </w:rPr>
            </w:pPr>
            <w:r>
              <w:rPr>
                <w:rFonts w:ascii="Arial" w:cs="Arial" w:eastAsia="Arial" w:hAnsi="Arial"/>
                <w:sz w:val="18"/>
                <w:szCs w:val="18"/>
                <w:b w:val="1"/>
                <w:bCs w:val="1"/>
                <w:color w:val="auto"/>
              </w:rPr>
              <w:t>Adjusted Operating Income /</w:t>
            </w:r>
          </w:p>
        </w:tc>
        <w:tc>
          <w:tcPr>
            <w:tcW w:w="28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65,581</w:t>
            </w:r>
          </w:p>
        </w:tc>
        <w:tc>
          <w:tcPr>
            <w:tcW w:w="460" w:type="dxa"/>
            <w:vAlign w:val="bottom"/>
            <w:shd w:val="clear" w:color="auto" w:fill="CCEEFF"/>
          </w:tcPr>
          <w:p>
            <w:pPr>
              <w:spacing w:after="0"/>
              <w:rPr>
                <w:sz w:val="13"/>
                <w:szCs w:val="13"/>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89"/>
              </w:rPr>
              <w:t>11.9 %</w:t>
            </w:r>
          </w:p>
        </w:tc>
        <w:tc>
          <w:tcPr>
            <w:tcW w:w="120" w:type="dxa"/>
            <w:vAlign w:val="bottom"/>
            <w:shd w:val="clear" w:color="auto" w:fill="CCEEFF"/>
          </w:tcPr>
          <w:p>
            <w:pPr>
              <w:spacing w:after="0"/>
              <w:rPr>
                <w:sz w:val="13"/>
                <w:szCs w:val="13"/>
                <w:color w:val="auto"/>
              </w:rPr>
            </w:pPr>
          </w:p>
        </w:tc>
        <w:tc>
          <w:tcPr>
            <w:tcW w:w="24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(34,427)</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120" w:type="dxa"/>
            <w:vAlign w:val="bottom"/>
            <w:shd w:val="clear" w:color="auto" w:fill="CCEEFF"/>
          </w:tcPr>
          <w:p>
            <w:pPr>
              <w:spacing w:after="0"/>
              <w:rPr>
                <w:sz w:val="13"/>
                <w:szCs w:val="13"/>
                <w:color w:val="auto"/>
              </w:rPr>
            </w:pPr>
          </w:p>
        </w:tc>
        <w:tc>
          <w:tcPr>
            <w:tcW w:w="24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133,249</w:t>
            </w:r>
          </w:p>
        </w:tc>
        <w:tc>
          <w:tcPr>
            <w:tcW w:w="420" w:type="dxa"/>
            <w:vAlign w:val="bottom"/>
            <w:shd w:val="clear" w:color="auto" w:fill="CCEEFF"/>
          </w:tcPr>
          <w:p>
            <w:pPr>
              <w:spacing w:after="0"/>
              <w:rPr>
                <w:sz w:val="13"/>
                <w:szCs w:val="13"/>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2"/>
              </w:rPr>
              <w:t>12.3 %</w:t>
            </w:r>
          </w:p>
        </w:tc>
        <w:tc>
          <w:tcPr>
            <w:tcW w:w="120" w:type="dxa"/>
            <w:vAlign w:val="bottom"/>
            <w:shd w:val="clear" w:color="auto" w:fill="CCEEFF"/>
          </w:tcPr>
          <w:p>
            <w:pPr>
              <w:spacing w:after="0"/>
              <w:rPr>
                <w:sz w:val="13"/>
                <w:szCs w:val="13"/>
                <w:color w:val="auto"/>
              </w:rPr>
            </w:pPr>
          </w:p>
        </w:tc>
        <w:tc>
          <w:tcPr>
            <w:tcW w:w="26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3,638</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0.5 %</w:t>
            </w:r>
          </w:p>
        </w:tc>
        <w:tc>
          <w:tcPr>
            <w:tcW w:w="0" w:type="dxa"/>
            <w:vAlign w:val="bottom"/>
          </w:tcPr>
          <w:p>
            <w:pPr>
              <w:spacing w:after="0"/>
              <w:rPr>
                <w:sz w:val="1"/>
                <w:szCs w:val="1"/>
                <w:color w:val="auto"/>
              </w:rPr>
            </w:pPr>
          </w:p>
        </w:tc>
      </w:tr>
      <w:tr>
        <w:trPr>
          <w:trHeight w:val="210"/>
        </w:trPr>
        <w:tc>
          <w:tcPr>
            <w:tcW w:w="2960" w:type="dxa"/>
            <w:vAlign w:val="bottom"/>
            <w:tcBorders>
              <w:bottom w:val="single" w:sz="8" w:color="CCEEFF"/>
            </w:tcBorders>
            <w:shd w:val="clear" w:color="auto" w:fill="CCEEFF"/>
          </w:tcPr>
          <w:p>
            <w:pPr>
              <w:ind w:left="140"/>
              <w:spacing w:after="0" w:line="202" w:lineRule="exact"/>
              <w:rPr>
                <w:sz w:val="20"/>
                <w:szCs w:val="20"/>
                <w:color w:val="auto"/>
              </w:rPr>
            </w:pPr>
            <w:r>
              <w:rPr>
                <w:rFonts w:ascii="Arial" w:cs="Arial" w:eastAsia="Arial" w:hAnsi="Arial"/>
                <w:sz w:val="18"/>
                <w:szCs w:val="18"/>
                <w:b w:val="1"/>
                <w:bCs w:val="1"/>
                <w:color w:val="auto"/>
              </w:rPr>
              <w:t>Adjusted Operating Margin</w:t>
            </w:r>
          </w:p>
        </w:tc>
        <w:tc>
          <w:tcPr>
            <w:tcW w:w="280" w:type="dxa"/>
            <w:vAlign w:val="bottom"/>
            <w:tcBorders>
              <w:bottom w:val="single" w:sz="8" w:color="auto"/>
            </w:tcBorders>
            <w:vMerge w:val="continue"/>
            <w:shd w:val="clear" w:color="auto" w:fill="CCEEFF"/>
          </w:tcPr>
          <w:p>
            <w:pPr>
              <w:spacing w:after="0"/>
              <w:rPr>
                <w:sz w:val="18"/>
                <w:szCs w:val="18"/>
                <w:color w:val="auto"/>
              </w:rPr>
            </w:pPr>
          </w:p>
        </w:tc>
        <w:tc>
          <w:tcPr>
            <w:tcW w:w="740" w:type="dxa"/>
            <w:vAlign w:val="bottom"/>
            <w:tcBorders>
              <w:bottom w:val="single" w:sz="8" w:color="auto"/>
            </w:tcBorders>
            <w:vMerge w:val="continue"/>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vMerge w:val="continue"/>
            <w:shd w:val="clear" w:color="auto" w:fill="CCEEFF"/>
          </w:tcPr>
          <w:p>
            <w:pPr>
              <w:spacing w:after="0"/>
              <w:rPr>
                <w:sz w:val="18"/>
                <w:szCs w:val="18"/>
                <w:color w:val="auto"/>
              </w:rPr>
            </w:pPr>
          </w:p>
        </w:tc>
        <w:tc>
          <w:tcPr>
            <w:tcW w:w="780" w:type="dxa"/>
            <w:vAlign w:val="bottom"/>
            <w:tcBorders>
              <w:bottom w:val="single" w:sz="8" w:color="auto"/>
            </w:tcBorders>
            <w:vMerge w:val="continue"/>
            <w:shd w:val="clear" w:color="auto" w:fill="CCEEFF"/>
          </w:tcPr>
          <w:p>
            <w:pPr>
              <w:spacing w:after="0"/>
              <w:rPr>
                <w:sz w:val="18"/>
                <w:szCs w:val="18"/>
                <w:color w:val="auto"/>
              </w:rPr>
            </w:pPr>
          </w:p>
        </w:tc>
        <w:tc>
          <w:tcPr>
            <w:tcW w:w="960" w:type="dxa"/>
            <w:vAlign w:val="bottom"/>
            <w:tcBorders>
              <w:bottom w:val="single" w:sz="8" w:color="CCEEFF"/>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vMerge w:val="continue"/>
            <w:shd w:val="clear" w:color="auto" w:fill="CCEEFF"/>
          </w:tcPr>
          <w:p>
            <w:pPr>
              <w:spacing w:after="0"/>
              <w:rPr>
                <w:sz w:val="18"/>
                <w:szCs w:val="18"/>
                <w:color w:val="auto"/>
              </w:rPr>
            </w:pPr>
          </w:p>
        </w:tc>
        <w:tc>
          <w:tcPr>
            <w:tcW w:w="780" w:type="dxa"/>
            <w:vAlign w:val="bottom"/>
            <w:tcBorders>
              <w:bottom w:val="single" w:sz="8" w:color="auto"/>
            </w:tcBorders>
            <w:vMerge w:val="continue"/>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vMerge w:val="continue"/>
            <w:shd w:val="clear" w:color="auto" w:fill="CCEEFF"/>
          </w:tcPr>
          <w:p>
            <w:pPr>
              <w:spacing w:after="0"/>
              <w:rPr>
                <w:sz w:val="18"/>
                <w:szCs w:val="18"/>
                <w:color w:val="auto"/>
              </w:rPr>
            </w:pPr>
          </w:p>
        </w:tc>
        <w:tc>
          <w:tcPr>
            <w:tcW w:w="780" w:type="dxa"/>
            <w:vAlign w:val="bottom"/>
            <w:tcBorders>
              <w:bottom w:val="single" w:sz="8" w:color="auto"/>
            </w:tcBorders>
            <w:vMerge w:val="continue"/>
            <w:shd w:val="clear" w:color="auto" w:fill="CCEEFF"/>
          </w:tcPr>
          <w:p>
            <w:pPr>
              <w:spacing w:after="0"/>
              <w:rPr>
                <w:sz w:val="18"/>
                <w:szCs w:val="18"/>
                <w:color w:val="auto"/>
              </w:rPr>
            </w:pPr>
          </w:p>
        </w:tc>
        <w:tc>
          <w:tcPr>
            <w:tcW w:w="900" w:type="dxa"/>
            <w:vAlign w:val="bottom"/>
            <w:tcBorders>
              <w:bottom w:val="single" w:sz="8" w:color="CCEEFF"/>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ind w:left="60"/>
        <w:spacing w:after="0" w:line="211" w:lineRule="auto"/>
        <w:rPr>
          <w:sz w:val="20"/>
          <w:szCs w:val="20"/>
          <w:color w:val="auto"/>
        </w:rPr>
      </w:pPr>
      <w:r>
        <w:rPr>
          <w:rFonts w:ascii="Arial" w:cs="Arial" w:eastAsia="Arial" w:hAnsi="Arial"/>
          <w:sz w:val="14"/>
          <w:szCs w:val="14"/>
          <w:color w:val="auto"/>
        </w:rPr>
        <w:t>Note: Percentages reflect line item as a percentage of net revenue, adjusted for rounding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5911215</wp:posOffset>
            </wp:positionH>
            <wp:positionV relativeFrom="paragraph">
              <wp:posOffset>-80645</wp:posOffset>
            </wp:positionV>
            <wp:extent cx="65151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51510" cy="8890"/>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-80645</wp:posOffset>
            </wp:positionV>
            <wp:extent cx="65151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51510" cy="8890"/>
                    </a:xfrm>
                    <a:prstGeom prst="rect">
                      <a:avLst/>
                    </a:prstGeom>
                    <a:noFill/>
                  </pic:spPr>
                </pic:pic>
              </a:graphicData>
            </a:graphic>
          </wp:anchor>
        </w:drawing>
        <w:drawing>
          <wp:anchor simplePos="0" relativeHeight="251657728" behindDoc="1" locked="0" layoutInCell="0" allowOverlap="1">
            <wp:simplePos x="0" y="0"/>
            <wp:positionH relativeFrom="column">
              <wp:posOffset>3236595</wp:posOffset>
            </wp:positionH>
            <wp:positionV relativeFrom="paragraph">
              <wp:posOffset>-80645</wp:posOffset>
            </wp:positionV>
            <wp:extent cx="65151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51510" cy="8890"/>
                    </a:xfrm>
                    <a:prstGeom prst="rect">
                      <a:avLst/>
                    </a:prstGeom>
                    <a:noFill/>
                  </pic:spPr>
                </pic:pic>
              </a:graphicData>
            </a:graphic>
          </wp:anchor>
        </w:drawing>
        <w:drawing>
          <wp:anchor simplePos="0" relativeHeight="251657728" behindDoc="1" locked="0" layoutInCell="0" allowOverlap="1">
            <wp:simplePos x="0" y="0"/>
            <wp:positionH relativeFrom="column">
              <wp:posOffset>1882140</wp:posOffset>
            </wp:positionH>
            <wp:positionV relativeFrom="paragraph">
              <wp:posOffset>-80645</wp:posOffset>
            </wp:positionV>
            <wp:extent cx="64325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43255" cy="8890"/>
                    </a:xfrm>
                    <a:prstGeom prst="rect">
                      <a:avLst/>
                    </a:prstGeom>
                    <a:noFill/>
                  </pic:spPr>
                </pic:pic>
              </a:graphicData>
            </a:graphic>
          </wp:anchor>
        </w:drawing>
      </w:r>
    </w:p>
    <w:p>
      <w:pPr>
        <w:ind w:left="60"/>
        <w:spacing w:after="0"/>
        <w:rPr>
          <w:sz w:val="20"/>
          <w:szCs w:val="20"/>
          <w:color w:val="auto"/>
        </w:rPr>
      </w:pPr>
      <w:r>
        <w:rPr>
          <w:rFonts w:ascii="Arial" w:cs="Arial" w:eastAsia="Arial" w:hAnsi="Arial"/>
          <w:sz w:val="14"/>
          <w:szCs w:val="14"/>
          <w:color w:val="auto"/>
        </w:rPr>
        <w:t>Some of the percentage totals in the table above do not foot due to rounding differences</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8" w:name="page39"/>
    <w:bookmarkEnd w:id="3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9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2100" w:type="dxa"/>
            <w:vAlign w:val="bottom"/>
            <w:tcBorders>
              <w:bottom w:val="single" w:sz="8" w:color="auto"/>
            </w:tcBorders>
            <w:gridSpan w:val="5"/>
          </w:tcPr>
          <w:p>
            <w:pPr>
              <w:jc w:val="right"/>
              <w:ind w:right="210"/>
              <w:spacing w:after="0"/>
              <w:rPr>
                <w:sz w:val="20"/>
                <w:szCs w:val="20"/>
                <w:color w:val="auto"/>
              </w:rPr>
            </w:pPr>
            <w:r>
              <w:rPr>
                <w:rFonts w:ascii="Arial" w:cs="Arial" w:eastAsia="Arial" w:hAnsi="Arial"/>
                <w:sz w:val="18"/>
                <w:szCs w:val="18"/>
                <w:color w:val="auto"/>
              </w:rPr>
              <w:t>Three Months Ended</w:t>
            </w:r>
          </w:p>
        </w:tc>
        <w:tc>
          <w:tcPr>
            <w:tcW w:w="5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gridSpan w:val="7"/>
          </w:tcPr>
          <w:p>
            <w:pPr>
              <w:ind w:left="80"/>
              <w:spacing w:after="0"/>
              <w:rPr>
                <w:sz w:val="20"/>
                <w:szCs w:val="20"/>
                <w:color w:val="auto"/>
              </w:rPr>
            </w:pPr>
            <w:r>
              <w:rPr>
                <w:rFonts w:ascii="Arial" w:cs="Arial" w:eastAsia="Arial" w:hAnsi="Arial"/>
                <w:sz w:val="18"/>
                <w:szCs w:val="18"/>
                <w:color w:val="auto"/>
              </w:rPr>
              <w:t>Six Months Ended</w:t>
            </w:r>
          </w:p>
        </w:tc>
        <w:tc>
          <w:tcPr>
            <w:tcW w:w="6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980" w:type="dxa"/>
            <w:vAlign w:val="bottom"/>
            <w:tcBorders>
              <w:bottom w:val="single" w:sz="8" w:color="CCEEFF"/>
            </w:tcBorders>
          </w:tcPr>
          <w:p>
            <w:pPr>
              <w:ind w:left="20"/>
              <w:spacing w:after="0"/>
              <w:rPr>
                <w:sz w:val="20"/>
                <w:szCs w:val="20"/>
                <w:color w:val="auto"/>
              </w:rPr>
            </w:pPr>
            <w:r>
              <w:rPr>
                <w:rFonts w:ascii="Arial" w:cs="Arial" w:eastAsia="Arial" w:hAnsi="Arial"/>
                <w:sz w:val="18"/>
                <w:szCs w:val="18"/>
                <w:i w:val="1"/>
                <w:iCs w:val="1"/>
                <w:color w:val="auto"/>
              </w:rPr>
              <w:t>In thousands</w:t>
            </w:r>
          </w:p>
        </w:tc>
        <w:tc>
          <w:tcPr>
            <w:tcW w:w="2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2"/>
          </w:tcPr>
          <w:p>
            <w:pPr>
              <w:ind w:left="280"/>
              <w:spacing w:after="0"/>
              <w:rPr>
                <w:sz w:val="20"/>
                <w:szCs w:val="20"/>
                <w:color w:val="auto"/>
              </w:rPr>
            </w:pPr>
            <w:r>
              <w:rPr>
                <w:rFonts w:ascii="Arial" w:cs="Arial" w:eastAsia="Arial" w:hAnsi="Arial"/>
                <w:sz w:val="18"/>
                <w:szCs w:val="18"/>
                <w:color w:val="auto"/>
                <w:w w:val="90"/>
              </w:rPr>
              <w:t>July 3, 2021</w:t>
            </w:r>
          </w:p>
        </w:tc>
        <w:tc>
          <w:tcPr>
            <w:tcW w:w="54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June 27, 2020</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gridSpan w:val="5"/>
          </w:tcPr>
          <w:p>
            <w:pPr>
              <w:jc w:val="right"/>
              <w:ind w:right="430"/>
              <w:spacing w:after="0"/>
              <w:rPr>
                <w:sz w:val="20"/>
                <w:szCs w:val="20"/>
                <w:color w:val="auto"/>
              </w:rPr>
            </w:pPr>
            <w:r>
              <w:rPr>
                <w:rFonts w:ascii="Arial" w:cs="Arial" w:eastAsia="Arial" w:hAnsi="Arial"/>
                <w:sz w:val="18"/>
                <w:szCs w:val="18"/>
                <w:color w:val="auto"/>
              </w:rPr>
              <w:t>July 3, 2021</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gridSpan w:val="4"/>
          </w:tcPr>
          <w:p>
            <w:pPr>
              <w:jc w:val="right"/>
              <w:ind w:right="370"/>
              <w:spacing w:after="0"/>
              <w:rPr>
                <w:sz w:val="20"/>
                <w:szCs w:val="20"/>
                <w:color w:val="auto"/>
              </w:rPr>
            </w:pPr>
            <w:r>
              <w:rPr>
                <w:rFonts w:ascii="Arial" w:cs="Arial" w:eastAsia="Arial" w:hAnsi="Arial"/>
                <w:sz w:val="18"/>
                <w:szCs w:val="18"/>
                <w:color w:val="auto"/>
                <w:w w:val="91"/>
              </w:rPr>
              <w:t>June 27, 2020</w:t>
            </w:r>
          </w:p>
        </w:tc>
        <w:tc>
          <w:tcPr>
            <w:tcW w:w="0" w:type="dxa"/>
            <w:vAlign w:val="bottom"/>
          </w:tcPr>
          <w:p>
            <w:pPr>
              <w:spacing w:after="0"/>
              <w:rPr>
                <w:sz w:val="1"/>
                <w:szCs w:val="1"/>
                <w:color w:val="auto"/>
              </w:rPr>
            </w:pPr>
          </w:p>
        </w:tc>
      </w:tr>
      <w:tr>
        <w:trPr>
          <w:trHeight w:val="223"/>
        </w:trPr>
        <w:tc>
          <w:tcPr>
            <w:tcW w:w="29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(loss)</w:t>
            </w:r>
          </w:p>
        </w:tc>
        <w:tc>
          <w:tcPr>
            <w:tcW w:w="280" w:type="dxa"/>
            <w:vAlign w:val="bottom"/>
            <w:shd w:val="clear" w:color="auto" w:fill="CCEEFF"/>
          </w:tcPr>
          <w:p>
            <w:pPr>
              <w:jc w:val="right"/>
              <w:ind w:right="105"/>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37,601</w:t>
            </w:r>
          </w:p>
        </w:tc>
        <w:tc>
          <w:tcPr>
            <w:tcW w:w="4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6.8 %</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(43,833)</w:t>
            </w:r>
          </w:p>
        </w:tc>
        <w:tc>
          <w:tcPr>
            <w:tcW w:w="10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81,033</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7.5 %</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9"/>
              </w:rPr>
              <w:t>(34,091)</w:t>
            </w: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29"/>
        </w:trPr>
        <w:tc>
          <w:tcPr>
            <w:tcW w:w="298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10,096</w:t>
            </w:r>
          </w:p>
        </w:tc>
        <w:tc>
          <w:tcPr>
            <w:tcW w:w="4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1.8 %</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15,502</w:t>
            </w:r>
          </w:p>
        </w:tc>
        <w:tc>
          <w:tcPr>
            <w:tcW w:w="580" w:type="dxa"/>
            <w:vAlign w:val="bottom"/>
          </w:tcPr>
          <w:p>
            <w:pPr>
              <w:spacing w:after="0"/>
              <w:rPr>
                <w:sz w:val="19"/>
                <w:szCs w:val="19"/>
                <w:color w:val="auto"/>
              </w:rPr>
            </w:pPr>
          </w:p>
        </w:tc>
        <w:tc>
          <w:tcPr>
            <w:tcW w:w="440" w:type="dxa"/>
            <w:vAlign w:val="bottom"/>
            <w:gridSpan w:val="3"/>
          </w:tcPr>
          <w:p>
            <w:pPr>
              <w:jc w:val="right"/>
              <w:spacing w:after="0"/>
              <w:rPr>
                <w:sz w:val="20"/>
                <w:szCs w:val="20"/>
                <w:color w:val="auto"/>
              </w:rPr>
            </w:pPr>
            <w:r>
              <w:rPr>
                <w:rFonts w:ascii="Arial" w:cs="Arial" w:eastAsia="Arial" w:hAnsi="Arial"/>
                <w:sz w:val="18"/>
                <w:szCs w:val="18"/>
                <w:color w:val="auto"/>
                <w:w w:val="86"/>
              </w:rPr>
              <w:t>6.0 %</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16,426</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1.5 %</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60" w:type="dxa"/>
            <w:vAlign w:val="bottom"/>
            <w:gridSpan w:val="3"/>
          </w:tcPr>
          <w:p>
            <w:pPr>
              <w:jc w:val="right"/>
              <w:spacing w:after="0"/>
              <w:rPr>
                <w:sz w:val="20"/>
                <w:szCs w:val="20"/>
                <w:color w:val="auto"/>
              </w:rPr>
            </w:pPr>
            <w:r>
              <w:rPr>
                <w:rFonts w:ascii="Arial" w:cs="Arial" w:eastAsia="Arial" w:hAnsi="Arial"/>
                <w:sz w:val="18"/>
                <w:szCs w:val="18"/>
                <w:color w:val="auto"/>
              </w:rPr>
              <w:t>22,957</w:t>
            </w:r>
          </w:p>
        </w:tc>
        <w:tc>
          <w:tcPr>
            <w:tcW w:w="220" w:type="dxa"/>
            <w:vAlign w:val="bottom"/>
          </w:tcPr>
          <w:p>
            <w:pPr>
              <w:spacing w:after="0"/>
              <w:rPr>
                <w:sz w:val="19"/>
                <w:szCs w:val="19"/>
                <w:color w:val="auto"/>
              </w:rPr>
            </w:pPr>
          </w:p>
        </w:tc>
        <w:tc>
          <w:tcPr>
            <w:tcW w:w="680" w:type="dxa"/>
            <w:vAlign w:val="bottom"/>
          </w:tcPr>
          <w:p>
            <w:pPr>
              <w:jc w:val="center"/>
              <w:ind w:left="130"/>
              <w:spacing w:after="0"/>
              <w:rPr>
                <w:sz w:val="20"/>
                <w:szCs w:val="20"/>
                <w:color w:val="auto"/>
              </w:rPr>
            </w:pPr>
            <w:r>
              <w:rPr>
                <w:rFonts w:ascii="Arial" w:cs="Arial" w:eastAsia="Arial" w:hAnsi="Arial"/>
                <w:sz w:val="18"/>
                <w:szCs w:val="18"/>
                <w:color w:val="auto"/>
                <w:w w:val="91"/>
              </w:rPr>
              <w:t>3.1 %</w:t>
            </w:r>
          </w:p>
        </w:tc>
        <w:tc>
          <w:tcPr>
            <w:tcW w:w="0" w:type="dxa"/>
            <w:vAlign w:val="bottom"/>
          </w:tcPr>
          <w:p>
            <w:pPr>
              <w:spacing w:after="0"/>
              <w:rPr>
                <w:sz w:val="1"/>
                <w:szCs w:val="1"/>
                <w:color w:val="auto"/>
              </w:rPr>
            </w:pPr>
          </w:p>
        </w:tc>
      </w:tr>
      <w:tr>
        <w:trPr>
          <w:trHeight w:val="229"/>
        </w:trPr>
        <w:tc>
          <w:tcPr>
            <w:tcW w:w="2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provision (benefit)</w:t>
            </w:r>
          </w:p>
        </w:tc>
        <w:tc>
          <w:tcPr>
            <w:tcW w:w="2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7,040</w:t>
            </w:r>
          </w:p>
        </w:tc>
        <w:tc>
          <w:tcPr>
            <w:tcW w:w="4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1.3 %</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(13,403)</w:t>
            </w:r>
          </w:p>
        </w:tc>
        <w:tc>
          <w:tcPr>
            <w:tcW w:w="10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18,726</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1.7 %</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9"/>
              </w:rPr>
              <w:t>(13,685)</w:t>
            </w: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30"/>
        </w:trPr>
        <w:tc>
          <w:tcPr>
            <w:tcW w:w="2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Depreciation and amortization</w:t>
            </w:r>
          </w:p>
        </w:tc>
        <w:tc>
          <w:tcPr>
            <w:tcW w:w="2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24,025</w:t>
            </w:r>
          </w:p>
        </w:tc>
        <w:tc>
          <w:tcPr>
            <w:tcW w:w="440" w:type="dxa"/>
            <w:vAlign w:val="bottom"/>
            <w:tcBorders>
              <w:bottom w:val="single" w:sz="8" w:color="CCEEFF"/>
            </w:tcBorders>
          </w:tcPr>
          <w:p>
            <w:pPr>
              <w:spacing w:after="0"/>
              <w:rPr>
                <w:sz w:val="19"/>
                <w:szCs w:val="19"/>
                <w:color w:val="auto"/>
              </w:rPr>
            </w:pPr>
          </w:p>
        </w:tc>
        <w:tc>
          <w:tcPr>
            <w:tcW w:w="5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4.4 %</w:t>
            </w:r>
          </w:p>
        </w:tc>
        <w:tc>
          <w:tcPr>
            <w:tcW w:w="1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21,924</w:t>
            </w:r>
          </w:p>
        </w:tc>
        <w:tc>
          <w:tcPr>
            <w:tcW w:w="580" w:type="dxa"/>
            <w:vAlign w:val="bottom"/>
            <w:tcBorders>
              <w:bottom w:val="single" w:sz="8" w:color="CCEEFF"/>
            </w:tcBorders>
          </w:tcPr>
          <w:p>
            <w:pPr>
              <w:spacing w:after="0"/>
              <w:rPr>
                <w:sz w:val="19"/>
                <w:szCs w:val="19"/>
                <w:color w:val="auto"/>
              </w:rPr>
            </w:pPr>
          </w:p>
        </w:tc>
        <w:tc>
          <w:tcPr>
            <w:tcW w:w="440" w:type="dxa"/>
            <w:vAlign w:val="bottom"/>
            <w:tcBorders>
              <w:bottom w:val="single" w:sz="8" w:color="CCEEFF"/>
            </w:tcBorders>
            <w:gridSpan w:val="3"/>
          </w:tcPr>
          <w:p>
            <w:pPr>
              <w:jc w:val="right"/>
              <w:spacing w:after="0"/>
              <w:rPr>
                <w:sz w:val="20"/>
                <w:szCs w:val="20"/>
                <w:color w:val="auto"/>
              </w:rPr>
            </w:pPr>
            <w:r>
              <w:rPr>
                <w:rFonts w:ascii="Arial" w:cs="Arial" w:eastAsia="Arial" w:hAnsi="Arial"/>
                <w:sz w:val="18"/>
                <w:szCs w:val="18"/>
                <w:color w:val="auto"/>
                <w:w w:val="86"/>
              </w:rPr>
              <w:t>8.4 %</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47,580</w:t>
            </w: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6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4.4 %</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46,734</w:t>
            </w:r>
          </w:p>
        </w:tc>
        <w:tc>
          <w:tcPr>
            <w:tcW w:w="220" w:type="dxa"/>
            <w:vAlign w:val="bottom"/>
            <w:tcBorders>
              <w:bottom w:val="single" w:sz="8" w:color="CCEEFF"/>
            </w:tcBorders>
          </w:tcPr>
          <w:p>
            <w:pPr>
              <w:spacing w:after="0"/>
              <w:rPr>
                <w:sz w:val="19"/>
                <w:szCs w:val="19"/>
                <w:color w:val="auto"/>
              </w:rPr>
            </w:pPr>
          </w:p>
        </w:tc>
        <w:tc>
          <w:tcPr>
            <w:tcW w:w="680" w:type="dxa"/>
            <w:vAlign w:val="bottom"/>
            <w:tcBorders>
              <w:bottom w:val="single" w:sz="8" w:color="CCEEFF"/>
            </w:tcBorders>
          </w:tcPr>
          <w:p>
            <w:pPr>
              <w:jc w:val="center"/>
              <w:ind w:left="130"/>
              <w:spacing w:after="0"/>
              <w:rPr>
                <w:sz w:val="20"/>
                <w:szCs w:val="20"/>
                <w:color w:val="auto"/>
              </w:rPr>
            </w:pPr>
            <w:r>
              <w:rPr>
                <w:rFonts w:ascii="Arial" w:cs="Arial" w:eastAsia="Arial" w:hAnsi="Arial"/>
                <w:sz w:val="18"/>
                <w:szCs w:val="18"/>
                <w:color w:val="auto"/>
                <w:w w:val="91"/>
              </w:rPr>
              <w:t>6.4 %</w:t>
            </w:r>
          </w:p>
        </w:tc>
        <w:tc>
          <w:tcPr>
            <w:tcW w:w="0" w:type="dxa"/>
            <w:vAlign w:val="bottom"/>
          </w:tcPr>
          <w:p>
            <w:pPr>
              <w:spacing w:after="0"/>
              <w:rPr>
                <w:sz w:val="1"/>
                <w:szCs w:val="1"/>
                <w:color w:val="auto"/>
              </w:rPr>
            </w:pPr>
          </w:p>
        </w:tc>
      </w:tr>
      <w:tr>
        <w:trPr>
          <w:trHeight w:val="223"/>
        </w:trPr>
        <w:tc>
          <w:tcPr>
            <w:tcW w:w="2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EBITDA</w:t>
            </w:r>
          </w:p>
        </w:tc>
        <w:tc>
          <w:tcPr>
            <w:tcW w:w="2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78,762</w:t>
            </w:r>
          </w:p>
        </w:tc>
        <w:tc>
          <w:tcPr>
            <w:tcW w:w="4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14.3 %</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(19,810)</w:t>
            </w:r>
          </w:p>
        </w:tc>
        <w:tc>
          <w:tcPr>
            <w:tcW w:w="10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163,765</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15.1 %</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21,915</w:t>
            </w: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jc w:val="center"/>
              <w:ind w:left="130"/>
              <w:spacing w:after="0"/>
              <w:rPr>
                <w:sz w:val="20"/>
                <w:szCs w:val="20"/>
                <w:color w:val="auto"/>
              </w:rPr>
            </w:pPr>
            <w:r>
              <w:rPr>
                <w:rFonts w:ascii="Arial" w:cs="Arial" w:eastAsia="Arial" w:hAnsi="Arial"/>
                <w:sz w:val="18"/>
                <w:szCs w:val="18"/>
                <w:color w:val="auto"/>
                <w:w w:val="91"/>
              </w:rPr>
              <w:t>3.0 %</w:t>
            </w:r>
          </w:p>
        </w:tc>
        <w:tc>
          <w:tcPr>
            <w:tcW w:w="0" w:type="dxa"/>
            <w:vAlign w:val="bottom"/>
          </w:tcPr>
          <w:p>
            <w:pPr>
              <w:spacing w:after="0"/>
              <w:rPr>
                <w:sz w:val="1"/>
                <w:szCs w:val="1"/>
                <w:color w:val="auto"/>
              </w:rPr>
            </w:pPr>
          </w:p>
        </w:tc>
      </w:tr>
      <w:tr>
        <w:trPr>
          <w:trHeight w:val="270"/>
        </w:trPr>
        <w:tc>
          <w:tcPr>
            <w:tcW w:w="29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9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Stock compensation expense </w:t>
            </w:r>
            <w:r>
              <w:rPr>
                <w:rFonts w:ascii="Arial" w:cs="Arial" w:eastAsia="Arial" w:hAnsi="Arial"/>
                <w:sz w:val="23"/>
                <w:szCs w:val="23"/>
                <w:color w:val="auto"/>
                <w:vertAlign w:val="superscript"/>
              </w:rPr>
              <w:t>(a)</w:t>
            </w:r>
          </w:p>
        </w:tc>
        <w:tc>
          <w:tcPr>
            <w:tcW w:w="2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7,213</w:t>
            </w:r>
          </w:p>
        </w:tc>
        <w:tc>
          <w:tcPr>
            <w:tcW w:w="4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1.3 %</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3,352</w:t>
            </w:r>
          </w:p>
        </w:tc>
        <w:tc>
          <w:tcPr>
            <w:tcW w:w="580" w:type="dxa"/>
            <w:vAlign w:val="bottom"/>
            <w:shd w:val="clear" w:color="auto" w:fill="CCEEFF"/>
          </w:tcPr>
          <w:p>
            <w:pPr>
              <w:spacing w:after="0"/>
              <w:rPr>
                <w:sz w:val="19"/>
                <w:szCs w:val="19"/>
                <w:color w:val="auto"/>
              </w:rPr>
            </w:pPr>
          </w:p>
        </w:tc>
        <w:tc>
          <w:tcPr>
            <w:tcW w:w="4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6"/>
              </w:rPr>
              <w:t>1.3 %</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10,201</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0.9 %</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5,445</w:t>
            </w: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jc w:val="center"/>
              <w:ind w:left="130"/>
              <w:spacing w:after="0"/>
              <w:rPr>
                <w:sz w:val="20"/>
                <w:szCs w:val="20"/>
                <w:color w:val="auto"/>
              </w:rPr>
            </w:pPr>
            <w:r>
              <w:rPr>
                <w:rFonts w:ascii="Arial" w:cs="Arial" w:eastAsia="Arial" w:hAnsi="Arial"/>
                <w:sz w:val="18"/>
                <w:szCs w:val="18"/>
                <w:color w:val="auto"/>
                <w:w w:val="91"/>
              </w:rPr>
              <w:t>0.7 %</w:t>
            </w:r>
          </w:p>
        </w:tc>
        <w:tc>
          <w:tcPr>
            <w:tcW w:w="0" w:type="dxa"/>
            <w:vAlign w:val="bottom"/>
          </w:tcPr>
          <w:p>
            <w:pPr>
              <w:spacing w:after="0"/>
              <w:rPr>
                <w:sz w:val="1"/>
                <w:szCs w:val="1"/>
                <w:color w:val="auto"/>
              </w:rPr>
            </w:pPr>
          </w:p>
        </w:tc>
      </w:tr>
      <w:tr>
        <w:trPr>
          <w:trHeight w:val="229"/>
        </w:trPr>
        <w:tc>
          <w:tcPr>
            <w:tcW w:w="298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Asset impairment </w:t>
            </w:r>
            <w:r>
              <w:rPr>
                <w:rFonts w:ascii="Arial" w:cs="Arial" w:eastAsia="Arial" w:hAnsi="Arial"/>
                <w:sz w:val="23"/>
                <w:szCs w:val="23"/>
                <w:color w:val="auto"/>
                <w:vertAlign w:val="superscript"/>
              </w:rPr>
              <w:t>(b)</w:t>
            </w:r>
          </w:p>
        </w:tc>
        <w:tc>
          <w:tcPr>
            <w:tcW w:w="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519</w:t>
            </w:r>
          </w:p>
        </w:tc>
        <w:tc>
          <w:tcPr>
            <w:tcW w:w="4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0.1 %</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2,411</w:t>
            </w:r>
          </w:p>
        </w:tc>
        <w:tc>
          <w:tcPr>
            <w:tcW w:w="580" w:type="dxa"/>
            <w:vAlign w:val="bottom"/>
          </w:tcPr>
          <w:p>
            <w:pPr>
              <w:spacing w:after="0"/>
              <w:rPr>
                <w:sz w:val="19"/>
                <w:szCs w:val="19"/>
                <w:color w:val="auto"/>
              </w:rPr>
            </w:pPr>
          </w:p>
        </w:tc>
        <w:tc>
          <w:tcPr>
            <w:tcW w:w="440" w:type="dxa"/>
            <w:vAlign w:val="bottom"/>
            <w:gridSpan w:val="3"/>
          </w:tcPr>
          <w:p>
            <w:pPr>
              <w:jc w:val="right"/>
              <w:spacing w:after="0"/>
              <w:rPr>
                <w:sz w:val="20"/>
                <w:szCs w:val="20"/>
                <w:color w:val="auto"/>
              </w:rPr>
            </w:pPr>
            <w:r>
              <w:rPr>
                <w:rFonts w:ascii="Arial" w:cs="Arial" w:eastAsia="Arial" w:hAnsi="Arial"/>
                <w:sz w:val="18"/>
                <w:szCs w:val="18"/>
                <w:color w:val="auto"/>
                <w:w w:val="86"/>
              </w:rPr>
              <w:t>0.9 %</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1,478</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0.1 %</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60" w:type="dxa"/>
            <w:vAlign w:val="bottom"/>
            <w:gridSpan w:val="3"/>
          </w:tcPr>
          <w:p>
            <w:pPr>
              <w:jc w:val="right"/>
              <w:spacing w:after="0"/>
              <w:rPr>
                <w:sz w:val="20"/>
                <w:szCs w:val="20"/>
                <w:color w:val="auto"/>
              </w:rPr>
            </w:pPr>
            <w:r>
              <w:rPr>
                <w:rFonts w:ascii="Arial" w:cs="Arial" w:eastAsia="Arial" w:hAnsi="Arial"/>
                <w:sz w:val="18"/>
                <w:szCs w:val="18"/>
                <w:color w:val="auto"/>
              </w:rPr>
              <w:t>13,766</w:t>
            </w:r>
          </w:p>
        </w:tc>
        <w:tc>
          <w:tcPr>
            <w:tcW w:w="220" w:type="dxa"/>
            <w:vAlign w:val="bottom"/>
          </w:tcPr>
          <w:p>
            <w:pPr>
              <w:spacing w:after="0"/>
              <w:rPr>
                <w:sz w:val="19"/>
                <w:szCs w:val="19"/>
                <w:color w:val="auto"/>
              </w:rPr>
            </w:pPr>
          </w:p>
        </w:tc>
        <w:tc>
          <w:tcPr>
            <w:tcW w:w="680" w:type="dxa"/>
            <w:vAlign w:val="bottom"/>
          </w:tcPr>
          <w:p>
            <w:pPr>
              <w:jc w:val="center"/>
              <w:ind w:left="130"/>
              <w:spacing w:after="0"/>
              <w:rPr>
                <w:sz w:val="20"/>
                <w:szCs w:val="20"/>
                <w:color w:val="auto"/>
              </w:rPr>
            </w:pPr>
            <w:r>
              <w:rPr>
                <w:rFonts w:ascii="Arial" w:cs="Arial" w:eastAsia="Arial" w:hAnsi="Arial"/>
                <w:sz w:val="18"/>
                <w:szCs w:val="18"/>
                <w:color w:val="auto"/>
                <w:w w:val="91"/>
              </w:rPr>
              <w:t>1.9 %</w:t>
            </w:r>
          </w:p>
        </w:tc>
        <w:tc>
          <w:tcPr>
            <w:tcW w:w="0" w:type="dxa"/>
            <w:vAlign w:val="bottom"/>
          </w:tcPr>
          <w:p>
            <w:pPr>
              <w:spacing w:after="0"/>
              <w:rPr>
                <w:sz w:val="1"/>
                <w:szCs w:val="1"/>
                <w:color w:val="auto"/>
              </w:rPr>
            </w:pPr>
          </w:p>
        </w:tc>
      </w:tr>
      <w:tr>
        <w:trPr>
          <w:trHeight w:val="229"/>
        </w:trPr>
        <w:tc>
          <w:tcPr>
            <w:tcW w:w="29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Litigation settlement </w:t>
            </w:r>
            <w:r>
              <w:rPr>
                <w:rFonts w:ascii="Arial" w:cs="Arial" w:eastAsia="Arial" w:hAnsi="Arial"/>
                <w:sz w:val="23"/>
                <w:szCs w:val="23"/>
                <w:color w:val="auto"/>
                <w:vertAlign w:val="superscript"/>
              </w:rPr>
              <w:t>(c)</w:t>
            </w:r>
          </w:p>
        </w:tc>
        <w:tc>
          <w:tcPr>
            <w:tcW w:w="2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439"/>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 %</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w w:val="97"/>
              </w:rPr>
              <w:t>— %</w:t>
            </w:r>
          </w:p>
        </w:tc>
        <w:tc>
          <w:tcPr>
            <w:tcW w:w="34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4,395</w:t>
            </w: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jc w:val="center"/>
              <w:ind w:left="130"/>
              <w:spacing w:after="0"/>
              <w:rPr>
                <w:sz w:val="20"/>
                <w:szCs w:val="20"/>
                <w:color w:val="auto"/>
              </w:rPr>
            </w:pPr>
            <w:r>
              <w:rPr>
                <w:rFonts w:ascii="Arial" w:cs="Arial" w:eastAsia="Arial" w:hAnsi="Arial"/>
                <w:sz w:val="18"/>
                <w:szCs w:val="18"/>
                <w:color w:val="auto"/>
                <w:w w:val="91"/>
              </w:rPr>
              <w:t>0.6 %</w:t>
            </w:r>
          </w:p>
        </w:tc>
        <w:tc>
          <w:tcPr>
            <w:tcW w:w="0" w:type="dxa"/>
            <w:vAlign w:val="bottom"/>
          </w:tcPr>
          <w:p>
            <w:pPr>
              <w:spacing w:after="0"/>
              <w:rPr>
                <w:sz w:val="1"/>
                <w:szCs w:val="1"/>
                <w:color w:val="auto"/>
              </w:rPr>
            </w:pPr>
          </w:p>
        </w:tc>
      </w:tr>
      <w:tr>
        <w:trPr>
          <w:trHeight w:val="230"/>
        </w:trPr>
        <w:tc>
          <w:tcPr>
            <w:tcW w:w="2980" w:type="dxa"/>
            <w:vAlign w:val="bottom"/>
            <w:tcBorders>
              <w:bottom w:val="single" w:sz="8" w:color="CCEEFF"/>
            </w:tcBorders>
          </w:tcPr>
          <w:p>
            <w:pPr>
              <w:ind w:left="20"/>
              <w:spacing w:after="0" w:line="230" w:lineRule="exact"/>
              <w:rPr>
                <w:sz w:val="20"/>
                <w:szCs w:val="20"/>
                <w:color w:val="auto"/>
              </w:rPr>
            </w:pPr>
            <w:r>
              <w:rPr>
                <w:rFonts w:ascii="Arial" w:cs="Arial" w:eastAsia="Arial" w:hAnsi="Arial"/>
                <w:sz w:val="18"/>
                <w:szCs w:val="18"/>
                <w:color w:val="auto"/>
              </w:rPr>
              <w:t xml:space="preserve">Other </w:t>
            </w:r>
            <w:r>
              <w:rPr>
                <w:rFonts w:ascii="Arial" w:cs="Arial" w:eastAsia="Arial" w:hAnsi="Arial"/>
                <w:sz w:val="23"/>
                <w:szCs w:val="23"/>
                <w:color w:val="auto"/>
                <w:vertAlign w:val="superscript"/>
              </w:rPr>
              <w:t>(g)</w:t>
            </w:r>
          </w:p>
        </w:tc>
        <w:tc>
          <w:tcPr>
            <w:tcW w:w="2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1,241</w:t>
            </w:r>
          </w:p>
        </w:tc>
        <w:tc>
          <w:tcPr>
            <w:tcW w:w="440" w:type="dxa"/>
            <w:vAlign w:val="bottom"/>
            <w:tcBorders>
              <w:bottom w:val="single" w:sz="8" w:color="CCEEFF"/>
            </w:tcBorders>
          </w:tcPr>
          <w:p>
            <w:pPr>
              <w:spacing w:after="0"/>
              <w:rPr>
                <w:sz w:val="19"/>
                <w:szCs w:val="19"/>
                <w:color w:val="auto"/>
              </w:rPr>
            </w:pPr>
          </w:p>
        </w:tc>
        <w:tc>
          <w:tcPr>
            <w:tcW w:w="5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0.2 %</w:t>
            </w:r>
          </w:p>
        </w:tc>
        <w:tc>
          <w:tcPr>
            <w:tcW w:w="1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(307)</w:t>
            </w:r>
          </w:p>
        </w:tc>
        <w:tc>
          <w:tcPr>
            <w:tcW w:w="1020" w:type="dxa"/>
            <w:vAlign w:val="bottom"/>
            <w:tcBorders>
              <w:bottom w:val="single" w:sz="8" w:color="CCEEFF"/>
            </w:tcBorders>
            <w:gridSpan w:val="4"/>
          </w:tcPr>
          <w:p>
            <w:pPr>
              <w:jc w:val="right"/>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1,641</w:t>
            </w: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6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0.2 %</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1,149</w:t>
            </w:r>
          </w:p>
        </w:tc>
        <w:tc>
          <w:tcPr>
            <w:tcW w:w="220" w:type="dxa"/>
            <w:vAlign w:val="bottom"/>
            <w:tcBorders>
              <w:bottom w:val="single" w:sz="8" w:color="CCEEFF"/>
            </w:tcBorders>
          </w:tcPr>
          <w:p>
            <w:pPr>
              <w:spacing w:after="0"/>
              <w:rPr>
                <w:sz w:val="19"/>
                <w:szCs w:val="19"/>
                <w:color w:val="auto"/>
              </w:rPr>
            </w:pPr>
          </w:p>
        </w:tc>
        <w:tc>
          <w:tcPr>
            <w:tcW w:w="680" w:type="dxa"/>
            <w:vAlign w:val="bottom"/>
            <w:tcBorders>
              <w:bottom w:val="single" w:sz="8" w:color="CCEEFF"/>
            </w:tcBorders>
          </w:tcPr>
          <w:p>
            <w:pPr>
              <w:jc w:val="center"/>
              <w:ind w:left="130"/>
              <w:spacing w:after="0"/>
              <w:rPr>
                <w:sz w:val="20"/>
                <w:szCs w:val="20"/>
                <w:color w:val="auto"/>
              </w:rPr>
            </w:pPr>
            <w:r>
              <w:rPr>
                <w:rFonts w:ascii="Arial" w:cs="Arial" w:eastAsia="Arial" w:hAnsi="Arial"/>
                <w:sz w:val="18"/>
                <w:szCs w:val="18"/>
                <w:color w:val="auto"/>
                <w:w w:val="91"/>
              </w:rPr>
              <w:t>0.2 %</w:t>
            </w:r>
          </w:p>
        </w:tc>
        <w:tc>
          <w:tcPr>
            <w:tcW w:w="0" w:type="dxa"/>
            <w:vAlign w:val="bottom"/>
          </w:tcPr>
          <w:p>
            <w:pPr>
              <w:spacing w:after="0"/>
              <w:rPr>
                <w:sz w:val="1"/>
                <w:szCs w:val="1"/>
                <w:color w:val="auto"/>
              </w:rPr>
            </w:pPr>
          </w:p>
        </w:tc>
      </w:tr>
      <w:tr>
        <w:trPr>
          <w:trHeight w:val="155"/>
        </w:trPr>
        <w:tc>
          <w:tcPr>
            <w:tcW w:w="2980" w:type="dxa"/>
            <w:vAlign w:val="bottom"/>
            <w:shd w:val="clear" w:color="auto" w:fill="CCEEFF"/>
          </w:tcPr>
          <w:p>
            <w:pPr>
              <w:ind w:left="140"/>
              <w:spacing w:after="0" w:line="156" w:lineRule="exact"/>
              <w:rPr>
                <w:sz w:val="20"/>
                <w:szCs w:val="20"/>
                <w:color w:val="auto"/>
              </w:rPr>
            </w:pPr>
            <w:r>
              <w:rPr>
                <w:rFonts w:ascii="Arial" w:cs="Arial" w:eastAsia="Arial" w:hAnsi="Arial"/>
                <w:sz w:val="18"/>
                <w:szCs w:val="18"/>
                <w:b w:val="1"/>
                <w:bCs w:val="1"/>
                <w:color w:val="auto"/>
              </w:rPr>
              <w:t>Adjusted EBITDA / Adjusted</w:t>
            </w:r>
          </w:p>
        </w:tc>
        <w:tc>
          <w:tcPr>
            <w:tcW w:w="280" w:type="dxa"/>
            <w:vAlign w:val="bottom"/>
            <w:vMerge w:val="restart"/>
            <w:shd w:val="clear" w:color="auto" w:fill="CCEEFF"/>
          </w:tcPr>
          <w:p>
            <w:pPr>
              <w:jc w:val="right"/>
              <w:ind w:right="105"/>
              <w:spacing w:after="0"/>
              <w:rPr>
                <w:sz w:val="20"/>
                <w:szCs w:val="20"/>
                <w:color w:val="auto"/>
              </w:rPr>
            </w:pPr>
            <w:r>
              <w:rPr>
                <w:rFonts w:ascii="Arial" w:cs="Arial" w:eastAsia="Arial" w:hAnsi="Arial"/>
                <w:sz w:val="18"/>
                <w:szCs w:val="18"/>
                <w:color w:val="auto"/>
                <w:w w:val="79"/>
              </w:rPr>
              <w:t>$</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87,735</w:t>
            </w:r>
          </w:p>
        </w:tc>
        <w:tc>
          <w:tcPr>
            <w:tcW w:w="440" w:type="dxa"/>
            <w:vAlign w:val="bottom"/>
            <w:shd w:val="clear" w:color="auto" w:fill="CCEEFF"/>
          </w:tcPr>
          <w:p>
            <w:pPr>
              <w:spacing w:after="0"/>
              <w:rPr>
                <w:sz w:val="13"/>
                <w:szCs w:val="13"/>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2"/>
              </w:rPr>
              <w:t>16.0 %</w:t>
            </w:r>
          </w:p>
        </w:tc>
        <w:tc>
          <w:tcPr>
            <w:tcW w:w="140" w:type="dxa"/>
            <w:vAlign w:val="bottom"/>
            <w:shd w:val="clear" w:color="auto" w:fill="CCEEFF"/>
          </w:tcPr>
          <w:p>
            <w:pPr>
              <w:spacing w:after="0"/>
              <w:rPr>
                <w:sz w:val="13"/>
                <w:szCs w:val="13"/>
                <w:color w:val="auto"/>
              </w:rPr>
            </w:pPr>
          </w:p>
        </w:tc>
        <w:tc>
          <w:tcPr>
            <w:tcW w:w="2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(14,354)</w:t>
            </w:r>
          </w:p>
        </w:tc>
        <w:tc>
          <w:tcPr>
            <w:tcW w:w="1020" w:type="dxa"/>
            <w:vAlign w:val="bottom"/>
            <w:gridSpan w:val="4"/>
            <w:vMerge w:val="restart"/>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20" w:type="dxa"/>
            <w:vAlign w:val="bottom"/>
            <w:shd w:val="clear" w:color="auto" w:fill="CCEEFF"/>
          </w:tcPr>
          <w:p>
            <w:pPr>
              <w:spacing w:after="0"/>
              <w:rPr>
                <w:sz w:val="13"/>
                <w:szCs w:val="13"/>
                <w:color w:val="auto"/>
              </w:rPr>
            </w:pPr>
          </w:p>
        </w:tc>
        <w:tc>
          <w:tcPr>
            <w:tcW w:w="34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2"/>
              </w:rPr>
              <w:t>177,085</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16.3 %</w:t>
            </w:r>
          </w:p>
        </w:tc>
        <w:tc>
          <w:tcPr>
            <w:tcW w:w="500" w:type="dxa"/>
            <w:vAlign w:val="bottom"/>
            <w:gridSpan w:val="2"/>
            <w:vMerge w:val="restart"/>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660" w:type="dxa"/>
            <w:vAlign w:val="bottom"/>
            <w:gridSpan w:val="3"/>
            <w:vMerge w:val="restart"/>
            <w:shd w:val="clear" w:color="auto" w:fill="CCEEFF"/>
          </w:tcPr>
          <w:p>
            <w:pPr>
              <w:jc w:val="right"/>
              <w:spacing w:after="0"/>
              <w:rPr>
                <w:sz w:val="20"/>
                <w:szCs w:val="20"/>
                <w:color w:val="auto"/>
              </w:rPr>
            </w:pPr>
            <w:r>
              <w:rPr>
                <w:rFonts w:ascii="Arial" w:cs="Arial" w:eastAsia="Arial" w:hAnsi="Arial"/>
                <w:sz w:val="18"/>
                <w:szCs w:val="18"/>
                <w:color w:val="auto"/>
              </w:rPr>
              <w:t>46,670</w:t>
            </w:r>
          </w:p>
        </w:tc>
        <w:tc>
          <w:tcPr>
            <w:tcW w:w="220" w:type="dxa"/>
            <w:vAlign w:val="bottom"/>
            <w:shd w:val="clear" w:color="auto" w:fill="CCEEFF"/>
          </w:tcPr>
          <w:p>
            <w:pPr>
              <w:spacing w:after="0"/>
              <w:rPr>
                <w:sz w:val="13"/>
                <w:szCs w:val="13"/>
                <w:color w:val="auto"/>
              </w:rPr>
            </w:pPr>
          </w:p>
        </w:tc>
        <w:tc>
          <w:tcPr>
            <w:tcW w:w="680" w:type="dxa"/>
            <w:vAlign w:val="bottom"/>
            <w:vMerge w:val="restart"/>
            <w:shd w:val="clear" w:color="auto" w:fill="CCEEFF"/>
          </w:tcPr>
          <w:p>
            <w:pPr>
              <w:jc w:val="center"/>
              <w:ind w:left="130"/>
              <w:spacing w:after="0"/>
              <w:rPr>
                <w:sz w:val="20"/>
                <w:szCs w:val="20"/>
                <w:color w:val="auto"/>
              </w:rPr>
            </w:pPr>
            <w:r>
              <w:rPr>
                <w:rFonts w:ascii="Arial" w:cs="Arial" w:eastAsia="Arial" w:hAnsi="Arial"/>
                <w:sz w:val="18"/>
                <w:szCs w:val="18"/>
                <w:color w:val="auto"/>
                <w:w w:val="91"/>
              </w:rPr>
              <w:t>6.4 %</w:t>
            </w:r>
          </w:p>
        </w:tc>
        <w:tc>
          <w:tcPr>
            <w:tcW w:w="0" w:type="dxa"/>
            <w:vAlign w:val="bottom"/>
          </w:tcPr>
          <w:p>
            <w:pPr>
              <w:spacing w:after="0"/>
              <w:rPr>
                <w:sz w:val="1"/>
                <w:szCs w:val="1"/>
                <w:color w:val="auto"/>
              </w:rPr>
            </w:pPr>
          </w:p>
        </w:tc>
      </w:tr>
      <w:tr>
        <w:trPr>
          <w:trHeight w:val="223"/>
        </w:trPr>
        <w:tc>
          <w:tcPr>
            <w:tcW w:w="2980" w:type="dxa"/>
            <w:vAlign w:val="bottom"/>
            <w:shd w:val="clear" w:color="auto" w:fill="CCEEFF"/>
          </w:tcPr>
          <w:p>
            <w:pPr>
              <w:ind w:left="140"/>
              <w:spacing w:after="0" w:line="202" w:lineRule="exact"/>
              <w:rPr>
                <w:sz w:val="20"/>
                <w:szCs w:val="20"/>
                <w:color w:val="auto"/>
              </w:rPr>
            </w:pPr>
            <w:r>
              <w:rPr>
                <w:rFonts w:ascii="Arial" w:cs="Arial" w:eastAsia="Arial" w:hAnsi="Arial"/>
                <w:sz w:val="18"/>
                <w:szCs w:val="18"/>
                <w:b w:val="1"/>
                <w:bCs w:val="1"/>
                <w:color w:val="auto"/>
              </w:rPr>
              <w:t>EBITDA Margin</w:t>
            </w:r>
          </w:p>
        </w:tc>
        <w:tc>
          <w:tcPr>
            <w:tcW w:w="280" w:type="dxa"/>
            <w:vAlign w:val="bottom"/>
            <w:vMerge w:val="continue"/>
            <w:shd w:val="clear" w:color="auto" w:fill="CCEEFF"/>
          </w:tcPr>
          <w:p>
            <w:pPr>
              <w:spacing w:after="0"/>
              <w:rPr>
                <w:sz w:val="19"/>
                <w:szCs w:val="19"/>
                <w:color w:val="auto"/>
              </w:rPr>
            </w:pPr>
          </w:p>
        </w:tc>
        <w:tc>
          <w:tcPr>
            <w:tcW w:w="740" w:type="dxa"/>
            <w:vAlign w:val="bottom"/>
            <w:vMerge w:val="continue"/>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540" w:type="dxa"/>
            <w:vAlign w:val="bottom"/>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0" w:type="dxa"/>
            <w:vAlign w:val="bottom"/>
            <w:vMerge w:val="continue"/>
            <w:shd w:val="clear" w:color="auto" w:fill="CCEEFF"/>
          </w:tcPr>
          <w:p>
            <w:pPr>
              <w:spacing w:after="0"/>
              <w:rPr>
                <w:sz w:val="19"/>
                <w:szCs w:val="19"/>
                <w:color w:val="auto"/>
              </w:rPr>
            </w:pPr>
          </w:p>
        </w:tc>
        <w:tc>
          <w:tcPr>
            <w:tcW w:w="780" w:type="dxa"/>
            <w:vAlign w:val="bottom"/>
            <w:vMerge w:val="continue"/>
            <w:shd w:val="clear" w:color="auto" w:fill="CCEEFF"/>
          </w:tcPr>
          <w:p>
            <w:pPr>
              <w:spacing w:after="0"/>
              <w:rPr>
                <w:sz w:val="19"/>
                <w:szCs w:val="19"/>
                <w:color w:val="auto"/>
              </w:rPr>
            </w:pPr>
          </w:p>
        </w:tc>
        <w:tc>
          <w:tcPr>
            <w:tcW w:w="1020" w:type="dxa"/>
            <w:vAlign w:val="bottom"/>
            <w:gridSpan w:val="4"/>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vMerge w:val="continue"/>
            <w:shd w:val="clear" w:color="auto" w:fill="CCEEFF"/>
          </w:tcPr>
          <w:p>
            <w:pPr>
              <w:spacing w:after="0"/>
              <w:rPr>
                <w:sz w:val="19"/>
                <w:szCs w:val="19"/>
                <w:color w:val="auto"/>
              </w:rPr>
            </w:pPr>
          </w:p>
        </w:tc>
        <w:tc>
          <w:tcPr>
            <w:tcW w:w="640" w:type="dxa"/>
            <w:vAlign w:val="bottom"/>
            <w:vMerge w:val="continue"/>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80" w:type="dxa"/>
            <w:vAlign w:val="bottom"/>
            <w:vMerge w:val="continue"/>
            <w:shd w:val="clear" w:color="auto" w:fill="CCEEFF"/>
          </w:tcPr>
          <w:p>
            <w:pPr>
              <w:spacing w:after="0"/>
              <w:rPr>
                <w:sz w:val="19"/>
                <w:szCs w:val="19"/>
                <w:color w:val="auto"/>
              </w:rPr>
            </w:pPr>
          </w:p>
        </w:tc>
        <w:tc>
          <w:tcPr>
            <w:tcW w:w="500" w:type="dxa"/>
            <w:vAlign w:val="bottom"/>
            <w:gridSpan w:val="2"/>
            <w:vMerge w:val="continue"/>
            <w:shd w:val="clear" w:color="auto" w:fill="CCEEFF"/>
          </w:tcPr>
          <w:p>
            <w:pPr>
              <w:spacing w:after="0"/>
              <w:rPr>
                <w:sz w:val="19"/>
                <w:szCs w:val="19"/>
                <w:color w:val="auto"/>
              </w:rPr>
            </w:pPr>
          </w:p>
        </w:tc>
        <w:tc>
          <w:tcPr>
            <w:tcW w:w="660" w:type="dxa"/>
            <w:vAlign w:val="bottom"/>
            <w:gridSpan w:val="3"/>
            <w:vMerge w:val="continue"/>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980" w:type="dxa"/>
            <w:vAlign w:val="bottom"/>
            <w:tcBorders>
              <w:top w:val="single" w:sz="8" w:color="CCEEFF"/>
              <w:bottom w:val="single" w:sz="8" w:color="CCEEFF"/>
            </w:tcBorders>
            <w:vMerge w:val="restart"/>
          </w:tcPr>
          <w:p>
            <w:pPr>
              <w:ind w:left="140"/>
              <w:spacing w:after="0" w:line="122" w:lineRule="exact"/>
              <w:rPr>
                <w:sz w:val="20"/>
                <w:szCs w:val="20"/>
                <w:color w:val="auto"/>
              </w:rPr>
            </w:pPr>
            <w:r>
              <w:rPr>
                <w:rFonts w:ascii="Arial" w:cs="Arial" w:eastAsia="Arial" w:hAnsi="Arial"/>
                <w:sz w:val="14"/>
                <w:szCs w:val="14"/>
                <w:color w:val="auto"/>
                <w:w w:val="88"/>
              </w:rPr>
              <w:t>Note: Percentages reflect line item as a percentage</w:t>
            </w:r>
          </w:p>
        </w:tc>
        <w:tc>
          <w:tcPr>
            <w:tcW w:w="1020" w:type="dxa"/>
            <w:vAlign w:val="bottom"/>
            <w:tcBorders>
              <w:top w:val="single" w:sz="8" w:color="auto"/>
              <w:bottom w:val="single" w:sz="8" w:color="auto"/>
            </w:tcBorders>
            <w:gridSpan w:val="2"/>
          </w:tcPr>
          <w:p>
            <w:pPr>
              <w:spacing w:after="0" w:line="20" w:lineRule="exact"/>
              <w:rPr>
                <w:sz w:val="1"/>
                <w:szCs w:val="1"/>
                <w:color w:val="auto"/>
              </w:rPr>
            </w:pPr>
          </w:p>
        </w:tc>
        <w:tc>
          <w:tcPr>
            <w:tcW w:w="1120" w:type="dxa"/>
            <w:vAlign w:val="bottom"/>
            <w:tcBorders>
              <w:top w:val="single" w:sz="8" w:color="CCEEFF"/>
              <w:bottom w:val="single" w:sz="8" w:color="CCEEFF"/>
            </w:tcBorders>
            <w:gridSpan w:val="3"/>
            <w:vMerge w:val="restart"/>
          </w:tcPr>
          <w:p>
            <w:pPr>
              <w:spacing w:after="0" w:line="122" w:lineRule="exact"/>
              <w:rPr>
                <w:sz w:val="20"/>
                <w:szCs w:val="20"/>
                <w:color w:val="auto"/>
              </w:rPr>
            </w:pPr>
            <w:r>
              <w:rPr>
                <w:rFonts w:ascii="Arial" w:cs="Arial" w:eastAsia="Arial" w:hAnsi="Arial"/>
                <w:sz w:val="14"/>
                <w:szCs w:val="14"/>
                <w:color w:val="auto"/>
                <w:w w:val="83"/>
              </w:rPr>
              <w:t>adjusted for rounding</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
        </w:trPr>
        <w:tc>
          <w:tcPr>
            <w:tcW w:w="2980" w:type="dxa"/>
            <w:vAlign w:val="bottom"/>
            <w:vMerge w:val="continue"/>
          </w:tcPr>
          <w:p>
            <w:pPr>
              <w:spacing w:after="0"/>
              <w:rPr>
                <w:sz w:val="7"/>
                <w:szCs w:val="7"/>
                <w:color w:val="auto"/>
              </w:rPr>
            </w:pPr>
          </w:p>
        </w:tc>
        <w:tc>
          <w:tcPr>
            <w:tcW w:w="1020" w:type="dxa"/>
            <w:vAlign w:val="bottom"/>
            <w:gridSpan w:val="2"/>
          </w:tcPr>
          <w:p>
            <w:pPr>
              <w:jc w:val="right"/>
              <w:spacing w:after="0" w:line="82" w:lineRule="exact"/>
              <w:rPr>
                <w:sz w:val="20"/>
                <w:szCs w:val="20"/>
                <w:color w:val="auto"/>
              </w:rPr>
            </w:pPr>
            <w:r>
              <w:rPr>
                <w:rFonts w:ascii="Arial" w:cs="Arial" w:eastAsia="Arial" w:hAnsi="Arial"/>
                <w:sz w:val="9"/>
                <w:szCs w:val="9"/>
                <w:color w:val="auto"/>
              </w:rPr>
              <w:t>of net revenue,</w:t>
            </w:r>
          </w:p>
        </w:tc>
        <w:tc>
          <w:tcPr>
            <w:tcW w:w="1120" w:type="dxa"/>
            <w:vAlign w:val="bottom"/>
            <w:gridSpan w:val="3"/>
            <w:vMerge w:val="continue"/>
          </w:tcPr>
          <w:p>
            <w:pPr>
              <w:spacing w:after="0"/>
              <w:rPr>
                <w:sz w:val="7"/>
                <w:szCs w:val="7"/>
                <w:color w:val="auto"/>
              </w:rPr>
            </w:pPr>
          </w:p>
        </w:tc>
        <w:tc>
          <w:tcPr>
            <w:tcW w:w="200" w:type="dxa"/>
            <w:vAlign w:val="bottom"/>
          </w:tcPr>
          <w:p>
            <w:pPr>
              <w:spacing w:after="0"/>
              <w:rPr>
                <w:sz w:val="7"/>
                <w:szCs w:val="7"/>
                <w:color w:val="auto"/>
              </w:rPr>
            </w:pPr>
          </w:p>
        </w:tc>
        <w:tc>
          <w:tcPr>
            <w:tcW w:w="78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320" w:type="dxa"/>
            <w:vAlign w:val="bottom"/>
          </w:tcPr>
          <w:p>
            <w:pPr>
              <w:spacing w:after="0"/>
              <w:rPr>
                <w:sz w:val="7"/>
                <w:szCs w:val="7"/>
                <w:color w:val="auto"/>
              </w:rPr>
            </w:pPr>
          </w:p>
        </w:tc>
        <w:tc>
          <w:tcPr>
            <w:tcW w:w="120" w:type="dxa"/>
            <w:vAlign w:val="bottom"/>
          </w:tcPr>
          <w:p>
            <w:pPr>
              <w:spacing w:after="0"/>
              <w:rPr>
                <w:sz w:val="7"/>
                <w:szCs w:val="7"/>
                <w:color w:val="auto"/>
              </w:rPr>
            </w:pPr>
          </w:p>
        </w:tc>
        <w:tc>
          <w:tcPr>
            <w:tcW w:w="340" w:type="dxa"/>
            <w:vAlign w:val="bottom"/>
          </w:tcPr>
          <w:p>
            <w:pPr>
              <w:spacing w:after="0"/>
              <w:rPr>
                <w:sz w:val="7"/>
                <w:szCs w:val="7"/>
                <w:color w:val="auto"/>
              </w:rPr>
            </w:pPr>
          </w:p>
        </w:tc>
        <w:tc>
          <w:tcPr>
            <w:tcW w:w="64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80" w:type="dxa"/>
            <w:vAlign w:val="bottom"/>
          </w:tcPr>
          <w:p>
            <w:pPr>
              <w:spacing w:after="0"/>
              <w:rPr>
                <w:sz w:val="7"/>
                <w:szCs w:val="7"/>
                <w:color w:val="auto"/>
              </w:rPr>
            </w:pPr>
          </w:p>
        </w:tc>
        <w:tc>
          <w:tcPr>
            <w:tcW w:w="120" w:type="dxa"/>
            <w:vAlign w:val="bottom"/>
          </w:tcPr>
          <w:p>
            <w:pPr>
              <w:spacing w:after="0"/>
              <w:rPr>
                <w:sz w:val="7"/>
                <w:szCs w:val="7"/>
                <w:color w:val="auto"/>
              </w:rPr>
            </w:pPr>
          </w:p>
        </w:tc>
        <w:tc>
          <w:tcPr>
            <w:tcW w:w="38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500" w:type="dxa"/>
            <w:vAlign w:val="bottom"/>
          </w:tcPr>
          <w:p>
            <w:pPr>
              <w:spacing w:after="0"/>
              <w:rPr>
                <w:sz w:val="7"/>
                <w:szCs w:val="7"/>
                <w:color w:val="auto"/>
              </w:rPr>
            </w:pPr>
          </w:p>
        </w:tc>
        <w:tc>
          <w:tcPr>
            <w:tcW w:w="220" w:type="dxa"/>
            <w:vAlign w:val="bottom"/>
          </w:tcPr>
          <w:p>
            <w:pPr>
              <w:spacing w:after="0"/>
              <w:rPr>
                <w:sz w:val="7"/>
                <w:szCs w:val="7"/>
                <w:color w:val="auto"/>
              </w:rPr>
            </w:pPr>
          </w:p>
        </w:tc>
        <w:tc>
          <w:tcPr>
            <w:tcW w:w="6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2"/>
        </w:trPr>
        <w:tc>
          <w:tcPr>
            <w:tcW w:w="5320" w:type="dxa"/>
            <w:vAlign w:val="bottom"/>
            <w:gridSpan w:val="7"/>
          </w:tcPr>
          <w:p>
            <w:pPr>
              <w:ind w:left="140"/>
              <w:spacing w:after="0"/>
              <w:rPr>
                <w:sz w:val="20"/>
                <w:szCs w:val="20"/>
                <w:color w:val="auto"/>
              </w:rPr>
            </w:pPr>
            <w:r>
              <w:rPr>
                <w:rFonts w:ascii="Arial" w:cs="Arial" w:eastAsia="Arial" w:hAnsi="Arial"/>
                <w:sz w:val="14"/>
                <w:szCs w:val="14"/>
                <w:color w:val="auto"/>
                <w:w w:val="94"/>
              </w:rPr>
              <w:t>Some of the percentage totals in the table above do not foot due to rounding differences</w:t>
            </w:r>
          </w:p>
        </w:tc>
        <w:tc>
          <w:tcPr>
            <w:tcW w:w="7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66"/>
        </w:trPr>
        <w:tc>
          <w:tcPr>
            <w:tcW w:w="2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60" w:type="dxa"/>
            <w:vAlign w:val="bottom"/>
            <w:tcBorders>
              <w:bottom w:val="single" w:sz="8" w:color="auto"/>
            </w:tcBorders>
            <w:gridSpan w:val="7"/>
          </w:tcPr>
          <w:p>
            <w:pPr>
              <w:jc w:val="right"/>
              <w:spacing w:after="0"/>
              <w:rPr>
                <w:sz w:val="20"/>
                <w:szCs w:val="20"/>
                <w:color w:val="auto"/>
              </w:rPr>
            </w:pPr>
            <w:r>
              <w:rPr>
                <w:rFonts w:ascii="Arial" w:cs="Arial" w:eastAsia="Arial" w:hAnsi="Arial"/>
                <w:sz w:val="18"/>
                <w:szCs w:val="18"/>
                <w:color w:val="auto"/>
              </w:rPr>
              <w:t>Three Months Ended</w:t>
            </w:r>
          </w:p>
        </w:tc>
        <w:tc>
          <w:tcPr>
            <w:tcW w:w="64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gridSpan w:val="7"/>
          </w:tcPr>
          <w:p>
            <w:pPr>
              <w:ind w:left="620"/>
              <w:spacing w:after="0"/>
              <w:rPr>
                <w:sz w:val="20"/>
                <w:szCs w:val="20"/>
                <w:color w:val="auto"/>
              </w:rPr>
            </w:pPr>
            <w:r>
              <w:rPr>
                <w:rFonts w:ascii="Arial" w:cs="Arial" w:eastAsia="Arial" w:hAnsi="Arial"/>
                <w:sz w:val="18"/>
                <w:szCs w:val="18"/>
                <w:color w:val="auto"/>
                <w:w w:val="97"/>
              </w:rPr>
              <w:t>Six Months Ended</w:t>
            </w:r>
          </w:p>
        </w:tc>
        <w:tc>
          <w:tcPr>
            <w:tcW w:w="6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980" w:type="dxa"/>
            <w:vAlign w:val="bottom"/>
            <w:tcBorders>
              <w:bottom w:val="single" w:sz="8" w:color="CCEEFF"/>
            </w:tcBorders>
          </w:tcPr>
          <w:p>
            <w:pPr>
              <w:ind w:left="20"/>
              <w:spacing w:after="0"/>
              <w:rPr>
                <w:sz w:val="20"/>
                <w:szCs w:val="20"/>
                <w:color w:val="auto"/>
              </w:rPr>
            </w:pPr>
            <w:r>
              <w:rPr>
                <w:rFonts w:ascii="Arial" w:cs="Arial" w:eastAsia="Arial" w:hAnsi="Arial"/>
                <w:sz w:val="18"/>
                <w:szCs w:val="18"/>
                <w:i w:val="1"/>
                <w:iCs w:val="1"/>
                <w:color w:val="auto"/>
                <w:w w:val="91"/>
              </w:rPr>
              <w:t>In thousands, except per share amounts</w:t>
            </w:r>
          </w:p>
        </w:tc>
        <w:tc>
          <w:tcPr>
            <w:tcW w:w="280" w:type="dxa"/>
            <w:vAlign w:val="bottom"/>
            <w:tcBorders>
              <w:bottom w:val="single" w:sz="8" w:color="CCEEFF"/>
            </w:tcBorders>
          </w:tcPr>
          <w:p>
            <w:pPr>
              <w:spacing w:after="0"/>
              <w:rPr>
                <w:sz w:val="19"/>
                <w:szCs w:val="19"/>
                <w:color w:val="auto"/>
              </w:rPr>
            </w:pPr>
          </w:p>
        </w:tc>
        <w:tc>
          <w:tcPr>
            <w:tcW w:w="740" w:type="dxa"/>
            <w:vAlign w:val="bottom"/>
            <w:tcBorders>
              <w:bottom w:val="single" w:sz="8" w:color="CCEEFF"/>
            </w:tcBorders>
          </w:tcPr>
          <w:p>
            <w:pPr>
              <w:spacing w:after="0"/>
              <w:rPr>
                <w:sz w:val="19"/>
                <w:szCs w:val="19"/>
                <w:color w:val="auto"/>
              </w:rPr>
            </w:pPr>
          </w:p>
        </w:tc>
        <w:tc>
          <w:tcPr>
            <w:tcW w:w="440" w:type="dxa"/>
            <w:vAlign w:val="bottom"/>
            <w:tcBorders>
              <w:bottom w:val="single" w:sz="8" w:color="CCEEFF"/>
            </w:tcBorders>
          </w:tcPr>
          <w:p>
            <w:pPr>
              <w:spacing w:after="0"/>
              <w:rPr>
                <w:sz w:val="19"/>
                <w:szCs w:val="19"/>
                <w:color w:val="auto"/>
              </w:rPr>
            </w:pPr>
          </w:p>
        </w:tc>
        <w:tc>
          <w:tcPr>
            <w:tcW w:w="54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360" w:type="dxa"/>
            <w:vAlign w:val="bottom"/>
            <w:tcBorders>
              <w:bottom w:val="single" w:sz="8" w:color="auto"/>
            </w:tcBorders>
            <w:gridSpan w:val="2"/>
          </w:tcPr>
          <w:p>
            <w:pPr>
              <w:jc w:val="right"/>
              <w:ind w:right="130"/>
              <w:spacing w:after="0"/>
              <w:rPr>
                <w:sz w:val="20"/>
                <w:szCs w:val="20"/>
                <w:color w:val="auto"/>
              </w:rPr>
            </w:pPr>
            <w:r>
              <w:rPr>
                <w:rFonts w:ascii="Arial" w:cs="Arial" w:eastAsia="Arial" w:hAnsi="Arial"/>
                <w:sz w:val="18"/>
                <w:szCs w:val="18"/>
                <w:color w:val="auto"/>
              </w:rPr>
              <w:t>July 3, 2021</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20" w:type="dxa"/>
            <w:vAlign w:val="bottom"/>
            <w:tcBorders>
              <w:bottom w:val="single" w:sz="8" w:color="auto"/>
            </w:tcBorders>
            <w:gridSpan w:val="4"/>
          </w:tcPr>
          <w:p>
            <w:pPr>
              <w:jc w:val="right"/>
              <w:ind w:right="130"/>
              <w:spacing w:after="0"/>
              <w:rPr>
                <w:sz w:val="20"/>
                <w:szCs w:val="20"/>
                <w:color w:val="auto"/>
              </w:rPr>
            </w:pPr>
            <w:r>
              <w:rPr>
                <w:rFonts w:ascii="Arial" w:cs="Arial" w:eastAsia="Arial" w:hAnsi="Arial"/>
                <w:sz w:val="18"/>
                <w:szCs w:val="18"/>
                <w:color w:val="auto"/>
              </w:rPr>
              <w:t>June 27, 2020</w:t>
            </w:r>
          </w:p>
        </w:tc>
        <w:tc>
          <w:tcPr>
            <w:tcW w:w="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3"/>
          </w:tcPr>
          <w:p>
            <w:pPr>
              <w:jc w:val="right"/>
              <w:ind w:right="110"/>
              <w:spacing w:after="0"/>
              <w:rPr>
                <w:sz w:val="20"/>
                <w:szCs w:val="20"/>
                <w:color w:val="auto"/>
              </w:rPr>
            </w:pPr>
            <w:r>
              <w:rPr>
                <w:rFonts w:ascii="Arial" w:cs="Arial" w:eastAsia="Arial" w:hAnsi="Arial"/>
                <w:sz w:val="18"/>
                <w:szCs w:val="18"/>
                <w:color w:val="auto"/>
                <w:w w:val="98"/>
              </w:rPr>
              <w:t>July 3, 2021</w:t>
            </w:r>
          </w:p>
        </w:tc>
        <w:tc>
          <w:tcPr>
            <w:tcW w:w="4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400" w:type="dxa"/>
            <w:vAlign w:val="bottom"/>
            <w:tcBorders>
              <w:bottom w:val="single" w:sz="8" w:color="auto"/>
            </w:tcBorders>
            <w:gridSpan w:val="3"/>
          </w:tcPr>
          <w:p>
            <w:pPr>
              <w:jc w:val="right"/>
              <w:ind w:right="110"/>
              <w:spacing w:after="0"/>
              <w:rPr>
                <w:sz w:val="20"/>
                <w:szCs w:val="20"/>
                <w:color w:val="auto"/>
              </w:rPr>
            </w:pPr>
            <w:r>
              <w:rPr>
                <w:rFonts w:ascii="Arial" w:cs="Arial" w:eastAsia="Arial" w:hAnsi="Arial"/>
                <w:sz w:val="18"/>
                <w:szCs w:val="18"/>
                <w:color w:val="auto"/>
              </w:rPr>
              <w:t>June 27, 2020</w:t>
            </w:r>
          </w:p>
        </w:tc>
        <w:tc>
          <w:tcPr>
            <w:tcW w:w="0" w:type="dxa"/>
            <w:vAlign w:val="bottom"/>
          </w:tcPr>
          <w:p>
            <w:pPr>
              <w:spacing w:after="0"/>
              <w:rPr>
                <w:sz w:val="1"/>
                <w:szCs w:val="1"/>
                <w:color w:val="auto"/>
              </w:rPr>
            </w:pPr>
          </w:p>
        </w:tc>
      </w:tr>
      <w:tr>
        <w:trPr>
          <w:trHeight w:val="223"/>
        </w:trPr>
        <w:tc>
          <w:tcPr>
            <w:tcW w:w="29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Diluted EPS</w:t>
            </w:r>
          </w:p>
        </w:tc>
        <w:tc>
          <w:tcPr>
            <w:tcW w:w="2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570"/>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0.42</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(0.55)</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0.89</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(0.42)</w:t>
            </w:r>
          </w:p>
        </w:tc>
        <w:tc>
          <w:tcPr>
            <w:tcW w:w="0" w:type="dxa"/>
            <w:vAlign w:val="bottom"/>
          </w:tcPr>
          <w:p>
            <w:pPr>
              <w:spacing w:after="0"/>
              <w:rPr>
                <w:sz w:val="1"/>
                <w:szCs w:val="1"/>
                <w:color w:val="auto"/>
              </w:rPr>
            </w:pPr>
          </w:p>
        </w:tc>
      </w:tr>
      <w:tr>
        <w:trPr>
          <w:trHeight w:val="230"/>
        </w:trPr>
        <w:tc>
          <w:tcPr>
            <w:tcW w:w="298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Stock compensation expense </w:t>
            </w:r>
            <w:r>
              <w:rPr>
                <w:rFonts w:ascii="Arial" w:cs="Arial" w:eastAsia="Arial" w:hAnsi="Arial"/>
                <w:sz w:val="23"/>
                <w:szCs w:val="23"/>
                <w:color w:val="auto"/>
                <w:vertAlign w:val="superscript"/>
              </w:rPr>
              <w:t>(a)</w:t>
            </w:r>
          </w:p>
        </w:tc>
        <w:tc>
          <w:tcPr>
            <w:tcW w:w="2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0.08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0.04</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0.11</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jc w:val="center"/>
              <w:ind w:left="130"/>
              <w:spacing w:after="0"/>
              <w:rPr>
                <w:sz w:val="20"/>
                <w:szCs w:val="20"/>
                <w:color w:val="auto"/>
              </w:rPr>
            </w:pPr>
            <w:r>
              <w:rPr>
                <w:rFonts w:ascii="Arial" w:cs="Arial" w:eastAsia="Arial" w:hAnsi="Arial"/>
                <w:sz w:val="18"/>
                <w:szCs w:val="18"/>
                <w:color w:val="auto"/>
                <w:w w:val="85"/>
              </w:rPr>
              <w:t>0.07</w:t>
            </w:r>
          </w:p>
        </w:tc>
        <w:tc>
          <w:tcPr>
            <w:tcW w:w="0" w:type="dxa"/>
            <w:vAlign w:val="bottom"/>
          </w:tcPr>
          <w:p>
            <w:pPr>
              <w:spacing w:after="0"/>
              <w:rPr>
                <w:sz w:val="1"/>
                <w:szCs w:val="1"/>
                <w:color w:val="auto"/>
              </w:rPr>
            </w:pPr>
          </w:p>
        </w:tc>
      </w:tr>
      <w:tr>
        <w:trPr>
          <w:trHeight w:val="229"/>
        </w:trPr>
        <w:tc>
          <w:tcPr>
            <w:tcW w:w="29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Asset impairment </w:t>
            </w:r>
            <w:r>
              <w:rPr>
                <w:rFonts w:ascii="Arial" w:cs="Arial" w:eastAsia="Arial" w:hAnsi="Arial"/>
                <w:sz w:val="23"/>
                <w:szCs w:val="23"/>
                <w:color w:val="auto"/>
                <w:vertAlign w:val="superscript"/>
              </w:rPr>
              <w:t>(b)</w:t>
            </w:r>
          </w:p>
        </w:tc>
        <w:tc>
          <w:tcPr>
            <w:tcW w:w="2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jc w:val="center"/>
              <w:ind w:left="130"/>
              <w:spacing w:after="0"/>
              <w:rPr>
                <w:sz w:val="20"/>
                <w:szCs w:val="20"/>
                <w:color w:val="auto"/>
              </w:rPr>
            </w:pPr>
            <w:r>
              <w:rPr>
                <w:rFonts w:ascii="Arial" w:cs="Arial" w:eastAsia="Arial" w:hAnsi="Arial"/>
                <w:sz w:val="18"/>
                <w:szCs w:val="18"/>
                <w:color w:val="auto"/>
                <w:w w:val="85"/>
              </w:rPr>
              <w:t>0.17</w:t>
            </w:r>
          </w:p>
        </w:tc>
        <w:tc>
          <w:tcPr>
            <w:tcW w:w="0" w:type="dxa"/>
            <w:vAlign w:val="bottom"/>
          </w:tcPr>
          <w:p>
            <w:pPr>
              <w:spacing w:after="0"/>
              <w:rPr>
                <w:sz w:val="1"/>
                <w:szCs w:val="1"/>
                <w:color w:val="auto"/>
              </w:rPr>
            </w:pPr>
          </w:p>
        </w:tc>
      </w:tr>
      <w:tr>
        <w:trPr>
          <w:trHeight w:val="230"/>
        </w:trPr>
        <w:tc>
          <w:tcPr>
            <w:tcW w:w="298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Litigation settlement </w:t>
            </w:r>
            <w:r>
              <w:rPr>
                <w:rFonts w:ascii="Arial" w:cs="Arial" w:eastAsia="Arial" w:hAnsi="Arial"/>
                <w:sz w:val="23"/>
                <w:szCs w:val="23"/>
                <w:color w:val="auto"/>
                <w:vertAlign w:val="superscript"/>
              </w:rPr>
              <w:t>(c)</w:t>
            </w:r>
          </w:p>
        </w:tc>
        <w:tc>
          <w:tcPr>
            <w:tcW w:w="2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jc w:val="center"/>
              <w:ind w:left="130"/>
              <w:spacing w:after="0"/>
              <w:rPr>
                <w:sz w:val="20"/>
                <w:szCs w:val="20"/>
                <w:color w:val="auto"/>
              </w:rPr>
            </w:pPr>
            <w:r>
              <w:rPr>
                <w:rFonts w:ascii="Arial" w:cs="Arial" w:eastAsia="Arial" w:hAnsi="Arial"/>
                <w:sz w:val="18"/>
                <w:szCs w:val="18"/>
                <w:color w:val="auto"/>
                <w:w w:val="85"/>
              </w:rPr>
              <w:t>0.05</w:t>
            </w:r>
          </w:p>
        </w:tc>
        <w:tc>
          <w:tcPr>
            <w:tcW w:w="0" w:type="dxa"/>
            <w:vAlign w:val="bottom"/>
          </w:tcPr>
          <w:p>
            <w:pPr>
              <w:spacing w:after="0"/>
              <w:rPr>
                <w:sz w:val="1"/>
                <w:szCs w:val="1"/>
                <w:color w:val="auto"/>
              </w:rPr>
            </w:pPr>
          </w:p>
        </w:tc>
      </w:tr>
      <w:tr>
        <w:trPr>
          <w:trHeight w:val="229"/>
        </w:trPr>
        <w:tc>
          <w:tcPr>
            <w:tcW w:w="326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w w:val="99"/>
              </w:rPr>
              <w:t xml:space="preserve">Amortization of acquisition intangibles </w:t>
            </w:r>
            <w:r>
              <w:rPr>
                <w:rFonts w:ascii="Arial" w:cs="Arial" w:eastAsia="Arial" w:hAnsi="Arial"/>
                <w:sz w:val="23"/>
                <w:szCs w:val="23"/>
                <w:color w:val="auto"/>
                <w:w w:val="99"/>
                <w:vertAlign w:val="superscript"/>
              </w:rPr>
              <w:t>(d)</w:t>
            </w:r>
          </w:p>
        </w:tc>
        <w:tc>
          <w:tcPr>
            <w:tcW w:w="7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jc w:val="center"/>
              <w:ind w:left="130"/>
              <w:spacing w:after="0"/>
              <w:rPr>
                <w:sz w:val="20"/>
                <w:szCs w:val="20"/>
                <w:color w:val="auto"/>
              </w:rPr>
            </w:pPr>
            <w:r>
              <w:rPr>
                <w:rFonts w:ascii="Arial" w:cs="Arial" w:eastAsia="Arial" w:hAnsi="Arial"/>
                <w:sz w:val="18"/>
                <w:szCs w:val="18"/>
                <w:color w:val="auto"/>
                <w:w w:val="85"/>
              </w:rPr>
              <w:t>0.05</w:t>
            </w:r>
          </w:p>
        </w:tc>
        <w:tc>
          <w:tcPr>
            <w:tcW w:w="0" w:type="dxa"/>
            <w:vAlign w:val="bottom"/>
          </w:tcPr>
          <w:p>
            <w:pPr>
              <w:spacing w:after="0"/>
              <w:rPr>
                <w:sz w:val="1"/>
                <w:szCs w:val="1"/>
                <w:color w:val="auto"/>
              </w:rPr>
            </w:pPr>
          </w:p>
        </w:tc>
      </w:tr>
      <w:tr>
        <w:trPr>
          <w:trHeight w:val="230"/>
        </w:trPr>
        <w:tc>
          <w:tcPr>
            <w:tcW w:w="4440" w:type="dxa"/>
            <w:vAlign w:val="bottom"/>
            <w:gridSpan w:val="4"/>
          </w:tcPr>
          <w:p>
            <w:pPr>
              <w:ind w:left="20"/>
              <w:spacing w:after="0" w:line="230" w:lineRule="exact"/>
              <w:rPr>
                <w:sz w:val="20"/>
                <w:szCs w:val="20"/>
                <w:color w:val="auto"/>
              </w:rPr>
            </w:pPr>
            <w:r>
              <w:rPr>
                <w:rFonts w:ascii="Arial" w:cs="Arial" w:eastAsia="Arial" w:hAnsi="Arial"/>
                <w:sz w:val="18"/>
                <w:szCs w:val="18"/>
                <w:color w:val="auto"/>
                <w:w w:val="90"/>
              </w:rPr>
              <w:t xml:space="preserve">Amortization of debt discount and deferred financing costs </w:t>
            </w:r>
            <w:r>
              <w:rPr>
                <w:rFonts w:ascii="Arial" w:cs="Arial" w:eastAsia="Arial" w:hAnsi="Arial"/>
                <w:sz w:val="23"/>
                <w:szCs w:val="23"/>
                <w:color w:val="auto"/>
                <w:w w:val="90"/>
                <w:vertAlign w:val="superscript"/>
              </w:rPr>
              <w:t>(e)</w:t>
            </w:r>
          </w:p>
        </w:tc>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0.01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0.03</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0.01</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jc w:val="center"/>
              <w:ind w:left="130"/>
              <w:spacing w:after="0"/>
              <w:rPr>
                <w:sz w:val="20"/>
                <w:szCs w:val="20"/>
                <w:color w:val="auto"/>
              </w:rPr>
            </w:pPr>
            <w:r>
              <w:rPr>
                <w:rFonts w:ascii="Arial" w:cs="Arial" w:eastAsia="Arial" w:hAnsi="Arial"/>
                <w:sz w:val="18"/>
                <w:szCs w:val="18"/>
                <w:color w:val="auto"/>
                <w:w w:val="85"/>
              </w:rPr>
              <w:t>0.03</w:t>
            </w:r>
          </w:p>
        </w:tc>
        <w:tc>
          <w:tcPr>
            <w:tcW w:w="0" w:type="dxa"/>
            <w:vAlign w:val="bottom"/>
          </w:tcPr>
          <w:p>
            <w:pPr>
              <w:spacing w:after="0"/>
              <w:rPr>
                <w:sz w:val="1"/>
                <w:szCs w:val="1"/>
                <w:color w:val="auto"/>
              </w:rPr>
            </w:pPr>
          </w:p>
        </w:tc>
      </w:tr>
      <w:tr>
        <w:trPr>
          <w:trHeight w:val="229"/>
        </w:trPr>
        <w:tc>
          <w:tcPr>
            <w:tcW w:w="4440" w:type="dxa"/>
            <w:vAlign w:val="bottom"/>
            <w:gridSpan w:val="4"/>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Losses (gains) on change in fair value of derivatives </w:t>
            </w:r>
            <w:r>
              <w:rPr>
                <w:rFonts w:ascii="Arial" w:cs="Arial" w:eastAsia="Arial" w:hAnsi="Arial"/>
                <w:sz w:val="23"/>
                <w:szCs w:val="23"/>
                <w:color w:val="auto"/>
                <w:vertAlign w:val="superscript"/>
              </w:rPr>
              <w:t>(f)</w:t>
            </w:r>
          </w:p>
        </w:tc>
        <w:tc>
          <w:tcPr>
            <w:tcW w:w="5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0.06</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jc w:val="center"/>
              <w:ind w:left="130"/>
              <w:spacing w:after="0"/>
              <w:rPr>
                <w:sz w:val="20"/>
                <w:szCs w:val="20"/>
                <w:color w:val="auto"/>
              </w:rPr>
            </w:pPr>
            <w:r>
              <w:rPr>
                <w:rFonts w:ascii="Arial" w:cs="Arial" w:eastAsia="Arial" w:hAnsi="Arial"/>
                <w:sz w:val="18"/>
                <w:szCs w:val="18"/>
                <w:color w:val="auto"/>
                <w:w w:val="85"/>
              </w:rPr>
              <w:t>0.06</w:t>
            </w:r>
          </w:p>
        </w:tc>
        <w:tc>
          <w:tcPr>
            <w:tcW w:w="0" w:type="dxa"/>
            <w:vAlign w:val="bottom"/>
          </w:tcPr>
          <w:p>
            <w:pPr>
              <w:spacing w:after="0"/>
              <w:rPr>
                <w:sz w:val="1"/>
                <w:szCs w:val="1"/>
                <w:color w:val="auto"/>
              </w:rPr>
            </w:pPr>
          </w:p>
        </w:tc>
      </w:tr>
      <w:tr>
        <w:trPr>
          <w:trHeight w:val="230"/>
        </w:trPr>
        <w:tc>
          <w:tcPr>
            <w:tcW w:w="298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Other </w:t>
            </w:r>
            <w:r>
              <w:rPr>
                <w:rFonts w:ascii="Arial" w:cs="Arial" w:eastAsia="Arial" w:hAnsi="Arial"/>
                <w:sz w:val="23"/>
                <w:szCs w:val="23"/>
                <w:color w:val="auto"/>
                <w:vertAlign w:val="superscript"/>
              </w:rPr>
              <w:t>(j)</w:t>
            </w:r>
          </w:p>
        </w:tc>
        <w:tc>
          <w:tcPr>
            <w:tcW w:w="2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0.01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40" w:type="dxa"/>
            <w:vAlign w:val="bottom"/>
            <w:gridSpan w:val="3"/>
          </w:tcPr>
          <w:p>
            <w:pPr>
              <w:jc w:val="right"/>
              <w:spacing w:after="0"/>
              <w:rPr>
                <w:sz w:val="20"/>
                <w:szCs w:val="20"/>
                <w:color w:val="auto"/>
              </w:rPr>
            </w:pPr>
            <w:r>
              <w:rPr>
                <w:rFonts w:ascii="Arial" w:cs="Arial" w:eastAsia="Arial" w:hAnsi="Arial"/>
                <w:sz w:val="18"/>
                <w:szCs w:val="18"/>
                <w:color w:val="auto"/>
              </w:rPr>
              <w:t>(0.01)</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jc w:val="center"/>
              <w:ind w:left="130"/>
              <w:spacing w:after="0"/>
              <w:rPr>
                <w:sz w:val="20"/>
                <w:szCs w:val="20"/>
                <w:color w:val="auto"/>
              </w:rPr>
            </w:pPr>
            <w:r>
              <w:rPr>
                <w:rFonts w:ascii="Arial" w:cs="Arial" w:eastAsia="Arial" w:hAnsi="Arial"/>
                <w:sz w:val="18"/>
                <w:szCs w:val="18"/>
                <w:color w:val="auto"/>
                <w:w w:val="85"/>
              </w:rPr>
              <w:t>0.01</w:t>
            </w:r>
          </w:p>
        </w:tc>
        <w:tc>
          <w:tcPr>
            <w:tcW w:w="0" w:type="dxa"/>
            <w:vAlign w:val="bottom"/>
          </w:tcPr>
          <w:p>
            <w:pPr>
              <w:spacing w:after="0"/>
              <w:rPr>
                <w:sz w:val="1"/>
                <w:szCs w:val="1"/>
                <w:color w:val="auto"/>
              </w:rPr>
            </w:pPr>
          </w:p>
        </w:tc>
      </w:tr>
      <w:tr>
        <w:trPr>
          <w:trHeight w:val="230"/>
        </w:trPr>
        <w:tc>
          <w:tcPr>
            <w:tcW w:w="29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w w:val="93"/>
              </w:rPr>
              <w:t xml:space="preserve">Tax benefit of stock option exercises </w:t>
            </w:r>
            <w:r>
              <w:rPr>
                <w:rFonts w:ascii="Arial" w:cs="Arial" w:eastAsia="Arial" w:hAnsi="Arial"/>
                <w:sz w:val="23"/>
                <w:szCs w:val="23"/>
                <w:color w:val="auto"/>
                <w:w w:val="93"/>
                <w:vertAlign w:val="superscript"/>
              </w:rPr>
              <w:t>(h)</w:t>
            </w:r>
          </w:p>
        </w:tc>
        <w:tc>
          <w:tcPr>
            <w:tcW w:w="2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5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230"/>
        </w:trPr>
        <w:tc>
          <w:tcPr>
            <w:tcW w:w="2980" w:type="dxa"/>
            <w:vAlign w:val="bottom"/>
            <w:tcBorders>
              <w:bottom w:val="single" w:sz="8" w:color="CCEEFF"/>
            </w:tcBorders>
          </w:tcPr>
          <w:p>
            <w:pPr>
              <w:ind w:left="20"/>
              <w:spacing w:after="0" w:line="230" w:lineRule="exact"/>
              <w:rPr>
                <w:sz w:val="20"/>
                <w:szCs w:val="20"/>
                <w:color w:val="auto"/>
              </w:rPr>
            </w:pPr>
            <w:r>
              <w:rPr>
                <w:rFonts w:ascii="Arial" w:cs="Arial" w:eastAsia="Arial" w:hAnsi="Arial"/>
                <w:sz w:val="18"/>
                <w:szCs w:val="18"/>
                <w:color w:val="auto"/>
              </w:rPr>
              <w:t xml:space="preserve">Tax effect of total adjustments </w:t>
            </w:r>
            <w:r>
              <w:rPr>
                <w:rFonts w:ascii="Arial" w:cs="Arial" w:eastAsia="Arial" w:hAnsi="Arial"/>
                <w:sz w:val="23"/>
                <w:szCs w:val="23"/>
                <w:color w:val="auto"/>
                <w:vertAlign w:val="superscript"/>
              </w:rPr>
              <w:t>(i)</w:t>
            </w:r>
          </w:p>
        </w:tc>
        <w:tc>
          <w:tcPr>
            <w:tcW w:w="280" w:type="dxa"/>
            <w:vAlign w:val="bottom"/>
            <w:tcBorders>
              <w:bottom w:val="single" w:sz="8" w:color="CCEEFF"/>
            </w:tcBorders>
          </w:tcPr>
          <w:p>
            <w:pPr>
              <w:spacing w:after="0"/>
              <w:rPr>
                <w:sz w:val="19"/>
                <w:szCs w:val="19"/>
                <w:color w:val="auto"/>
              </w:rPr>
            </w:pPr>
          </w:p>
        </w:tc>
        <w:tc>
          <w:tcPr>
            <w:tcW w:w="740" w:type="dxa"/>
            <w:vAlign w:val="bottom"/>
            <w:tcBorders>
              <w:bottom w:val="single" w:sz="8" w:color="CCEEFF"/>
            </w:tcBorders>
          </w:tcPr>
          <w:p>
            <w:pPr>
              <w:spacing w:after="0"/>
              <w:rPr>
                <w:sz w:val="19"/>
                <w:szCs w:val="19"/>
                <w:color w:val="auto"/>
              </w:rPr>
            </w:pPr>
          </w:p>
        </w:tc>
        <w:tc>
          <w:tcPr>
            <w:tcW w:w="440" w:type="dxa"/>
            <w:vAlign w:val="bottom"/>
            <w:tcBorders>
              <w:bottom w:val="single" w:sz="8" w:color="CCEEFF"/>
            </w:tcBorders>
          </w:tcPr>
          <w:p>
            <w:pPr>
              <w:spacing w:after="0"/>
              <w:rPr>
                <w:sz w:val="19"/>
                <w:szCs w:val="19"/>
                <w:color w:val="auto"/>
              </w:rPr>
            </w:pPr>
          </w:p>
        </w:tc>
        <w:tc>
          <w:tcPr>
            <w:tcW w:w="54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(0.04)</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(0.05)</w:t>
            </w:r>
          </w:p>
        </w:tc>
        <w:tc>
          <w:tcPr>
            <w:tcW w:w="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(0.05)</w:t>
            </w:r>
          </w:p>
        </w:tc>
        <w:tc>
          <w:tcPr>
            <w:tcW w:w="1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(0.12)</w:t>
            </w:r>
          </w:p>
        </w:tc>
        <w:tc>
          <w:tcPr>
            <w:tcW w:w="0" w:type="dxa"/>
            <w:vAlign w:val="bottom"/>
          </w:tcPr>
          <w:p>
            <w:pPr>
              <w:spacing w:after="0"/>
              <w:rPr>
                <w:sz w:val="1"/>
                <w:szCs w:val="1"/>
                <w:color w:val="auto"/>
              </w:rPr>
            </w:pPr>
          </w:p>
        </w:tc>
      </w:tr>
      <w:tr>
        <w:trPr>
          <w:trHeight w:val="248"/>
        </w:trPr>
        <w:tc>
          <w:tcPr>
            <w:tcW w:w="29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b w:val="1"/>
                <w:bCs w:val="1"/>
                <w:color w:val="auto"/>
              </w:rPr>
              <w:t>Adjusted Diluted EPS</w:t>
            </w: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ind w:right="570"/>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0.48</w:t>
            </w: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0" w:type="dxa"/>
            <w:vAlign w:val="bottom"/>
            <w:tcBorders>
              <w:bottom w:val="single" w:sz="8" w:color="auto"/>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(0.41)</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spacing w:after="0"/>
              <w:rPr>
                <w:sz w:val="21"/>
                <w:szCs w:val="21"/>
                <w:color w:val="auto"/>
              </w:rPr>
            </w:pPr>
          </w:p>
        </w:tc>
        <w:tc>
          <w:tcPr>
            <w:tcW w:w="5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0.97</w:t>
            </w:r>
          </w:p>
        </w:tc>
        <w:tc>
          <w:tcPr>
            <w:tcW w:w="4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220" w:type="dxa"/>
            <w:vAlign w:val="bottom"/>
            <w:tcBorders>
              <w:bottom w:val="single" w:sz="8" w:color="auto"/>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(0.13)</w:t>
            </w:r>
          </w:p>
        </w:tc>
        <w:tc>
          <w:tcPr>
            <w:tcW w:w="0" w:type="dxa"/>
            <w:vAlign w:val="bottom"/>
          </w:tcPr>
          <w:p>
            <w:pPr>
              <w:spacing w:after="0"/>
              <w:rPr>
                <w:sz w:val="1"/>
                <w:szCs w:val="1"/>
                <w:color w:val="auto"/>
              </w:rPr>
            </w:pPr>
          </w:p>
        </w:tc>
      </w:tr>
      <w:tr>
        <w:trPr>
          <w:trHeight w:val="20"/>
        </w:trPr>
        <w:tc>
          <w:tcPr>
            <w:tcW w:w="4440" w:type="dxa"/>
            <w:vAlign w:val="bottom"/>
            <w:tcBorders>
              <w:top w:val="single" w:sz="8" w:color="CCEEFF"/>
              <w:bottom w:val="single" w:sz="8" w:color="CCEEFF"/>
            </w:tcBorders>
            <w:gridSpan w:val="4"/>
            <w:vMerge w:val="restart"/>
          </w:tcPr>
          <w:p>
            <w:pPr>
              <w:ind w:left="20"/>
              <w:spacing w:after="0"/>
              <w:rPr>
                <w:sz w:val="20"/>
                <w:szCs w:val="20"/>
                <w:color w:val="auto"/>
              </w:rPr>
            </w:pPr>
            <w:r>
              <w:rPr>
                <w:rFonts w:ascii="Arial" w:cs="Arial" w:eastAsia="Arial" w:hAnsi="Arial"/>
                <w:sz w:val="18"/>
                <w:szCs w:val="18"/>
                <w:b w:val="1"/>
                <w:bCs w:val="1"/>
                <w:color w:val="auto"/>
              </w:rPr>
              <w:t>Weighted average diluted shares outstanding</w:t>
            </w:r>
          </w:p>
        </w:tc>
        <w:tc>
          <w:tcPr>
            <w:tcW w:w="5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gridSpan w:val="3"/>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4440" w:type="dxa"/>
            <w:vAlign w:val="bottom"/>
            <w:gridSpan w:val="4"/>
            <w:vMerge w:val="continue"/>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96,082</w:t>
            </w:r>
          </w:p>
        </w:tc>
        <w:tc>
          <w:tcPr>
            <w:tcW w:w="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80,325</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96,044</w:t>
            </w:r>
          </w:p>
        </w:tc>
        <w:tc>
          <w:tcPr>
            <w:tcW w:w="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80,226</w:t>
            </w:r>
          </w:p>
        </w:tc>
        <w:tc>
          <w:tcPr>
            <w:tcW w:w="0" w:type="dxa"/>
            <w:vAlign w:val="bottom"/>
          </w:tcPr>
          <w:p>
            <w:pPr>
              <w:spacing w:after="0"/>
              <w:rPr>
                <w:sz w:val="1"/>
                <w:szCs w:val="1"/>
                <w:color w:val="auto"/>
              </w:rPr>
            </w:pPr>
          </w:p>
        </w:tc>
      </w:tr>
      <w:tr>
        <w:trPr>
          <w:trHeight w:val="162"/>
        </w:trPr>
        <w:tc>
          <w:tcPr>
            <w:tcW w:w="5120" w:type="dxa"/>
            <w:vAlign w:val="bottom"/>
            <w:gridSpan w:val="6"/>
          </w:tcPr>
          <w:p>
            <w:pPr>
              <w:ind w:left="20"/>
              <w:spacing w:after="0"/>
              <w:rPr>
                <w:sz w:val="20"/>
                <w:szCs w:val="20"/>
                <w:color w:val="auto"/>
              </w:rPr>
            </w:pPr>
            <w:r>
              <w:rPr>
                <w:rFonts w:ascii="Arial" w:cs="Arial" w:eastAsia="Arial" w:hAnsi="Arial"/>
                <w:sz w:val="14"/>
                <w:szCs w:val="14"/>
                <w:color w:val="auto"/>
                <w:w w:val="99"/>
              </w:rPr>
              <w:t>Note: Some of the totals in the table above do not foot due to rounding differences</w:t>
            </w: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77"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3"/>
          <w:szCs w:val="13"/>
          <w:color w:val="auto"/>
        </w:rPr>
      </w:pPr>
      <w:r>
        <w:rPr>
          <w:rFonts w:ascii="Arial" w:cs="Arial" w:eastAsia="Arial" w:hAnsi="Arial"/>
          <w:sz w:val="13"/>
          <w:szCs w:val="13"/>
          <w:color w:val="auto"/>
        </w:rPr>
        <w:t>Non-cash charges related to stock-based compensation programs, which vary from period to period depending on the timing of awards and performance vesting conditions.</w:t>
      </w:r>
    </w:p>
    <w:p>
      <w:pPr>
        <w:spacing w:after="0" w:line="24" w:lineRule="exact"/>
        <w:rPr>
          <w:rFonts w:ascii="Arial" w:cs="Arial" w:eastAsia="Arial" w:hAnsi="Arial"/>
          <w:sz w:val="13"/>
          <w:szCs w:val="13"/>
          <w:color w:val="auto"/>
        </w:rPr>
      </w:pPr>
    </w:p>
    <w:p>
      <w:pPr>
        <w:ind w:left="640" w:hanging="308"/>
        <w:spacing w:after="0"/>
        <w:tabs>
          <w:tab w:leader="none" w:pos="640" w:val="left"/>
        </w:tabs>
        <w:numPr>
          <w:ilvl w:val="0"/>
          <w:numId w:val="18"/>
        </w:numPr>
        <w:rPr>
          <w:rFonts w:ascii="Arial" w:cs="Arial" w:eastAsia="Arial" w:hAnsi="Arial"/>
          <w:sz w:val="14"/>
          <w:szCs w:val="14"/>
          <w:color w:val="auto"/>
        </w:rPr>
      </w:pPr>
      <w:r>
        <w:rPr>
          <w:rFonts w:ascii="Arial" w:cs="Arial" w:eastAsia="Arial" w:hAnsi="Arial"/>
          <w:sz w:val="14"/>
          <w:szCs w:val="14"/>
          <w:color w:val="auto"/>
        </w:rPr>
        <w:t>Reflects write-off of property, equipment and lease related assets on closed or underperforming stores.</w:t>
      </w:r>
    </w:p>
    <w:p>
      <w:pPr>
        <w:spacing w:after="0" w:line="1" w:lineRule="exact"/>
        <w:rPr>
          <w:rFonts w:ascii="Arial" w:cs="Arial" w:eastAsia="Arial" w:hAnsi="Arial"/>
          <w:sz w:val="14"/>
          <w:szCs w:val="14"/>
          <w:color w:val="auto"/>
        </w:rPr>
      </w:pPr>
    </w:p>
    <w:p>
      <w:pPr>
        <w:ind w:left="660" w:hanging="328"/>
        <w:spacing w:after="0"/>
        <w:tabs>
          <w:tab w:leader="none" w:pos="660" w:val="left"/>
        </w:tabs>
        <w:numPr>
          <w:ilvl w:val="0"/>
          <w:numId w:val="18"/>
        </w:numPr>
        <w:rPr>
          <w:rFonts w:ascii="Arial" w:cs="Arial" w:eastAsia="Arial" w:hAnsi="Arial"/>
          <w:sz w:val="14"/>
          <w:szCs w:val="14"/>
          <w:color w:val="auto"/>
        </w:rPr>
      </w:pPr>
      <w:r>
        <w:rPr>
          <w:rFonts w:ascii="Arial" w:cs="Arial" w:eastAsia="Arial" w:hAnsi="Arial"/>
          <w:sz w:val="14"/>
          <w:szCs w:val="14"/>
          <w:color w:val="auto"/>
        </w:rPr>
        <w:t>Expenses associated with settlement of litigation.</w:t>
      </w:r>
    </w:p>
    <w:p>
      <w:pPr>
        <w:spacing w:after="0" w:line="1" w:lineRule="exact"/>
        <w:rPr>
          <w:rFonts w:ascii="Arial" w:cs="Arial" w:eastAsia="Arial" w:hAnsi="Arial"/>
          <w:sz w:val="14"/>
          <w:szCs w:val="14"/>
          <w:color w:val="auto"/>
        </w:rPr>
      </w:pPr>
    </w:p>
    <w:p>
      <w:pPr>
        <w:ind w:left="660" w:right="660" w:hanging="328"/>
        <w:spacing w:after="0" w:line="241" w:lineRule="auto"/>
        <w:tabs>
          <w:tab w:leader="none" w:pos="652" w:val="left"/>
        </w:tabs>
        <w:numPr>
          <w:ilvl w:val="0"/>
          <w:numId w:val="18"/>
        </w:numPr>
        <w:rPr>
          <w:rFonts w:ascii="Arial" w:cs="Arial" w:eastAsia="Arial" w:hAnsi="Arial"/>
          <w:sz w:val="14"/>
          <w:szCs w:val="14"/>
          <w:color w:val="auto"/>
        </w:rPr>
      </w:pPr>
      <w:r>
        <w:rPr>
          <w:rFonts w:ascii="Arial" w:cs="Arial" w:eastAsia="Arial" w:hAnsi="Arial"/>
          <w:sz w:val="14"/>
          <w:szCs w:val="14"/>
          <w:color w:val="auto"/>
        </w:rPr>
        <w:t>Amortization of the increase in carrying values of finite-lived intangible assets resulting from the application of purchase accounting following the acquisition of the Company by affiliates of KKR &amp; Co. Inc. (the “KKR Acquisition”).</w:t>
      </w:r>
    </w:p>
    <w:p>
      <w:pPr>
        <w:jc w:val="both"/>
        <w:ind w:left="660" w:right="640" w:hanging="328"/>
        <w:spacing w:after="0" w:line="241" w:lineRule="auto"/>
        <w:tabs>
          <w:tab w:leader="none" w:pos="657" w:val="left"/>
        </w:tabs>
        <w:numPr>
          <w:ilvl w:val="0"/>
          <w:numId w:val="18"/>
        </w:numPr>
        <w:rPr>
          <w:rFonts w:ascii="Arial" w:cs="Arial" w:eastAsia="Arial" w:hAnsi="Arial"/>
          <w:sz w:val="14"/>
          <w:szCs w:val="14"/>
          <w:color w:val="auto"/>
        </w:rPr>
      </w:pPr>
      <w:r>
        <w:rPr>
          <w:rFonts w:ascii="Arial" w:cs="Arial" w:eastAsia="Arial" w:hAnsi="Arial"/>
          <w:sz w:val="14"/>
          <w:szCs w:val="14"/>
          <w:color w:val="auto"/>
        </w:rPr>
        <w:t>Amortization of deferred financing costs and other non-cash charges related to our long-term debt. We adjust for amortization of costs related to the 2025 Notes only when adjustment for these costs is not required in the calculation of diluted earnings per share according to U.S. GAAP. Amortization of debt discount and deferred financing costs in aggregate total $1.0 million and $2.5 million for the three months ended July 3, 2021 and June 27, 2020, respectively, and $1.2 million and $2.7 million for the six months ended July 3, 2021 and June 27, 2020, respectively.</w:t>
      </w:r>
    </w:p>
    <w:p>
      <w:pPr>
        <w:spacing w:after="0" w:line="1" w:lineRule="exact"/>
        <w:rPr>
          <w:rFonts w:ascii="Arial" w:cs="Arial" w:eastAsia="Arial" w:hAnsi="Arial"/>
          <w:sz w:val="14"/>
          <w:szCs w:val="14"/>
          <w:color w:val="auto"/>
        </w:rPr>
      </w:pPr>
    </w:p>
    <w:p>
      <w:pPr>
        <w:ind w:left="660" w:right="660" w:hanging="328"/>
        <w:spacing w:after="0" w:line="255" w:lineRule="auto"/>
        <w:tabs>
          <w:tab w:leader="none" w:pos="655" w:val="left"/>
        </w:tabs>
        <w:numPr>
          <w:ilvl w:val="0"/>
          <w:numId w:val="18"/>
        </w:numPr>
        <w:rPr>
          <w:rFonts w:ascii="Arial" w:cs="Arial" w:eastAsia="Arial" w:hAnsi="Arial"/>
          <w:sz w:val="14"/>
          <w:szCs w:val="14"/>
          <w:color w:val="auto"/>
        </w:rPr>
      </w:pPr>
      <w:r>
        <w:rPr>
          <w:rFonts w:ascii="Arial" w:cs="Arial" w:eastAsia="Arial" w:hAnsi="Arial"/>
          <w:sz w:val="14"/>
          <w:szCs w:val="14"/>
          <w:color w:val="auto"/>
        </w:rPr>
        <w:t>Reflects losses (gains) recognized in interest expense on change in fair value of de-designated hedges of $2.4 million and $4.9 million for the three months ended July 3, 2021 and June 27, 2020, respectively, and $0.1 million and $4.9 million for the six months ended July 3, 2021 and June 27, 2020, respectively.</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9" w:name="page40"/>
    <w:bookmarkEnd w:id="3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both"/>
        <w:ind w:left="660" w:right="640" w:hanging="328"/>
        <w:spacing w:after="0" w:line="243" w:lineRule="auto"/>
        <w:tabs>
          <w:tab w:leader="none" w:pos="652" w:val="left"/>
        </w:tabs>
        <w:numPr>
          <w:ilvl w:val="0"/>
          <w:numId w:val="19"/>
        </w:numPr>
        <w:rPr>
          <w:rFonts w:ascii="Arial" w:cs="Arial" w:eastAsia="Arial" w:hAnsi="Arial"/>
          <w:sz w:val="14"/>
          <w:szCs w:val="14"/>
          <w:color w:val="auto"/>
        </w:rPr>
      </w:pPr>
      <w:r>
        <w:rPr>
          <w:rFonts w:ascii="Arial" w:cs="Arial" w:eastAsia="Arial" w:hAnsi="Arial"/>
          <w:sz w:val="14"/>
          <w:szCs w:val="14"/>
          <w:color w:val="auto"/>
        </w:rPr>
        <w:t>Other adjustments include amounts that management believes are not representative of our operating performance (amounts in brackets represent reductions in Adjusted Operating Income, Adjusted Diluted EPS and Adjusted EBITDA), including the amortization impact of adjustments related to the KKR Acquisition, (e.g., fair value of leasehold interests) of $0.1 million for each of the three months ended July 3, 2021 and June 27, 2020, respectively, and $0.2 million for each of the six months ended July 3, 2021 and June 27, 2020, respectively; costs of severance and relocation of $0.7 million and $0.2 million for the three months ended July 3, 2021 and June 27, 2020, respectively, $0.8 million and $0.5 million for the six months ended July 3, 2021 and June 27, 2020, respectively; excess payroll taxes related to stock option exercises of $0.2 million for the three months ended July 3, 2021, and $0.3 million for each of the six months ended July 3, 2021 and June 27, 2020, respectively; incremental costs directly related to adapting the Company’s operations during the COVID-19 pandemic of $0.6 million for the six months ended June 27, 2020; and other expenses and adjustments totaling $0.2 million and $(0.7) million for the three months ended July 3, 2021 and June 27, 2020, respectively, and $0.3 million and $(0.5) million for the six months ended July 3, 2021 and June 27, 2020, respectively.</w:t>
      </w:r>
    </w:p>
    <w:p>
      <w:pPr>
        <w:spacing w:after="0" w:line="2" w:lineRule="exact"/>
        <w:rPr>
          <w:rFonts w:ascii="Arial" w:cs="Arial" w:eastAsia="Arial" w:hAnsi="Arial"/>
          <w:sz w:val="14"/>
          <w:szCs w:val="14"/>
          <w:color w:val="auto"/>
        </w:rPr>
      </w:pPr>
    </w:p>
    <w:p>
      <w:pPr>
        <w:ind w:left="660" w:right="660" w:hanging="328"/>
        <w:spacing w:after="0" w:line="241" w:lineRule="auto"/>
        <w:tabs>
          <w:tab w:leader="none" w:pos="652" w:val="left"/>
        </w:tabs>
        <w:numPr>
          <w:ilvl w:val="0"/>
          <w:numId w:val="19"/>
        </w:numPr>
        <w:rPr>
          <w:rFonts w:ascii="Arial" w:cs="Arial" w:eastAsia="Arial" w:hAnsi="Arial"/>
          <w:sz w:val="14"/>
          <w:szCs w:val="14"/>
          <w:color w:val="auto"/>
        </w:rPr>
      </w:pPr>
      <w:r>
        <w:rPr>
          <w:rFonts w:ascii="Arial" w:cs="Arial" w:eastAsia="Arial" w:hAnsi="Arial"/>
          <w:sz w:val="14"/>
          <w:szCs w:val="14"/>
          <w:color w:val="auto"/>
        </w:rPr>
        <w:t>Tax benefit associated with accounting guidance requiring excess tax benefits related to stock option exercises to be recorded in earnings as discrete items in the reporting period in which they occur.</w:t>
      </w:r>
    </w:p>
    <w:p>
      <w:pPr>
        <w:ind w:left="640" w:hanging="308"/>
        <w:spacing w:after="0"/>
        <w:tabs>
          <w:tab w:leader="none" w:pos="640" w:val="left"/>
        </w:tabs>
        <w:numPr>
          <w:ilvl w:val="0"/>
          <w:numId w:val="19"/>
        </w:numPr>
        <w:rPr>
          <w:rFonts w:ascii="Arial" w:cs="Arial" w:eastAsia="Arial" w:hAnsi="Arial"/>
          <w:sz w:val="14"/>
          <w:szCs w:val="14"/>
          <w:color w:val="auto"/>
        </w:rPr>
      </w:pPr>
      <w:r>
        <w:rPr>
          <w:rFonts w:ascii="Arial" w:cs="Arial" w:eastAsia="Arial" w:hAnsi="Arial"/>
          <w:sz w:val="14"/>
          <w:szCs w:val="14"/>
          <w:color w:val="auto"/>
        </w:rPr>
        <w:t>Represents the income tax effect of the total adjustments at our combined statutory federal and state income tax rates.</w:t>
      </w:r>
    </w:p>
    <w:p>
      <w:pPr>
        <w:spacing w:after="0" w:line="1" w:lineRule="exact"/>
        <w:rPr>
          <w:rFonts w:ascii="Arial" w:cs="Arial" w:eastAsia="Arial" w:hAnsi="Arial"/>
          <w:sz w:val="14"/>
          <w:szCs w:val="14"/>
          <w:color w:val="auto"/>
        </w:rPr>
      </w:pPr>
    </w:p>
    <w:p>
      <w:pPr>
        <w:ind w:left="660" w:right="660" w:hanging="328"/>
        <w:spacing w:after="0" w:line="255" w:lineRule="auto"/>
        <w:tabs>
          <w:tab w:leader="none" w:pos="647" w:val="left"/>
        </w:tabs>
        <w:numPr>
          <w:ilvl w:val="0"/>
          <w:numId w:val="19"/>
        </w:numPr>
        <w:rPr>
          <w:rFonts w:ascii="Arial" w:cs="Arial" w:eastAsia="Arial" w:hAnsi="Arial"/>
          <w:sz w:val="14"/>
          <w:szCs w:val="14"/>
          <w:color w:val="auto"/>
        </w:rPr>
      </w:pPr>
      <w:r>
        <w:rPr>
          <w:rFonts w:ascii="Arial" w:cs="Arial" w:eastAsia="Arial" w:hAnsi="Arial"/>
          <w:sz w:val="14"/>
          <w:szCs w:val="14"/>
          <w:color w:val="auto"/>
        </w:rPr>
        <w:t>Reflects other expenses in (g) above, including the impact of stranded tax effect of $(2.1) million for the six months ended July 3, 2021 associated with our interest rate swaps that matured in 2021.</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Our primary cash needs are for inventory, payroll, store rent, advertising, capital expenditures associated with new stores and updating existing stores, as well as information technology and infrastructure, including our corporate office, distribution centers, and laboratories. When appropriate, the Company may utilize excess liquidity towards debt service requirements, including voluntary debt prepayments, or required interest and principal payments, if any, as well as repurchases of common stock, based on excess cash flows. We continue to prioritize cash conservation and prudent use of cash, while safely conducting normal operations. The most significant components of our operating assets and liabilities are inventories, accounts receivable, prepaid expenses and other assets, accounts payable, deferred and unearned revenue and other payables and accrued expenses. While we have historically exercised prudence in our use of cash, the COVID-19 pandemic has required us to closely monitor various items related to cash flow including, but not limited to, cash receipts, cash disbursements, payment terms and alternative sources of funding. We continue to be focused on these items in addition to other key measures we use to determine how our consolidated business and operating segments are performing. We believe that cash on hand, cash expected to be generated from operations and the availability of borrowings under our revolving credit facility will be sufficient to fund our working capital requirements, liquidity obligations, anticipated capital expenditures, and payments due under our existing debt for at least the next 12 months. Depending on our liquidity levels, conditions in the capital markets and other factors, we may from time to time consider the refinancing or issuance of debt, issuance of equity or other securities, the proceeds of which could provide additional liquidity for our operations, as well as further modifications to our term loan where possible. However, our ability to maintain sufficient liquidity may be affected by numerous factors, many of which are outside our control. We primarily fund our working capital needs using cash provided by operations.</w:t>
      </w:r>
    </w:p>
    <w:p>
      <w:pPr>
        <w:spacing w:after="0" w:line="7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As of July 3, 2021, we had $408.3 million in cash and cash equivalents and $293.6 million of availability under our revolving credit facility, which includes $6.4 million in outstanding letters of credit.</w:t>
      </w:r>
    </w:p>
    <w:p>
      <w:pPr>
        <w:spacing w:after="0" w:line="6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As of July 3, 2021, we have outstanding $402.5 million aggregate principal of the 2025 Notes. The 2025 Notes are senior unsecured obligations, and interest on the 2025 Notes is paid semi-annually. As of July 3, 2021, the 2025 Notes can be converted by holders. Upon conversion of the 2025 Notes we can choose to settle in cash, shares or a combination. Based on the initial conversion rate, the 2025 Notes are convertible into 12.9 million shares of our common stock; however we reserved for the possible issuance of 16.5 million shares, which is the maximum amount that could be issued upon conversion. See Note 11. “Earnings Per Share” for the treatment of earnings per share in relation to the 2025 Notes.</w:t>
      </w:r>
    </w:p>
    <w:p>
      <w:pPr>
        <w:spacing w:after="0" w:line="68"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As of July 3, 2021, we had $200.0 million of term loan outstanding under our credit agreement. We were in compliance with all covenants related to our long-term debt as of July 3, 2021. Our working capital requirements for inventory will increase as we continue to open additional stores.</w:t>
      </w: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0" w:name="page41"/>
    <w:bookmarkEnd w:id="4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cash flows provided by (used for) operating activities, investing activities and financing activities for the periods indicated:</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2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3660" w:type="dxa"/>
            <w:vAlign w:val="bottom"/>
            <w:tcBorders>
              <w:bottom w:val="single" w:sz="8" w:color="auto"/>
            </w:tcBorders>
            <w:gridSpan w:val="4"/>
          </w:tcPr>
          <w:p>
            <w:pPr>
              <w:jc w:val="right"/>
              <w:ind w:right="1230"/>
              <w:spacing w:after="0"/>
              <w:rPr>
                <w:sz w:val="20"/>
                <w:szCs w:val="20"/>
                <w:color w:val="auto"/>
              </w:rPr>
            </w:pPr>
            <w:r>
              <w:rPr>
                <w:rFonts w:ascii="Arial" w:cs="Arial" w:eastAsia="Arial" w:hAnsi="Arial"/>
                <w:sz w:val="18"/>
                <w:szCs w:val="18"/>
                <w:color w:val="auto"/>
              </w:rPr>
              <w:t>Six Months Ended</w:t>
            </w:r>
          </w:p>
        </w:tc>
      </w:tr>
      <w:tr>
        <w:trPr>
          <w:trHeight w:val="223"/>
        </w:trPr>
        <w:tc>
          <w:tcPr>
            <w:tcW w:w="7260" w:type="dxa"/>
            <w:vAlign w:val="bottom"/>
          </w:tcPr>
          <w:p>
            <w:pPr>
              <w:ind w:left="20"/>
              <w:spacing w:after="0"/>
              <w:rPr>
                <w:sz w:val="20"/>
                <w:szCs w:val="20"/>
                <w:color w:val="auto"/>
              </w:rPr>
            </w:pPr>
            <w:r>
              <w:rPr>
                <w:rFonts w:ascii="Arial" w:cs="Arial" w:eastAsia="Arial" w:hAnsi="Arial"/>
                <w:sz w:val="18"/>
                <w:szCs w:val="18"/>
                <w:i w:val="1"/>
                <w:iCs w:val="1"/>
                <w:color w:val="auto"/>
              </w:rPr>
              <w:t>In thousands</w:t>
            </w:r>
          </w:p>
        </w:tc>
        <w:tc>
          <w:tcPr>
            <w:tcW w:w="320" w:type="dxa"/>
            <w:vAlign w:val="bottom"/>
          </w:tcPr>
          <w:p>
            <w:pPr>
              <w:spacing w:after="0"/>
              <w:rPr>
                <w:sz w:val="19"/>
                <w:szCs w:val="19"/>
                <w:color w:val="auto"/>
              </w:rPr>
            </w:pPr>
          </w:p>
        </w:tc>
        <w:tc>
          <w:tcPr>
            <w:tcW w:w="1720" w:type="dxa"/>
            <w:vAlign w:val="bottom"/>
            <w:gridSpan w:val="2"/>
          </w:tcPr>
          <w:p>
            <w:pPr>
              <w:ind w:left="200"/>
              <w:spacing w:after="0"/>
              <w:rPr>
                <w:sz w:val="20"/>
                <w:szCs w:val="20"/>
                <w:color w:val="auto"/>
              </w:rPr>
            </w:pPr>
            <w:r>
              <w:rPr>
                <w:rFonts w:ascii="Arial" w:cs="Arial" w:eastAsia="Arial" w:hAnsi="Arial"/>
                <w:sz w:val="18"/>
                <w:szCs w:val="18"/>
                <w:color w:val="auto"/>
              </w:rPr>
              <w:t>July 3, 2021</w:t>
            </w:r>
          </w:p>
        </w:tc>
        <w:tc>
          <w:tcPr>
            <w:tcW w:w="300" w:type="dxa"/>
            <w:vAlign w:val="bottom"/>
          </w:tcPr>
          <w:p>
            <w:pPr>
              <w:spacing w:after="0"/>
              <w:rPr>
                <w:sz w:val="19"/>
                <w:szCs w:val="19"/>
                <w:color w:val="auto"/>
              </w:rPr>
            </w:pPr>
          </w:p>
        </w:tc>
        <w:tc>
          <w:tcPr>
            <w:tcW w:w="1640" w:type="dxa"/>
            <w:vAlign w:val="bottom"/>
          </w:tcPr>
          <w:p>
            <w:pPr>
              <w:jc w:val="right"/>
              <w:ind w:right="370"/>
              <w:spacing w:after="0"/>
              <w:rPr>
                <w:sz w:val="20"/>
                <w:szCs w:val="20"/>
                <w:color w:val="auto"/>
              </w:rPr>
            </w:pPr>
            <w:r>
              <w:rPr>
                <w:rFonts w:ascii="Arial" w:cs="Arial" w:eastAsia="Arial" w:hAnsi="Arial"/>
                <w:sz w:val="18"/>
                <w:szCs w:val="18"/>
                <w:color w:val="auto"/>
              </w:rPr>
              <w:t>June 27, 2020</w:t>
            </w:r>
          </w:p>
        </w:tc>
      </w:tr>
      <w:tr>
        <w:trPr>
          <w:trHeight w:val="209"/>
        </w:trPr>
        <w:tc>
          <w:tcPr>
            <w:tcW w:w="72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flows provided by (used for):</w:t>
            </w:r>
          </w:p>
        </w:tc>
        <w:tc>
          <w:tcPr>
            <w:tcW w:w="320" w:type="dxa"/>
            <w:vAlign w:val="bottom"/>
            <w:tcBorders>
              <w:top w:val="single" w:sz="8" w:color="auto"/>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640" w:type="dxa"/>
            <w:vAlign w:val="bottom"/>
            <w:tcBorders>
              <w:top w:val="single" w:sz="8" w:color="auto"/>
            </w:tcBorders>
            <w:shd w:val="clear" w:color="auto" w:fill="CCEEFF"/>
          </w:tcPr>
          <w:p>
            <w:pPr>
              <w:spacing w:after="0"/>
              <w:rPr>
                <w:sz w:val="18"/>
                <w:szCs w:val="18"/>
                <w:color w:val="auto"/>
              </w:rPr>
            </w:pPr>
          </w:p>
        </w:tc>
      </w:tr>
      <w:tr>
        <w:trPr>
          <w:trHeight w:val="230"/>
        </w:trPr>
        <w:tc>
          <w:tcPr>
            <w:tcW w:w="7260" w:type="dxa"/>
            <w:vAlign w:val="bottom"/>
          </w:tcPr>
          <w:p>
            <w:pPr>
              <w:ind w:left="140"/>
              <w:spacing w:after="0"/>
              <w:rPr>
                <w:sz w:val="20"/>
                <w:szCs w:val="20"/>
                <w:color w:val="auto"/>
              </w:rPr>
            </w:pPr>
            <w:r>
              <w:rPr>
                <w:rFonts w:ascii="Arial" w:cs="Arial" w:eastAsia="Arial" w:hAnsi="Arial"/>
                <w:sz w:val="18"/>
                <w:szCs w:val="18"/>
                <w:color w:val="auto"/>
              </w:rPr>
              <w:t>Operating activities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189,808</w:t>
            </w:r>
          </w:p>
        </w:tc>
        <w:tc>
          <w:tcPr>
            <w:tcW w:w="12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71,420</w:t>
            </w:r>
          </w:p>
        </w:tc>
      </w:tr>
      <w:tr>
        <w:trPr>
          <w:trHeight w:val="229"/>
        </w:trPr>
        <w:tc>
          <w:tcPr>
            <w:tcW w:w="7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Investing activities</w:t>
            </w:r>
          </w:p>
        </w:tc>
        <w:tc>
          <w:tcPr>
            <w:tcW w:w="3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(38,790)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(25,531)</w:t>
            </w:r>
          </w:p>
        </w:tc>
      </w:tr>
      <w:tr>
        <w:trPr>
          <w:trHeight w:val="229"/>
        </w:trPr>
        <w:tc>
          <w:tcPr>
            <w:tcW w:w="72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Financing activities</w:t>
            </w:r>
          </w:p>
        </w:tc>
        <w:tc>
          <w:tcPr>
            <w:tcW w:w="32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(116,529)</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171,437</w:t>
            </w:r>
          </w:p>
        </w:tc>
      </w:tr>
      <w:tr>
        <w:trPr>
          <w:trHeight w:val="248"/>
        </w:trPr>
        <w:tc>
          <w:tcPr>
            <w:tcW w:w="7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increase in cash, cash equivalents and restricted cash</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34,489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217,326</w:t>
            </w:r>
          </w:p>
        </w:tc>
      </w:tr>
      <w:tr>
        <w:trPr>
          <w:trHeight w:val="20"/>
        </w:trPr>
        <w:tc>
          <w:tcPr>
            <w:tcW w:w="72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Provided by Operating Activities</w:t>
      </w:r>
    </w:p>
    <w:p>
      <w:pPr>
        <w:spacing w:after="0" w:line="11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Cash flows provided by operating activities increased $118.4 million from $71.4 million during the six months ended June 27, 2020 to $189.8 million for the six months ended July 3, 2021. The increase in net cash provided by operating activities consisted of an increase in net income of $115.1 million, due primarily to growth in sales during the six months ended July 3, 2021, and an increase of non-cash expense items of $12.0 million including an increase in deferred income taxes of $28.3 million partially offset by a decrease in asset impairment charges of $12.3 million.</w:t>
      </w:r>
    </w:p>
    <w:p>
      <w:pPr>
        <w:spacing w:after="0" w:line="6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Changes in net working capital and other assets and liabilities used $8.8 million in cash compared to the six months ended June 27, 2020. Working capital was most significantly impacted by changes in accounts receivable, inventories, deferred and unearned revenue, and other liabilities. Decreases in accounts receivable contributed $16.8 million in year-over-year cash, primarily reflective of the $10.8 million receivable recorded as a result of the employee retention credits made available under the CARES Act for US employees during the six months ended June 27, 2020 and year-over-year decreases in credit card receivables during the six months ended July 3, 2021 compared to the same period of 2020. Increases in inventories used $17.0 million in year-over-year cash, primarily due to increased purchases. Decreases in other liabilities during the six months ended July 3, 2021 used $16.3 million in year-over-year cash primarily due to decreases in compensation related accruals primarily due to payment of CARES Act deferred employer payroll taxes, timing of litigation settlements, and decreases in lease concessions and deferrals.</w:t>
      </w:r>
    </w:p>
    <w:p>
      <w:pPr>
        <w:spacing w:after="0" w:line="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Offsetting these items were changes in deferred and unearned revenue, which contributed $10.8 million in year-over-year cash primarily due to a $18.7 million increase in year-over-year cash driven by growth in eye care membership and product protection plan sales, partially offset by year-over-year decreases in unearned revenue during the six months ended July 3, 2021 compared to the same period of 2020.</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Used for Investing Activities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Net cash used for investing activities increased by $13.3 million, to $38.8 million, during the six months ended July 3, 2021 from $25.5 million during the six months ended June 27, 2020. The increase was primarily due to increased new store openings. Approximately 80% of our capital spend is related to our expected growth (i.e., new stores, optometric equipment, additional capacity in our optical laboratories and distribution centers, and our IT infrastructure, including omni-channel platform related investments).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Provided By (Used For) Financing Activities</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Net cash provided by (used for) financing activities decreased $288.0 million, from $171.4 million provision of cash during the six months ended June 27, 2020 to $116.5 million use of cash during the six months ended July 3, 2021. The decrease in cash provided by financing activities was primarily due to the prepayment of our term-loan long-term debt in the current fiscal year compared to borrowings of long-term debt in the prior year. The Company made voluntary term loan prepayments of $117.4 million during the six months ended July 3, 2021 compared to proceeds of $548.8 million from the issuance of the 2025 Notes and borrowings on our revolving credit facility partially offset by principal payments on long-term debt of $369.3 million during the six months ended June 27, 2020.</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Credit Agreement Amendment</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also amended its credit agreement to, among other things, add customary LIBOR replacement provisions, modify the applicable margins used to calculate the rate of interest payable on the first lien term loans thereunder, modify certain financial covenants related to maximum leverage and minimum interest coverage and remove the LIBOR floor, such that LIBOR shall be deemed to be no less than 0.00% per annum (instead of 1.00% per annum previously in effect).</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1" w:name="page42"/>
    <w:bookmarkEnd w:id="4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Capitalized terms used but not defined herein shall have the meanings assigned to such terms in our credit agreement. Pursuant to our credit agreement, the Company will not permit (i) the Consolidated Total Debt to Consolidated EBITDA Ratio to be negative or greater than (x) 4.50 to 1.00 with respect to the last day of the Company’s second and third fiscal quarters of 2021 and (y) 4.25 to 1.00 from and after the last day of the Company’s fourth fiscal quarter of 2021, subject to certain step-ups after the consummation of a Material Acquisition, or (ii) the Consolidated Interest Coverage Ratio of the Company as of the last day of any fiscal quarter of the Company to be less than 3.00 to 1.00. We were in compliance with all covenants related to our long-term debt as of July 3, 2021. Refer to Note 4</w:t>
      </w:r>
      <w:r>
        <w:rPr>
          <w:rFonts w:ascii="Arial" w:cs="Arial" w:eastAsia="Arial" w:hAnsi="Arial"/>
          <w:sz w:val="17"/>
          <w:szCs w:val="17"/>
          <w:i w:val="1"/>
          <w:iCs w:val="1"/>
          <w:color w:val="auto"/>
        </w:rPr>
        <w:t>.</w:t>
      </w:r>
      <w:r>
        <w:rPr>
          <w:rFonts w:ascii="Arial" w:cs="Arial" w:eastAsia="Arial" w:hAnsi="Arial"/>
          <w:sz w:val="17"/>
          <w:szCs w:val="17"/>
          <w:color w:val="auto"/>
        </w:rPr>
        <w:t xml:space="preserve"> “Long-term Debt” for more information.</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follow U.S. GAAP in making the determination as to whether or not to record an asset or liability related to our arrangements with third parties. Consistent with current accounting guidance, we do not record an asset or liability associated with long-term purchase, marketing and promotional commitments, or commitments to philanthropic endeavors. We have disclosed the amount of future commitments associated with these items in the 2020 Annual Report on form 10-K. We are not a party to any other material off-balance sheet arrangements.</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were no material changes outside the ordinary course of business in our contractual obligations and commercial commitments from those reported in the 2020 Annual Report on Form 10-K.</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Management has evaluated the accounting policies used in the preparation of the Company’s unaudited condensed consolidated financial statements and related notes and believes those policies to be reasonable and appropriate. Certain of these accounting policies require the application of significant judgment by management in selecting appropriate assumptions for calculating financial estimates. By their nature, these judgments are subject to an inherent degree of uncertainty. These judgments are based on historical experience, trends in the industry, information provided by customers and information available from other outside sources, as appropriate. The most significant areas involving management judgments and estimates may be found in the 2020 Annual Report on Form 10-K, in the “Critical Accounting Policies and Estimates” section of “Management’s Discussion and Analysis of Financial Condition and Results of Operations.” There have been no material changes to our critical accounting policies as compared to the critical accounting policies described in the 2020 Annual Report on Form 10-K, except for the adoption of ASU 2020-06. These changes are discussed in Note 1</w:t>
      </w:r>
      <w:r>
        <w:rPr>
          <w:rFonts w:ascii="Arial" w:cs="Arial" w:eastAsia="Arial" w:hAnsi="Arial"/>
          <w:sz w:val="18"/>
          <w:szCs w:val="18"/>
          <w:i w:val="1"/>
          <w:iCs w:val="1"/>
          <w:color w:val="auto"/>
        </w:rPr>
        <w:t>.</w:t>
      </w:r>
      <w:r>
        <w:rPr>
          <w:rFonts w:ascii="Arial" w:cs="Arial" w:eastAsia="Arial" w:hAnsi="Arial"/>
          <w:sz w:val="18"/>
          <w:szCs w:val="18"/>
          <w:color w:val="auto"/>
        </w:rPr>
        <w:t xml:space="preserve"> “Description of Business and Basis of Presentation” to our unaudited condensed consolidated financial statements included in Part I. Item 1. of this Form 10-Q.</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Adoption of New Accounting Pronouncements</w:t>
      </w:r>
    </w:p>
    <w:p>
      <w:pPr>
        <w:spacing w:after="0" w:line="121"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The information set forth in Note 1. “Description of Business and Basis of Presentation” to our unaudited condensed consolidated financial statements under Part I. Item 1. under the heading “</w:t>
      </w:r>
      <w:r>
        <w:rPr>
          <w:rFonts w:ascii="Arial" w:cs="Arial" w:eastAsia="Arial" w:hAnsi="Arial"/>
          <w:sz w:val="16"/>
          <w:szCs w:val="16"/>
          <w:i w:val="1"/>
          <w:iCs w:val="1"/>
          <w:color w:val="auto"/>
        </w:rPr>
        <w:t>Adoption of New Accounting Pronouncements</w:t>
      </w:r>
      <w:r>
        <w:rPr>
          <w:rFonts w:ascii="Arial" w:cs="Arial" w:eastAsia="Arial" w:hAnsi="Arial"/>
          <w:sz w:val="16"/>
          <w:szCs w:val="16"/>
          <w:color w:val="auto"/>
        </w:rPr>
        <w:t>” of this Form 10-Q is incorporated herein by reference.</w:t>
      </w: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have market risk exposure from changes in interest rates. When appropriate, we use derivative financial instruments to mitigate the risk from such exposure. A discussion of our accounting policies for derivative financial instruments is included in Note 3. “Fair Value Measurement” and Note 5. “Interest Rate Derivatives” to our unaudited condensed consolidated financial statements included in Part I. Item 1. of this Form 10-Q.</w:t>
      </w:r>
    </w:p>
    <w:p>
      <w:pPr>
        <w:spacing w:after="0" w:line="5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 portion of our debt bears interest at variable rates. If market interest rates increase, the interest rate on our variable rate debt will increase and will create higher debt service requirements, which would adversely affect our cash flow and could adversely impact our results of operations. Our interest rate collar is intended to mitigate some of the effects of increases in interest rates.</w:t>
      </w:r>
    </w:p>
    <w:p>
      <w:pPr>
        <w:spacing w:after="0" w:line="7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of July 3, 2021, $200.0 million of term loan borrowings were subject to variable interest rates, with a weighted average borrowing rate of 2.5%. An increase to market rates of 1.0% as of July 3, 2021 would not result in a material increase to interest expense. Assuming a decrease to market rates of 1.0% as of July 3, 2021, the resulting increase to interest expense related to the interest rate derivative would be approximately $10 million. For more information about quantitative and qualitative disclosures about market risk, please see Item 7A. “Quantitative and Qualitative Disclosures About Market Risk” in Part II. of the 2020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2" w:name="page43"/>
    <w:bookmarkEnd w:id="4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2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maintain disclosure controls and procedures (as that term is defined in Rules 13a-15(e) and 15d-15(e) of the Securities Exchange Act of 1934, as amended (the “Exchange Act”)) that are designed to ensure that information required to be disclosed in our reports under the Exchange Act, is recorded, processed, summarized and reported within the time periods specified in the SEC’s rules and forms, and that such information is accumulated and communicated to our management, including our Chief Executive Officer (“CEO”) and our Chief Financial Officer (“CFO”), as appropriate, to allow timely decisions regarding required disclosures. Any controls and procedures, no matter how well designed and operated, can provide only reasonable assurance of achieving the desired control objectives.</w:t>
      </w:r>
    </w:p>
    <w:p>
      <w:pPr>
        <w:spacing w:after="0" w:line="8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accordance with Rule 13a-15(b) of the Exchange Act, the Company carried out an evaluation, under the supervision and with the participation of its management, including its CEO and CFO, of the effectiveness of the design and operation of the Company's disclosure controls and procedures as of July 3, 2021. Based on that evaluation, the CEO and the CFO have concluded that the Company's current disclosure controls and procedures are effective in ensuring that material information relating to the Company required to be disclosed in the Company's periodic filings with the SEC is made known to them in a timely manner.</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There were no changes in our internal control over financial reporting (as that term is defined in Rules 13a-15(f) and 15d-15(f) of the Exchange Act that occurred during the second quarter of fiscal year 2021 that have materially affected, or are reasonably likely to materially affect, our internal control over financial reporting. We have not experienced any material impact to our internal controls over financial reporting despite the fact that most corporate employees of the Company began working remotely due to the COVID-19 pandemic, though we will continue to assess the impact on the design and operating effectiveness of our internal controls.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3" w:name="page44"/>
    <w:bookmarkEnd w:id="4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ind w:right="600"/>
        <w:spacing w:after="0" w:line="308" w:lineRule="auto"/>
        <w:rPr>
          <w:sz w:val="20"/>
          <w:szCs w:val="20"/>
          <w:color w:val="auto"/>
        </w:rPr>
      </w:pPr>
      <w:r>
        <w:rPr>
          <w:rFonts w:ascii="Arial" w:cs="Arial" w:eastAsia="Arial" w:hAnsi="Arial"/>
          <w:sz w:val="17"/>
          <w:szCs w:val="17"/>
          <w:color w:val="auto"/>
        </w:rPr>
        <w:t>See Note 9. “Commitments and Contingencies” in our condensed consolidated financial statements included in Part I. Item 1. of this Form 10-Q for information regarding certain legal proceedings in which we are involved, which discussion is incorporated herein by reference.</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There have been no material changes to the principal risks that we believe are material to our business, results of operations, and financial condition from those disclosed in Part I. Item 1A. of our Annual Report.</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4" w:name="page45"/>
    <w:bookmarkEnd w:id="44"/>
    <w:tbl>
      <w:tblPr>
        <w:tblLayout w:type="fixed"/>
        <w:tblInd w:w="0" w:type="dxa"/>
        <w:tblCellMar>
          <w:top w:w="0" w:type="dxa"/>
          <w:left w:w="0" w:type="dxa"/>
          <w:bottom w:w="0" w:type="dxa"/>
          <w:right w:w="0" w:type="dxa"/>
        </w:tblCellMar>
      </w:tblPr>
      <w:tr>
        <w:trPr>
          <w:trHeight w:val="207"/>
        </w:trPr>
        <w:tc>
          <w:tcPr>
            <w:tcW w:w="1500" w:type="dxa"/>
            <w:vAlign w:val="bottom"/>
            <w:gridSpan w:val="6"/>
          </w:tcPr>
          <w:p>
            <w:pPr>
              <w:spacing w:after="0"/>
              <w:rPr>
                <w:rFonts w:ascii="Arial" w:cs="Arial" w:eastAsia="Arial" w:hAnsi="Arial"/>
                <w:sz w:val="18"/>
                <w:szCs w:val="18"/>
                <w:color w:val="0000FF"/>
              </w:rPr>
            </w:pPr>
            <w:hyperlink w:anchor="page1">
              <w:r>
                <w:rPr>
                  <w:rFonts w:ascii="Arial" w:cs="Arial" w:eastAsia="Arial" w:hAnsi="Arial"/>
                  <w:sz w:val="18"/>
                  <w:szCs w:val="18"/>
                  <w:color w:val="0000FF"/>
                </w:rPr>
                <w:t>Table of Contents</w:t>
              </w:r>
            </w:hyperlink>
          </w:p>
        </w:tc>
        <w:tc>
          <w:tcPr>
            <w:tcW w:w="36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080" w:type="dxa"/>
            <w:vAlign w:val="bottom"/>
          </w:tcPr>
          <w:p>
            <w:pPr>
              <w:spacing w:after="0"/>
              <w:rPr>
                <w:sz w:val="17"/>
                <w:szCs w:val="17"/>
                <w:color w:val="auto"/>
              </w:rPr>
            </w:pPr>
          </w:p>
        </w:tc>
      </w:tr>
      <w:tr>
        <w:trPr>
          <w:trHeight w:val="938"/>
        </w:trPr>
        <w:tc>
          <w:tcPr>
            <w:tcW w:w="1280" w:type="dxa"/>
            <w:vAlign w:val="bottom"/>
            <w:tcBorders>
              <w:top w:val="single" w:sz="8" w:color="0000FF"/>
            </w:tcBorders>
            <w:gridSpan w:val="4"/>
          </w:tcPr>
          <w:p>
            <w:pPr>
              <w:spacing w:after="0"/>
              <w:rPr>
                <w:sz w:val="20"/>
                <w:szCs w:val="20"/>
                <w:color w:val="auto"/>
              </w:rPr>
            </w:pPr>
            <w:r>
              <w:rPr>
                <w:rFonts w:ascii="Arial" w:cs="Arial" w:eastAsia="Arial" w:hAnsi="Arial"/>
                <w:sz w:val="18"/>
                <w:szCs w:val="18"/>
                <w:b w:val="1"/>
                <w:bCs w:val="1"/>
                <w:color w:val="auto"/>
                <w:w w:val="95"/>
              </w:rPr>
              <w:t>Item 6. Exhibits</w:t>
            </w:r>
          </w:p>
        </w:tc>
        <w:tc>
          <w:tcPr>
            <w:tcW w:w="220" w:type="dxa"/>
            <w:vAlign w:val="bottom"/>
            <w:gridSpan w:val="2"/>
          </w:tcPr>
          <w:p>
            <w:pPr>
              <w:spacing w:after="0"/>
              <w:rPr>
                <w:sz w:val="24"/>
                <w:szCs w:val="24"/>
                <w:color w:val="auto"/>
              </w:rPr>
            </w:pPr>
          </w:p>
        </w:tc>
        <w:tc>
          <w:tcPr>
            <w:tcW w:w="36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080" w:type="dxa"/>
            <w:vAlign w:val="bottom"/>
          </w:tcPr>
          <w:p>
            <w:pPr>
              <w:spacing w:after="0"/>
              <w:rPr>
                <w:sz w:val="24"/>
                <w:szCs w:val="24"/>
                <w:color w:val="auto"/>
              </w:rPr>
            </w:pPr>
          </w:p>
        </w:tc>
      </w:tr>
      <w:tr>
        <w:trPr>
          <w:trHeight w:val="283"/>
        </w:trPr>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740" w:type="dxa"/>
            <w:vAlign w:val="bottom"/>
            <w:gridSpan w:val="3"/>
          </w:tcPr>
          <w:p>
            <w:pPr>
              <w:ind w:left="3600"/>
              <w:spacing w:after="0"/>
              <w:rPr>
                <w:sz w:val="20"/>
                <w:szCs w:val="20"/>
                <w:color w:val="auto"/>
              </w:rPr>
            </w:pPr>
            <w:r>
              <w:rPr>
                <w:rFonts w:ascii="Arial" w:cs="Arial" w:eastAsia="Arial" w:hAnsi="Arial"/>
                <w:sz w:val="18"/>
                <w:szCs w:val="18"/>
                <w:b w:val="1"/>
                <w:bCs w:val="1"/>
                <w:color w:val="auto"/>
              </w:rPr>
              <w:t>Exhibit Index</w:t>
            </w:r>
          </w:p>
        </w:tc>
      </w:tr>
      <w:tr>
        <w:trPr>
          <w:trHeight w:val="385"/>
        </w:trPr>
        <w:tc>
          <w:tcPr>
            <w:tcW w:w="20" w:type="dxa"/>
            <w:vAlign w:val="bottom"/>
          </w:tcPr>
          <w:p>
            <w:pPr>
              <w:spacing w:after="0"/>
              <w:rPr>
                <w:sz w:val="24"/>
                <w:szCs w:val="24"/>
                <w:color w:val="auto"/>
              </w:rPr>
            </w:pPr>
          </w:p>
        </w:tc>
        <w:tc>
          <w:tcPr>
            <w:tcW w:w="1480" w:type="dxa"/>
            <w:vAlign w:val="bottom"/>
            <w:gridSpan w:val="5"/>
          </w:tcPr>
          <w:p>
            <w:pPr>
              <w:spacing w:after="0"/>
              <w:rPr>
                <w:sz w:val="20"/>
                <w:szCs w:val="20"/>
                <w:color w:val="auto"/>
              </w:rPr>
            </w:pPr>
            <w:r>
              <w:rPr>
                <w:rFonts w:ascii="Arial" w:cs="Arial" w:eastAsia="Arial" w:hAnsi="Arial"/>
                <w:sz w:val="18"/>
                <w:szCs w:val="18"/>
                <w:b w:val="1"/>
                <w:bCs w:val="1"/>
                <w:color w:val="auto"/>
              </w:rPr>
              <w:t>Exhibit No.</w:t>
            </w:r>
          </w:p>
        </w:tc>
        <w:tc>
          <w:tcPr>
            <w:tcW w:w="3600" w:type="dxa"/>
            <w:vAlign w:val="bottom"/>
          </w:tcPr>
          <w:p>
            <w:pPr>
              <w:ind w:left="20"/>
              <w:spacing w:after="0"/>
              <w:rPr>
                <w:sz w:val="20"/>
                <w:szCs w:val="20"/>
                <w:color w:val="auto"/>
              </w:rPr>
            </w:pPr>
            <w:r>
              <w:rPr>
                <w:rFonts w:ascii="Arial" w:cs="Arial" w:eastAsia="Arial" w:hAnsi="Arial"/>
                <w:sz w:val="18"/>
                <w:szCs w:val="18"/>
                <w:b w:val="1"/>
                <w:bCs w:val="1"/>
                <w:color w:val="auto"/>
              </w:rPr>
              <w:t>Exhibit Description</w:t>
            </w:r>
          </w:p>
        </w:tc>
        <w:tc>
          <w:tcPr>
            <w:tcW w:w="1060" w:type="dxa"/>
            <w:vAlign w:val="bottom"/>
            <w:tcBorders>
              <w:top w:val="single" w:sz="8" w:color="auto"/>
            </w:tcBorders>
          </w:tcPr>
          <w:p>
            <w:pPr>
              <w:spacing w:after="0"/>
              <w:rPr>
                <w:sz w:val="24"/>
                <w:szCs w:val="24"/>
                <w:color w:val="auto"/>
              </w:rPr>
            </w:pPr>
          </w:p>
        </w:tc>
        <w:tc>
          <w:tcPr>
            <w:tcW w:w="5080" w:type="dxa"/>
            <w:vAlign w:val="bottom"/>
          </w:tcPr>
          <w:p>
            <w:pPr>
              <w:spacing w:after="0"/>
              <w:rPr>
                <w:sz w:val="24"/>
                <w:szCs w:val="24"/>
                <w:color w:val="auto"/>
              </w:rPr>
            </w:pPr>
          </w:p>
        </w:tc>
      </w:tr>
      <w:tr>
        <w:trPr>
          <w:trHeight w:val="183"/>
        </w:trPr>
        <w:tc>
          <w:tcPr>
            <w:tcW w:w="340" w:type="dxa"/>
            <w:vAlign w:val="bottom"/>
            <w:tcBorders>
              <w:top w:val="single" w:sz="8" w:color="auto"/>
            </w:tcBorders>
            <w:gridSpan w:val="3"/>
          </w:tcPr>
          <w:p>
            <w:pPr>
              <w:ind w:left="20"/>
              <w:spacing w:after="0" w:line="182" w:lineRule="exact"/>
              <w:rPr>
                <w:rFonts w:ascii="Arial" w:cs="Arial" w:eastAsia="Arial" w:hAnsi="Arial"/>
                <w:sz w:val="18"/>
                <w:szCs w:val="18"/>
                <w:color w:val="0000FF"/>
              </w:rPr>
            </w:pPr>
            <w:hyperlink r:id="rId70">
              <w:r>
                <w:rPr>
                  <w:rFonts w:ascii="Arial" w:cs="Arial" w:eastAsia="Arial" w:hAnsi="Arial"/>
                  <w:sz w:val="18"/>
                  <w:szCs w:val="18"/>
                  <w:color w:val="0000FF"/>
                </w:rPr>
                <w:t>3.</w:t>
              </w:r>
              <w:r>
                <w:rPr>
                  <w:rFonts w:ascii="Arial" w:cs="Arial" w:eastAsia="Arial" w:hAnsi="Arial"/>
                  <w:sz w:val="18"/>
                  <w:szCs w:val="18"/>
                  <w:u w:val="single" w:color="auto"/>
                  <w:color w:val="0000FF"/>
                </w:rPr>
                <w:t>1</w:t>
              </w:r>
            </w:hyperlink>
          </w:p>
        </w:tc>
        <w:tc>
          <w:tcPr>
            <w:tcW w:w="94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9740" w:type="dxa"/>
            <w:vAlign w:val="bottom"/>
            <w:tcBorders>
              <w:top w:val="single" w:sz="8" w:color="auto"/>
            </w:tcBorders>
            <w:gridSpan w:val="3"/>
          </w:tcPr>
          <w:p>
            <w:pPr>
              <w:ind w:left="20"/>
              <w:spacing w:after="0" w:line="182" w:lineRule="exact"/>
              <w:rPr>
                <w:sz w:val="20"/>
                <w:szCs w:val="20"/>
                <w:color w:val="auto"/>
              </w:rPr>
            </w:pPr>
            <w:r>
              <w:rPr>
                <w:rFonts w:ascii="Arial" w:cs="Arial" w:eastAsia="Arial" w:hAnsi="Arial"/>
                <w:sz w:val="18"/>
                <w:szCs w:val="18"/>
                <w:color w:val="auto"/>
                <w:w w:val="96"/>
              </w:rPr>
              <w:t>Third Amended and Restated Certificate of Incorporation of National Vision Holdings, Inc. -incorporated herein by reference to</w:t>
            </w:r>
          </w:p>
        </w:tc>
      </w:tr>
      <w:tr>
        <w:trPr>
          <w:trHeight w:val="195"/>
        </w:trPr>
        <w:tc>
          <w:tcPr>
            <w:tcW w:w="20" w:type="dxa"/>
            <w:vAlign w:val="bottom"/>
          </w:tcPr>
          <w:p>
            <w:pPr>
              <w:spacing w:after="0"/>
              <w:rPr>
                <w:sz w:val="16"/>
                <w:szCs w:val="16"/>
                <w:color w:val="auto"/>
              </w:rPr>
            </w:pPr>
          </w:p>
        </w:tc>
        <w:tc>
          <w:tcPr>
            <w:tcW w:w="240" w:type="dxa"/>
            <w:vAlign w:val="bottom"/>
            <w:tcBorders>
              <w:top w:val="single" w:sz="8" w:color="0000FF"/>
            </w:tcBorders>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740" w:type="dxa"/>
            <w:vAlign w:val="bottom"/>
            <w:gridSpan w:val="3"/>
          </w:tcPr>
          <w:p>
            <w:pPr>
              <w:ind w:left="20"/>
              <w:spacing w:after="0" w:line="195" w:lineRule="exact"/>
              <w:rPr>
                <w:sz w:val="20"/>
                <w:szCs w:val="20"/>
                <w:color w:val="auto"/>
              </w:rPr>
            </w:pPr>
            <w:r>
              <w:rPr>
                <w:rFonts w:ascii="Arial" w:cs="Arial" w:eastAsia="Arial" w:hAnsi="Arial"/>
                <w:sz w:val="18"/>
                <w:szCs w:val="18"/>
                <w:color w:val="auto"/>
              </w:rPr>
              <w:t>Exhibit 3.1 to the Company’s Current Report on Form 8-K filed on June 10, 2021.</w:t>
            </w:r>
          </w:p>
        </w:tc>
      </w:tr>
      <w:tr>
        <w:trPr>
          <w:trHeight w:val="190"/>
        </w:trPr>
        <w:tc>
          <w:tcPr>
            <w:tcW w:w="340" w:type="dxa"/>
            <w:vAlign w:val="bottom"/>
            <w:gridSpan w:val="3"/>
          </w:tcPr>
          <w:p>
            <w:pPr>
              <w:ind w:left="20"/>
              <w:spacing w:after="0" w:line="190" w:lineRule="exact"/>
              <w:rPr>
                <w:rFonts w:ascii="Arial" w:cs="Arial" w:eastAsia="Arial" w:hAnsi="Arial"/>
                <w:sz w:val="18"/>
                <w:szCs w:val="18"/>
                <w:color w:val="0000FF"/>
              </w:rPr>
            </w:pPr>
            <w:hyperlink r:id="rId71">
              <w:r>
                <w:rPr>
                  <w:rFonts w:ascii="Arial" w:cs="Arial" w:eastAsia="Arial" w:hAnsi="Arial"/>
                  <w:sz w:val="18"/>
                  <w:szCs w:val="18"/>
                  <w:color w:val="0000FF"/>
                </w:rPr>
                <w:t>3.</w:t>
              </w:r>
              <w:r>
                <w:rPr>
                  <w:rFonts w:ascii="Arial" w:cs="Arial" w:eastAsia="Arial" w:hAnsi="Arial"/>
                  <w:sz w:val="18"/>
                  <w:szCs w:val="18"/>
                  <w:u w:val="single" w:color="auto"/>
                  <w:color w:val="0000FF"/>
                </w:rPr>
                <w:t>2</w:t>
              </w:r>
            </w:hyperlink>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740" w:type="dxa"/>
            <w:vAlign w:val="bottom"/>
            <w:gridSpan w:val="3"/>
          </w:tcPr>
          <w:p>
            <w:pPr>
              <w:ind w:left="20"/>
              <w:spacing w:after="0" w:line="190" w:lineRule="exact"/>
              <w:rPr>
                <w:sz w:val="20"/>
                <w:szCs w:val="20"/>
                <w:color w:val="auto"/>
              </w:rPr>
            </w:pPr>
            <w:r>
              <w:rPr>
                <w:rFonts w:ascii="Arial" w:cs="Arial" w:eastAsia="Arial" w:hAnsi="Arial"/>
                <w:sz w:val="18"/>
                <w:szCs w:val="18"/>
                <w:color w:val="auto"/>
                <w:w w:val="98"/>
              </w:rPr>
              <w:t>Third Amended and Restated Bylaws of National Vision Holdings, Inc. -incorporated herein by reference to Exhibit 3.2 to the</w:t>
            </w:r>
          </w:p>
        </w:tc>
      </w:tr>
      <w:tr>
        <w:trPr>
          <w:trHeight w:val="195"/>
        </w:trPr>
        <w:tc>
          <w:tcPr>
            <w:tcW w:w="20" w:type="dxa"/>
            <w:vAlign w:val="bottom"/>
          </w:tcPr>
          <w:p>
            <w:pPr>
              <w:spacing w:after="0"/>
              <w:rPr>
                <w:sz w:val="16"/>
                <w:szCs w:val="16"/>
                <w:color w:val="auto"/>
              </w:rPr>
            </w:pPr>
          </w:p>
        </w:tc>
        <w:tc>
          <w:tcPr>
            <w:tcW w:w="240" w:type="dxa"/>
            <w:vAlign w:val="bottom"/>
            <w:tcBorders>
              <w:top w:val="single" w:sz="8" w:color="0000FF"/>
            </w:tcBorders>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740" w:type="dxa"/>
            <w:vAlign w:val="bottom"/>
            <w:gridSpan w:val="3"/>
          </w:tcPr>
          <w:p>
            <w:pPr>
              <w:ind w:left="20"/>
              <w:spacing w:after="0" w:line="195" w:lineRule="exact"/>
              <w:rPr>
                <w:sz w:val="20"/>
                <w:szCs w:val="20"/>
                <w:color w:val="auto"/>
              </w:rPr>
            </w:pPr>
            <w:r>
              <w:rPr>
                <w:rFonts w:ascii="Arial" w:cs="Arial" w:eastAsia="Arial" w:hAnsi="Arial"/>
                <w:sz w:val="18"/>
                <w:szCs w:val="18"/>
                <w:color w:val="auto"/>
              </w:rPr>
              <w:t>Company’s Current Report on Form 8-K filed on June 10, 2021.</w:t>
            </w:r>
          </w:p>
        </w:tc>
      </w:tr>
      <w:tr>
        <w:trPr>
          <w:trHeight w:val="190"/>
        </w:trPr>
        <w:tc>
          <w:tcPr>
            <w:tcW w:w="340" w:type="dxa"/>
            <w:vAlign w:val="bottom"/>
            <w:gridSpan w:val="3"/>
          </w:tcPr>
          <w:p>
            <w:pPr>
              <w:ind w:left="20"/>
              <w:spacing w:after="0" w:line="190" w:lineRule="exact"/>
              <w:rPr>
                <w:rFonts w:ascii="Arial" w:cs="Arial" w:eastAsia="Arial" w:hAnsi="Arial"/>
                <w:sz w:val="18"/>
                <w:szCs w:val="18"/>
                <w:color w:val="0000FF"/>
                <w:w w:val="85"/>
              </w:rPr>
            </w:pPr>
            <w:hyperlink r:id="rId72">
              <w:r>
                <w:rPr>
                  <w:rFonts w:ascii="Arial" w:cs="Arial" w:eastAsia="Arial" w:hAnsi="Arial"/>
                  <w:sz w:val="18"/>
                  <w:szCs w:val="18"/>
                  <w:color w:val="0000FF"/>
                  <w:w w:val="85"/>
                </w:rPr>
                <w:t>10.</w:t>
              </w:r>
              <w:r>
                <w:rPr>
                  <w:rFonts w:ascii="Arial" w:cs="Arial" w:eastAsia="Arial" w:hAnsi="Arial"/>
                  <w:sz w:val="18"/>
                  <w:szCs w:val="18"/>
                  <w:u w:val="single" w:color="auto"/>
                  <w:color w:val="0000FF"/>
                  <w:w w:val="85"/>
                </w:rPr>
                <w:t>1</w:t>
              </w:r>
            </w:hyperlink>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740" w:type="dxa"/>
            <w:vAlign w:val="bottom"/>
            <w:gridSpan w:val="3"/>
          </w:tcPr>
          <w:p>
            <w:pPr>
              <w:ind w:left="20"/>
              <w:spacing w:after="0" w:line="190" w:lineRule="exact"/>
              <w:rPr>
                <w:sz w:val="20"/>
                <w:szCs w:val="20"/>
                <w:color w:val="auto"/>
              </w:rPr>
            </w:pPr>
            <w:r>
              <w:rPr>
                <w:rFonts w:ascii="Arial" w:cs="Arial" w:eastAsia="Arial" w:hAnsi="Arial"/>
                <w:sz w:val="18"/>
                <w:szCs w:val="18"/>
                <w:color w:val="auto"/>
                <w:w w:val="94"/>
              </w:rPr>
              <w:t>Amendment No. 2, dated June 2, 2021, the Amended and Restated Credit Agreement, dated as of July, 18, 2019, by and among</w:t>
            </w:r>
          </w:p>
        </w:tc>
      </w:tr>
      <w:tr>
        <w:trPr>
          <w:trHeight w:val="142"/>
        </w:trPr>
        <w:tc>
          <w:tcPr>
            <w:tcW w:w="20" w:type="dxa"/>
            <w:vAlign w:val="bottom"/>
          </w:tcPr>
          <w:p>
            <w:pPr>
              <w:spacing w:after="0"/>
              <w:rPr>
                <w:sz w:val="12"/>
                <w:szCs w:val="12"/>
                <w:color w:val="auto"/>
              </w:rPr>
            </w:pPr>
          </w:p>
        </w:tc>
        <w:tc>
          <w:tcPr>
            <w:tcW w:w="24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740" w:type="dxa"/>
            <w:vAlign w:val="bottom"/>
            <w:gridSpan w:val="3"/>
          </w:tcPr>
          <w:p>
            <w:pPr>
              <w:ind w:left="20"/>
              <w:spacing w:after="0" w:line="142" w:lineRule="exact"/>
              <w:rPr>
                <w:sz w:val="20"/>
                <w:szCs w:val="20"/>
                <w:color w:val="auto"/>
              </w:rPr>
            </w:pPr>
            <w:r>
              <w:rPr>
                <w:rFonts w:ascii="Arial" w:cs="Arial" w:eastAsia="Arial" w:hAnsi="Arial"/>
                <w:sz w:val="16"/>
                <w:szCs w:val="16"/>
                <w:color w:val="auto"/>
              </w:rPr>
              <w:t>Nautilus Acquisition Holdings, Inc., National Vision, Inc., certain subsidiaries of National Vision, Inc., as guarantors, Bank of</w:t>
            </w:r>
          </w:p>
        </w:tc>
      </w:tr>
      <w:tr>
        <w:trPr>
          <w:trHeight w:val="175"/>
        </w:trPr>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740" w:type="dxa"/>
            <w:vAlign w:val="bottom"/>
            <w:gridSpan w:val="3"/>
          </w:tcPr>
          <w:p>
            <w:pPr>
              <w:ind w:left="20"/>
              <w:spacing w:after="0" w:line="176" w:lineRule="exact"/>
              <w:rPr>
                <w:sz w:val="20"/>
                <w:szCs w:val="20"/>
                <w:color w:val="auto"/>
              </w:rPr>
            </w:pPr>
            <w:r>
              <w:rPr>
                <w:rFonts w:ascii="Arial" w:cs="Arial" w:eastAsia="Arial" w:hAnsi="Arial"/>
                <w:sz w:val="18"/>
                <w:szCs w:val="18"/>
                <w:color w:val="auto"/>
                <w:w w:val="93"/>
              </w:rPr>
              <w:t>America, N.A., as administrative agent and collateral agent, and the lenders from time to time party thereto -incorporated herein by</w:t>
            </w:r>
          </w:p>
        </w:tc>
      </w:tr>
      <w:tr>
        <w:trPr>
          <w:trHeight w:val="229"/>
        </w:trPr>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740" w:type="dxa"/>
            <w:vAlign w:val="bottom"/>
            <w:gridSpan w:val="3"/>
          </w:tcPr>
          <w:p>
            <w:pPr>
              <w:ind w:left="20"/>
              <w:spacing w:after="0"/>
              <w:rPr>
                <w:sz w:val="20"/>
                <w:szCs w:val="20"/>
                <w:color w:val="auto"/>
              </w:rPr>
            </w:pPr>
            <w:r>
              <w:rPr>
                <w:rFonts w:ascii="Arial" w:cs="Arial" w:eastAsia="Arial" w:hAnsi="Arial"/>
                <w:sz w:val="18"/>
                <w:szCs w:val="18"/>
                <w:color w:val="auto"/>
              </w:rPr>
              <w:t>reference to Exhibit 10.1 to the Company’s Current Report on Form 8-K filed on June 3, 2021.</w:t>
            </w:r>
          </w:p>
        </w:tc>
      </w:tr>
      <w:tr>
        <w:trPr>
          <w:trHeight w:val="190"/>
        </w:trPr>
        <w:tc>
          <w:tcPr>
            <w:tcW w:w="20" w:type="dxa"/>
            <w:vAlign w:val="bottom"/>
          </w:tcPr>
          <w:p>
            <w:pPr>
              <w:spacing w:after="0"/>
              <w:rPr>
                <w:sz w:val="16"/>
                <w:szCs w:val="16"/>
                <w:color w:val="auto"/>
              </w:rPr>
            </w:pPr>
          </w:p>
        </w:tc>
        <w:tc>
          <w:tcPr>
            <w:tcW w:w="320" w:type="dxa"/>
            <w:vAlign w:val="bottom"/>
            <w:tcBorders>
              <w:bottom w:val="single" w:sz="8" w:color="0000FF"/>
            </w:tcBorders>
            <w:gridSpan w:val="2"/>
          </w:tcPr>
          <w:p>
            <w:pPr>
              <w:spacing w:after="0" w:line="190" w:lineRule="exact"/>
              <w:rPr>
                <w:rFonts w:ascii="Arial" w:cs="Arial" w:eastAsia="Arial" w:hAnsi="Arial"/>
                <w:sz w:val="18"/>
                <w:szCs w:val="18"/>
                <w:color w:val="0000FF"/>
                <w:w w:val="85"/>
              </w:rPr>
            </w:pPr>
            <w:hyperlink w:anchor="page47">
              <w:r>
                <w:rPr>
                  <w:rFonts w:ascii="Arial" w:cs="Arial" w:eastAsia="Arial" w:hAnsi="Arial"/>
                  <w:sz w:val="18"/>
                  <w:szCs w:val="18"/>
                  <w:color w:val="0000FF"/>
                  <w:w w:val="85"/>
                </w:rPr>
                <w:t>31.</w:t>
              </w:r>
              <w:r>
                <w:rPr>
                  <w:rFonts w:ascii="Arial" w:cs="Arial" w:eastAsia="Arial" w:hAnsi="Arial"/>
                  <w:sz w:val="18"/>
                  <w:szCs w:val="18"/>
                  <w:u w:val="single" w:color="auto"/>
                  <w:color w:val="0000FF"/>
                  <w:w w:val="85"/>
                </w:rPr>
                <w:t>1</w:t>
              </w:r>
            </w:hyperlink>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740" w:type="dxa"/>
            <w:vAlign w:val="bottom"/>
            <w:gridSpan w:val="3"/>
          </w:tcPr>
          <w:p>
            <w:pPr>
              <w:ind w:left="20"/>
              <w:spacing w:after="0" w:line="190" w:lineRule="exact"/>
              <w:rPr>
                <w:sz w:val="20"/>
                <w:szCs w:val="20"/>
                <w:color w:val="auto"/>
              </w:rPr>
            </w:pPr>
            <w:r>
              <w:rPr>
                <w:rFonts w:ascii="Arial" w:cs="Arial" w:eastAsia="Arial" w:hAnsi="Arial"/>
                <w:sz w:val="18"/>
                <w:szCs w:val="18"/>
                <w:color w:val="auto"/>
                <w:w w:val="95"/>
              </w:rPr>
              <w:t>Certification of Periodic Report by Chief Executive Officer under Section 302 of the Sarbanes-Oxley Act of 2002 (filed herewith).</w:t>
            </w:r>
          </w:p>
        </w:tc>
      </w:tr>
      <w:tr>
        <w:trPr>
          <w:trHeight w:val="210"/>
        </w:trPr>
        <w:tc>
          <w:tcPr>
            <w:tcW w:w="20" w:type="dxa"/>
            <w:vAlign w:val="bottom"/>
          </w:tcPr>
          <w:p>
            <w:pPr>
              <w:spacing w:after="0"/>
              <w:rPr>
                <w:sz w:val="18"/>
                <w:szCs w:val="18"/>
                <w:color w:val="auto"/>
              </w:rPr>
            </w:pPr>
          </w:p>
        </w:tc>
        <w:tc>
          <w:tcPr>
            <w:tcW w:w="320" w:type="dxa"/>
            <w:vAlign w:val="bottom"/>
            <w:tcBorders>
              <w:bottom w:val="single" w:sz="8" w:color="0000FF"/>
            </w:tcBorders>
            <w:gridSpan w:val="2"/>
          </w:tcPr>
          <w:p>
            <w:pPr>
              <w:spacing w:after="0"/>
              <w:rPr>
                <w:rFonts w:ascii="Arial" w:cs="Arial" w:eastAsia="Arial" w:hAnsi="Arial"/>
                <w:sz w:val="18"/>
                <w:szCs w:val="18"/>
                <w:color w:val="0000FF"/>
                <w:w w:val="85"/>
              </w:rPr>
            </w:pPr>
            <w:hyperlink w:anchor="page48">
              <w:r>
                <w:rPr>
                  <w:rFonts w:ascii="Arial" w:cs="Arial" w:eastAsia="Arial" w:hAnsi="Arial"/>
                  <w:sz w:val="18"/>
                  <w:szCs w:val="18"/>
                  <w:color w:val="0000FF"/>
                  <w:w w:val="85"/>
                </w:rPr>
                <w:t>31.</w:t>
              </w:r>
              <w:r>
                <w:rPr>
                  <w:rFonts w:ascii="Arial" w:cs="Arial" w:eastAsia="Arial" w:hAnsi="Arial"/>
                  <w:sz w:val="18"/>
                  <w:szCs w:val="18"/>
                  <w:u w:val="single" w:color="auto"/>
                  <w:color w:val="0000FF"/>
                  <w:w w:val="85"/>
                </w:rPr>
                <w:t>2</w:t>
              </w:r>
            </w:hyperlink>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740" w:type="dxa"/>
            <w:vAlign w:val="bottom"/>
            <w:gridSpan w:val="3"/>
          </w:tcPr>
          <w:p>
            <w:pPr>
              <w:ind w:left="20"/>
              <w:spacing w:after="0"/>
              <w:rPr>
                <w:sz w:val="20"/>
                <w:szCs w:val="20"/>
                <w:color w:val="auto"/>
              </w:rPr>
            </w:pPr>
            <w:r>
              <w:rPr>
                <w:rFonts w:ascii="Arial" w:cs="Arial" w:eastAsia="Arial" w:hAnsi="Arial"/>
                <w:sz w:val="18"/>
                <w:szCs w:val="18"/>
                <w:color w:val="auto"/>
                <w:w w:val="96"/>
              </w:rPr>
              <w:t>Certification of Periodic Report by Chief Financial Officer under Section 302 of the Sarbanes-Oxley Act of 2002 (filed herewith).</w:t>
            </w:r>
          </w:p>
        </w:tc>
      </w:tr>
      <w:tr>
        <w:trPr>
          <w:trHeight w:val="209"/>
        </w:trPr>
        <w:tc>
          <w:tcPr>
            <w:tcW w:w="340" w:type="dxa"/>
            <w:vAlign w:val="bottom"/>
            <w:gridSpan w:val="3"/>
          </w:tcPr>
          <w:p>
            <w:pPr>
              <w:ind w:left="20"/>
              <w:spacing w:after="0"/>
              <w:rPr>
                <w:rFonts w:ascii="Arial" w:cs="Arial" w:eastAsia="Arial" w:hAnsi="Arial"/>
                <w:sz w:val="18"/>
                <w:szCs w:val="18"/>
                <w:color w:val="0000FF"/>
                <w:w w:val="85"/>
              </w:rPr>
            </w:pPr>
            <w:hyperlink w:anchor="page49">
              <w:r>
                <w:rPr>
                  <w:rFonts w:ascii="Arial" w:cs="Arial" w:eastAsia="Arial" w:hAnsi="Arial"/>
                  <w:sz w:val="18"/>
                  <w:szCs w:val="18"/>
                  <w:color w:val="0000FF"/>
                  <w:w w:val="85"/>
                </w:rPr>
                <w:t>32.</w:t>
              </w:r>
              <w:r>
                <w:rPr>
                  <w:rFonts w:ascii="Arial" w:cs="Arial" w:eastAsia="Arial" w:hAnsi="Arial"/>
                  <w:sz w:val="18"/>
                  <w:szCs w:val="18"/>
                  <w:u w:val="single" w:color="auto"/>
                  <w:color w:val="0000FF"/>
                  <w:w w:val="85"/>
                </w:rPr>
                <w:t>1</w:t>
              </w:r>
            </w:hyperlink>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740" w:type="dxa"/>
            <w:vAlign w:val="bottom"/>
            <w:gridSpan w:val="3"/>
          </w:tcPr>
          <w:p>
            <w:pPr>
              <w:ind w:left="20"/>
              <w:spacing w:after="0"/>
              <w:rPr>
                <w:sz w:val="20"/>
                <w:szCs w:val="20"/>
                <w:color w:val="auto"/>
              </w:rPr>
            </w:pPr>
            <w:r>
              <w:rPr>
                <w:rFonts w:ascii="Arial" w:cs="Arial" w:eastAsia="Arial" w:hAnsi="Arial"/>
                <w:sz w:val="18"/>
                <w:szCs w:val="18"/>
                <w:color w:val="auto"/>
                <w:w w:val="94"/>
              </w:rPr>
              <w:t>Certification of Chief Executive Officer Pursuant to 18 U.S.C. Section 1350 as Adopted Pursuant to Section 906 of the Sarbanes-</w:t>
            </w:r>
          </w:p>
        </w:tc>
      </w:tr>
      <w:tr>
        <w:trPr>
          <w:trHeight w:val="195"/>
        </w:trPr>
        <w:tc>
          <w:tcPr>
            <w:tcW w:w="20" w:type="dxa"/>
            <w:vAlign w:val="bottom"/>
          </w:tcPr>
          <w:p>
            <w:pPr>
              <w:spacing w:after="0"/>
              <w:rPr>
                <w:sz w:val="16"/>
                <w:szCs w:val="16"/>
                <w:color w:val="auto"/>
              </w:rPr>
            </w:pPr>
          </w:p>
        </w:tc>
        <w:tc>
          <w:tcPr>
            <w:tcW w:w="240" w:type="dxa"/>
            <w:vAlign w:val="bottom"/>
            <w:tcBorders>
              <w:top w:val="single" w:sz="8" w:color="0000FF"/>
            </w:tcBorders>
          </w:tcPr>
          <w:p>
            <w:pPr>
              <w:spacing w:after="0"/>
              <w:rPr>
                <w:sz w:val="16"/>
                <w:szCs w:val="16"/>
                <w:color w:val="auto"/>
              </w:rPr>
            </w:pPr>
          </w:p>
        </w:tc>
        <w:tc>
          <w:tcPr>
            <w:tcW w:w="80" w:type="dxa"/>
            <w:vAlign w:val="bottom"/>
            <w:tcBorders>
              <w:top w:val="single" w:sz="8" w:color="0000FF"/>
            </w:tcBorders>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740" w:type="dxa"/>
            <w:vAlign w:val="bottom"/>
            <w:gridSpan w:val="3"/>
          </w:tcPr>
          <w:p>
            <w:pPr>
              <w:ind w:left="20"/>
              <w:spacing w:after="0" w:line="195" w:lineRule="exact"/>
              <w:rPr>
                <w:sz w:val="20"/>
                <w:szCs w:val="20"/>
                <w:color w:val="auto"/>
              </w:rPr>
            </w:pPr>
            <w:r>
              <w:rPr>
                <w:rFonts w:ascii="Arial" w:cs="Arial" w:eastAsia="Arial" w:hAnsi="Arial"/>
                <w:sz w:val="18"/>
                <w:szCs w:val="18"/>
                <w:color w:val="auto"/>
              </w:rPr>
              <w:t>Oxley Act of 2002 (furnished herewith).</w:t>
            </w:r>
          </w:p>
        </w:tc>
      </w:tr>
      <w:tr>
        <w:trPr>
          <w:trHeight w:val="190"/>
        </w:trPr>
        <w:tc>
          <w:tcPr>
            <w:tcW w:w="340" w:type="dxa"/>
            <w:vAlign w:val="bottom"/>
            <w:gridSpan w:val="3"/>
          </w:tcPr>
          <w:p>
            <w:pPr>
              <w:ind w:left="20"/>
              <w:spacing w:after="0" w:line="190" w:lineRule="exact"/>
              <w:rPr>
                <w:rFonts w:ascii="Arial" w:cs="Arial" w:eastAsia="Arial" w:hAnsi="Arial"/>
                <w:sz w:val="18"/>
                <w:szCs w:val="18"/>
                <w:color w:val="0000FF"/>
                <w:w w:val="85"/>
              </w:rPr>
            </w:pPr>
            <w:hyperlink w:anchor="page50">
              <w:r>
                <w:rPr>
                  <w:rFonts w:ascii="Arial" w:cs="Arial" w:eastAsia="Arial" w:hAnsi="Arial"/>
                  <w:sz w:val="18"/>
                  <w:szCs w:val="18"/>
                  <w:color w:val="0000FF"/>
                  <w:w w:val="85"/>
                </w:rPr>
                <w:t>32.</w:t>
              </w:r>
              <w:r>
                <w:rPr>
                  <w:rFonts w:ascii="Arial" w:cs="Arial" w:eastAsia="Arial" w:hAnsi="Arial"/>
                  <w:sz w:val="18"/>
                  <w:szCs w:val="18"/>
                  <w:u w:val="single" w:color="auto"/>
                  <w:color w:val="0000FF"/>
                  <w:w w:val="85"/>
                </w:rPr>
                <w:t>2</w:t>
              </w:r>
            </w:hyperlink>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740" w:type="dxa"/>
            <w:vAlign w:val="bottom"/>
            <w:gridSpan w:val="3"/>
          </w:tcPr>
          <w:p>
            <w:pPr>
              <w:ind w:left="20"/>
              <w:spacing w:after="0" w:line="190" w:lineRule="exact"/>
              <w:rPr>
                <w:sz w:val="20"/>
                <w:szCs w:val="20"/>
                <w:color w:val="auto"/>
              </w:rPr>
            </w:pPr>
            <w:r>
              <w:rPr>
                <w:rFonts w:ascii="Arial" w:cs="Arial" w:eastAsia="Arial" w:hAnsi="Arial"/>
                <w:sz w:val="18"/>
                <w:szCs w:val="18"/>
                <w:color w:val="auto"/>
                <w:w w:val="91"/>
              </w:rPr>
              <w:t>Certification of Chief Financial Officer Pursuant to 18 U.S.C. Section 1350 as Adopted Pursuant to Section 906 of the Sarbanes-Oxley</w:t>
            </w:r>
          </w:p>
        </w:tc>
      </w:tr>
      <w:tr>
        <w:trPr>
          <w:trHeight w:val="195"/>
        </w:trPr>
        <w:tc>
          <w:tcPr>
            <w:tcW w:w="20" w:type="dxa"/>
            <w:vAlign w:val="bottom"/>
          </w:tcPr>
          <w:p>
            <w:pPr>
              <w:spacing w:after="0"/>
              <w:rPr>
                <w:sz w:val="16"/>
                <w:szCs w:val="16"/>
                <w:color w:val="auto"/>
              </w:rPr>
            </w:pPr>
          </w:p>
        </w:tc>
        <w:tc>
          <w:tcPr>
            <w:tcW w:w="240" w:type="dxa"/>
            <w:vAlign w:val="bottom"/>
            <w:tcBorders>
              <w:top w:val="single" w:sz="8" w:color="0000FF"/>
            </w:tcBorders>
          </w:tcPr>
          <w:p>
            <w:pPr>
              <w:spacing w:after="0"/>
              <w:rPr>
                <w:sz w:val="16"/>
                <w:szCs w:val="16"/>
                <w:color w:val="auto"/>
              </w:rPr>
            </w:pPr>
          </w:p>
        </w:tc>
        <w:tc>
          <w:tcPr>
            <w:tcW w:w="80" w:type="dxa"/>
            <w:vAlign w:val="bottom"/>
            <w:tcBorders>
              <w:top w:val="single" w:sz="8" w:color="0000FF"/>
            </w:tcBorders>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740" w:type="dxa"/>
            <w:vAlign w:val="bottom"/>
            <w:gridSpan w:val="3"/>
          </w:tcPr>
          <w:p>
            <w:pPr>
              <w:ind w:left="20"/>
              <w:spacing w:after="0" w:line="195" w:lineRule="exact"/>
              <w:rPr>
                <w:sz w:val="20"/>
                <w:szCs w:val="20"/>
                <w:color w:val="auto"/>
              </w:rPr>
            </w:pPr>
            <w:r>
              <w:rPr>
                <w:rFonts w:ascii="Arial" w:cs="Arial" w:eastAsia="Arial" w:hAnsi="Arial"/>
                <w:sz w:val="18"/>
                <w:szCs w:val="18"/>
                <w:color w:val="auto"/>
              </w:rPr>
              <w:t>Act of 2002 (furnished herewith).</w:t>
            </w:r>
          </w:p>
        </w:tc>
      </w:tr>
      <w:tr>
        <w:trPr>
          <w:trHeight w:val="176"/>
        </w:trPr>
        <w:tc>
          <w:tcPr>
            <w:tcW w:w="20" w:type="dxa"/>
            <w:vAlign w:val="bottom"/>
          </w:tcPr>
          <w:p>
            <w:pPr>
              <w:spacing w:after="0"/>
              <w:rPr>
                <w:sz w:val="15"/>
                <w:szCs w:val="15"/>
                <w:color w:val="auto"/>
              </w:rPr>
            </w:pPr>
          </w:p>
        </w:tc>
        <w:tc>
          <w:tcPr>
            <w:tcW w:w="1480" w:type="dxa"/>
            <w:vAlign w:val="bottom"/>
            <w:gridSpan w:val="5"/>
          </w:tcPr>
          <w:p>
            <w:pPr>
              <w:spacing w:after="0" w:line="176" w:lineRule="exact"/>
              <w:rPr>
                <w:sz w:val="20"/>
                <w:szCs w:val="20"/>
                <w:color w:val="auto"/>
              </w:rPr>
            </w:pPr>
            <w:r>
              <w:rPr>
                <w:rFonts w:ascii="Arial" w:cs="Arial" w:eastAsia="Arial" w:hAnsi="Arial"/>
                <w:sz w:val="18"/>
                <w:szCs w:val="18"/>
                <w:color w:val="auto"/>
              </w:rPr>
              <w:t>101.INS</w:t>
            </w:r>
          </w:p>
        </w:tc>
        <w:tc>
          <w:tcPr>
            <w:tcW w:w="9740" w:type="dxa"/>
            <w:vAlign w:val="bottom"/>
            <w:gridSpan w:val="3"/>
          </w:tcPr>
          <w:p>
            <w:pPr>
              <w:ind w:left="20"/>
              <w:spacing w:after="0" w:line="176" w:lineRule="exact"/>
              <w:rPr>
                <w:sz w:val="20"/>
                <w:szCs w:val="20"/>
                <w:color w:val="auto"/>
              </w:rPr>
            </w:pPr>
            <w:r>
              <w:rPr>
                <w:rFonts w:ascii="Arial" w:cs="Arial" w:eastAsia="Arial" w:hAnsi="Arial"/>
                <w:sz w:val="18"/>
                <w:szCs w:val="18"/>
                <w:color w:val="auto"/>
                <w:w w:val="95"/>
              </w:rPr>
              <w:t>Inline XBRL Instance Document - the instance document does not appear in the Interactive Data File because its XBRL tags are</w:t>
            </w:r>
          </w:p>
        </w:tc>
      </w:tr>
      <w:tr>
        <w:trPr>
          <w:trHeight w:val="229"/>
        </w:trPr>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740" w:type="dxa"/>
            <w:vAlign w:val="bottom"/>
            <w:gridSpan w:val="3"/>
          </w:tcPr>
          <w:p>
            <w:pPr>
              <w:ind w:left="20"/>
              <w:spacing w:after="0"/>
              <w:rPr>
                <w:sz w:val="20"/>
                <w:szCs w:val="20"/>
                <w:color w:val="auto"/>
              </w:rPr>
            </w:pPr>
            <w:r>
              <w:rPr>
                <w:rFonts w:ascii="Arial" w:cs="Arial" w:eastAsia="Arial" w:hAnsi="Arial"/>
                <w:sz w:val="18"/>
                <w:szCs w:val="18"/>
                <w:color w:val="auto"/>
              </w:rPr>
              <w:t>embedded within Inline XBRL document</w:t>
            </w:r>
          </w:p>
        </w:tc>
      </w:tr>
      <w:tr>
        <w:trPr>
          <w:trHeight w:val="230"/>
        </w:trPr>
        <w:tc>
          <w:tcPr>
            <w:tcW w:w="20" w:type="dxa"/>
            <w:vAlign w:val="bottom"/>
          </w:tcPr>
          <w:p>
            <w:pPr>
              <w:spacing w:after="0"/>
              <w:rPr>
                <w:sz w:val="19"/>
                <w:szCs w:val="19"/>
                <w:color w:val="auto"/>
              </w:rPr>
            </w:pPr>
          </w:p>
        </w:tc>
        <w:tc>
          <w:tcPr>
            <w:tcW w:w="1480" w:type="dxa"/>
            <w:vAlign w:val="bottom"/>
            <w:gridSpan w:val="5"/>
          </w:tcPr>
          <w:p>
            <w:pPr>
              <w:spacing w:after="0"/>
              <w:rPr>
                <w:sz w:val="20"/>
                <w:szCs w:val="20"/>
                <w:color w:val="auto"/>
              </w:rPr>
            </w:pPr>
            <w:r>
              <w:rPr>
                <w:rFonts w:ascii="Arial" w:cs="Arial" w:eastAsia="Arial" w:hAnsi="Arial"/>
                <w:sz w:val="18"/>
                <w:szCs w:val="18"/>
                <w:color w:val="auto"/>
              </w:rPr>
              <w:t>101.SCH</w:t>
            </w:r>
          </w:p>
        </w:tc>
        <w:tc>
          <w:tcPr>
            <w:tcW w:w="9740" w:type="dxa"/>
            <w:vAlign w:val="bottom"/>
            <w:gridSpan w:val="3"/>
          </w:tcPr>
          <w:p>
            <w:pPr>
              <w:ind w:left="20"/>
              <w:spacing w:after="0"/>
              <w:rPr>
                <w:sz w:val="20"/>
                <w:szCs w:val="20"/>
                <w:color w:val="auto"/>
              </w:rPr>
            </w:pPr>
            <w:r>
              <w:rPr>
                <w:rFonts w:ascii="Arial" w:cs="Arial" w:eastAsia="Arial" w:hAnsi="Arial"/>
                <w:sz w:val="18"/>
                <w:szCs w:val="18"/>
                <w:color w:val="auto"/>
              </w:rPr>
              <w:t>Inline XBRL Taxonomy Extension Schema Document.</w:t>
            </w:r>
          </w:p>
        </w:tc>
      </w:tr>
      <w:tr>
        <w:trPr>
          <w:trHeight w:val="229"/>
        </w:trPr>
        <w:tc>
          <w:tcPr>
            <w:tcW w:w="20" w:type="dxa"/>
            <w:vAlign w:val="bottom"/>
          </w:tcPr>
          <w:p>
            <w:pPr>
              <w:spacing w:after="0"/>
              <w:rPr>
                <w:sz w:val="19"/>
                <w:szCs w:val="19"/>
                <w:color w:val="auto"/>
              </w:rPr>
            </w:pPr>
          </w:p>
        </w:tc>
        <w:tc>
          <w:tcPr>
            <w:tcW w:w="1480" w:type="dxa"/>
            <w:vAlign w:val="bottom"/>
            <w:gridSpan w:val="5"/>
          </w:tcPr>
          <w:p>
            <w:pPr>
              <w:spacing w:after="0"/>
              <w:rPr>
                <w:sz w:val="20"/>
                <w:szCs w:val="20"/>
                <w:color w:val="auto"/>
              </w:rPr>
            </w:pPr>
            <w:r>
              <w:rPr>
                <w:rFonts w:ascii="Arial" w:cs="Arial" w:eastAsia="Arial" w:hAnsi="Arial"/>
                <w:sz w:val="18"/>
                <w:szCs w:val="18"/>
                <w:color w:val="auto"/>
              </w:rPr>
              <w:t>101.CAL</w:t>
            </w:r>
          </w:p>
        </w:tc>
        <w:tc>
          <w:tcPr>
            <w:tcW w:w="9740" w:type="dxa"/>
            <w:vAlign w:val="bottom"/>
            <w:gridSpan w:val="3"/>
          </w:tcPr>
          <w:p>
            <w:pPr>
              <w:ind w:left="20"/>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230"/>
        </w:trPr>
        <w:tc>
          <w:tcPr>
            <w:tcW w:w="20" w:type="dxa"/>
            <w:vAlign w:val="bottom"/>
          </w:tcPr>
          <w:p>
            <w:pPr>
              <w:spacing w:after="0"/>
              <w:rPr>
                <w:sz w:val="19"/>
                <w:szCs w:val="19"/>
                <w:color w:val="auto"/>
              </w:rPr>
            </w:pPr>
          </w:p>
        </w:tc>
        <w:tc>
          <w:tcPr>
            <w:tcW w:w="1480" w:type="dxa"/>
            <w:vAlign w:val="bottom"/>
            <w:gridSpan w:val="5"/>
          </w:tcPr>
          <w:p>
            <w:pPr>
              <w:spacing w:after="0"/>
              <w:rPr>
                <w:sz w:val="20"/>
                <w:szCs w:val="20"/>
                <w:color w:val="auto"/>
              </w:rPr>
            </w:pPr>
            <w:r>
              <w:rPr>
                <w:rFonts w:ascii="Arial" w:cs="Arial" w:eastAsia="Arial" w:hAnsi="Arial"/>
                <w:sz w:val="18"/>
                <w:szCs w:val="18"/>
                <w:color w:val="auto"/>
              </w:rPr>
              <w:t>101.DEF</w:t>
            </w:r>
          </w:p>
        </w:tc>
        <w:tc>
          <w:tcPr>
            <w:tcW w:w="9740" w:type="dxa"/>
            <w:vAlign w:val="bottom"/>
            <w:gridSpan w:val="3"/>
          </w:tcPr>
          <w:p>
            <w:pPr>
              <w:ind w:left="20"/>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229"/>
        </w:trPr>
        <w:tc>
          <w:tcPr>
            <w:tcW w:w="20" w:type="dxa"/>
            <w:vAlign w:val="bottom"/>
          </w:tcPr>
          <w:p>
            <w:pPr>
              <w:spacing w:after="0"/>
              <w:rPr>
                <w:sz w:val="19"/>
                <w:szCs w:val="19"/>
                <w:color w:val="auto"/>
              </w:rPr>
            </w:pPr>
          </w:p>
        </w:tc>
        <w:tc>
          <w:tcPr>
            <w:tcW w:w="1480" w:type="dxa"/>
            <w:vAlign w:val="bottom"/>
            <w:gridSpan w:val="5"/>
          </w:tcPr>
          <w:p>
            <w:pPr>
              <w:spacing w:after="0"/>
              <w:rPr>
                <w:sz w:val="20"/>
                <w:szCs w:val="20"/>
                <w:color w:val="auto"/>
              </w:rPr>
            </w:pPr>
            <w:r>
              <w:rPr>
                <w:rFonts w:ascii="Arial" w:cs="Arial" w:eastAsia="Arial" w:hAnsi="Arial"/>
                <w:sz w:val="18"/>
                <w:szCs w:val="18"/>
                <w:color w:val="auto"/>
              </w:rPr>
              <w:t>101.LAB</w:t>
            </w:r>
          </w:p>
        </w:tc>
        <w:tc>
          <w:tcPr>
            <w:tcW w:w="9740" w:type="dxa"/>
            <w:vAlign w:val="bottom"/>
            <w:gridSpan w:val="3"/>
          </w:tcPr>
          <w:p>
            <w:pPr>
              <w:ind w:left="20"/>
              <w:spacing w:after="0"/>
              <w:rPr>
                <w:sz w:val="20"/>
                <w:szCs w:val="20"/>
                <w:color w:val="auto"/>
              </w:rPr>
            </w:pPr>
            <w:r>
              <w:rPr>
                <w:rFonts w:ascii="Arial" w:cs="Arial" w:eastAsia="Arial" w:hAnsi="Arial"/>
                <w:sz w:val="18"/>
                <w:szCs w:val="18"/>
                <w:color w:val="auto"/>
              </w:rPr>
              <w:t>Inline XBRL Taxonomy Extension Label Linkbase Document.</w:t>
            </w:r>
          </w:p>
        </w:tc>
      </w:tr>
      <w:tr>
        <w:trPr>
          <w:trHeight w:val="230"/>
        </w:trPr>
        <w:tc>
          <w:tcPr>
            <w:tcW w:w="20" w:type="dxa"/>
            <w:vAlign w:val="bottom"/>
          </w:tcPr>
          <w:p>
            <w:pPr>
              <w:spacing w:after="0"/>
              <w:rPr>
                <w:sz w:val="20"/>
                <w:szCs w:val="20"/>
                <w:color w:val="auto"/>
              </w:rPr>
            </w:pPr>
          </w:p>
        </w:tc>
        <w:tc>
          <w:tcPr>
            <w:tcW w:w="1480" w:type="dxa"/>
            <w:vAlign w:val="bottom"/>
            <w:gridSpan w:val="5"/>
          </w:tcPr>
          <w:p>
            <w:pPr>
              <w:spacing w:after="0"/>
              <w:rPr>
                <w:sz w:val="20"/>
                <w:szCs w:val="20"/>
                <w:color w:val="auto"/>
              </w:rPr>
            </w:pPr>
            <w:r>
              <w:rPr>
                <w:rFonts w:ascii="Arial" w:cs="Arial" w:eastAsia="Arial" w:hAnsi="Arial"/>
                <w:sz w:val="18"/>
                <w:szCs w:val="18"/>
                <w:color w:val="auto"/>
              </w:rPr>
              <w:t>101.PRE</w:t>
            </w:r>
          </w:p>
        </w:tc>
        <w:tc>
          <w:tcPr>
            <w:tcW w:w="9740" w:type="dxa"/>
            <w:vAlign w:val="bottom"/>
            <w:gridSpan w:val="3"/>
          </w:tcPr>
          <w:p>
            <w:pPr>
              <w:ind w:left="20"/>
              <w:spacing w:after="0"/>
              <w:rPr>
                <w:sz w:val="20"/>
                <w:szCs w:val="20"/>
                <w:color w:val="auto"/>
              </w:rPr>
            </w:pPr>
            <w:r>
              <w:rPr>
                <w:rFonts w:ascii="Arial" w:cs="Arial" w:eastAsia="Arial" w:hAnsi="Arial"/>
                <w:sz w:val="18"/>
                <w:szCs w:val="18"/>
                <w:color w:val="auto"/>
              </w:rPr>
              <w:t>Inline XBRL Taxonomy Extension Presentation Linkbase Document.</w:t>
            </w:r>
          </w:p>
        </w:tc>
      </w:tr>
    </w:tbl>
    <w:p>
      <w:pPr>
        <w:ind w:left="1520" w:right="20" w:hanging="1494"/>
        <w:spacing w:after="0" w:line="234" w:lineRule="auto"/>
        <w:tabs>
          <w:tab w:leader="none" w:pos="15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cover page of the Company’s Quarterly report on Form 10-Q for the quarter ended July 3, 2021, formatted in Inline XBRL (included within the Exhibit 101 attachments)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5" w:name="page46"/>
    <w:bookmarkEnd w:id="4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03"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National Vision Holdings, Inc.</w:t>
      </w:r>
    </w:p>
    <w:p>
      <w:pPr>
        <w:spacing w:after="0" w:line="252" w:lineRule="exact"/>
        <w:rPr>
          <w:sz w:val="20"/>
          <w:szCs w:val="20"/>
          <w:color w:val="auto"/>
        </w:rPr>
      </w:pPr>
    </w:p>
    <w:p>
      <w:pPr>
        <w:ind w:left="20"/>
        <w:spacing w:after="0"/>
        <w:tabs>
          <w:tab w:leader="none" w:pos="5520" w:val="left"/>
          <w:tab w:leader="none" w:pos="6020" w:val="left"/>
        </w:tabs>
        <w:rPr>
          <w:sz w:val="20"/>
          <w:szCs w:val="20"/>
          <w:color w:val="auto"/>
        </w:rPr>
      </w:pPr>
      <w:r>
        <w:rPr>
          <w:rFonts w:ascii="Arial" w:cs="Arial" w:eastAsia="Arial" w:hAnsi="Arial"/>
          <w:sz w:val="18"/>
          <w:szCs w:val="18"/>
          <w:color w:val="auto"/>
        </w:rPr>
        <w:t>Dated: August 12,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L. Reade Fahs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14605</wp:posOffset>
            </wp:positionV>
            <wp:extent cx="330898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4">
                      <a:extLst>
                        <a:ext uri="{28A0092B-C50C-407E-A947-70E740481C1C}"/>
                      </a:extLst>
                    </a:blip>
                    <a:srcRect/>
                    <a:stretch>
                      <a:fillRect/>
                    </a:stretch>
                  </pic:blipFill>
                  <pic:spPr bwMode="auto">
                    <a:xfrm>
                      <a:off x="0" y="0"/>
                      <a:ext cx="3308985" cy="8890"/>
                    </a:xfrm>
                    <a:prstGeom prst="rect">
                      <a:avLst/>
                    </a:prstGeom>
                    <a:noFill/>
                  </pic:spPr>
                </pic:pic>
              </a:graphicData>
            </a:graphic>
          </wp:anchor>
        </w:drawing>
      </w:r>
    </w:p>
    <w:p>
      <w:pPr>
        <w:spacing w:after="0" w:line="12" w:lineRule="exact"/>
        <w:rPr>
          <w:sz w:val="20"/>
          <w:szCs w:val="20"/>
          <w:color w:val="auto"/>
        </w:rPr>
      </w:pPr>
    </w:p>
    <w:p>
      <w:pPr>
        <w:ind w:left="6040"/>
        <w:spacing w:after="0"/>
        <w:rPr>
          <w:sz w:val="20"/>
          <w:szCs w:val="20"/>
          <w:color w:val="auto"/>
        </w:rPr>
      </w:pPr>
      <w:r>
        <w:rPr>
          <w:rFonts w:ascii="Arial" w:cs="Arial" w:eastAsia="Arial" w:hAnsi="Arial"/>
          <w:sz w:val="18"/>
          <w:szCs w:val="18"/>
          <w:b w:val="1"/>
          <w:bCs w:val="1"/>
          <w:color w:val="auto"/>
        </w:rPr>
        <w:t>Chief Executive Officer and Director</w:t>
      </w:r>
    </w:p>
    <w:p>
      <w:pPr>
        <w:spacing w:after="0" w:line="27" w:lineRule="exact"/>
        <w:rPr>
          <w:sz w:val="20"/>
          <w:szCs w:val="20"/>
          <w:color w:val="auto"/>
        </w:rPr>
      </w:pPr>
    </w:p>
    <w:p>
      <w:pPr>
        <w:ind w:left="6040"/>
        <w:spacing w:after="0"/>
        <w:rPr>
          <w:sz w:val="20"/>
          <w:szCs w:val="20"/>
          <w:color w:val="auto"/>
        </w:rPr>
      </w:pPr>
      <w:r>
        <w:rPr>
          <w:rFonts w:ascii="Arial" w:cs="Arial" w:eastAsia="Arial" w:hAnsi="Arial"/>
          <w:sz w:val="18"/>
          <w:szCs w:val="18"/>
          <w:i w:val="1"/>
          <w:iCs w:val="1"/>
          <w:color w:val="auto"/>
        </w:rPr>
        <w:t>(Principal Executive Officer)</w:t>
      </w:r>
    </w:p>
    <w:p>
      <w:pPr>
        <w:spacing w:after="0" w:line="251" w:lineRule="exact"/>
        <w:rPr>
          <w:sz w:val="20"/>
          <w:szCs w:val="20"/>
          <w:color w:val="auto"/>
        </w:rPr>
      </w:pPr>
    </w:p>
    <w:p>
      <w:pPr>
        <w:ind w:left="20"/>
        <w:spacing w:after="0"/>
        <w:tabs>
          <w:tab w:leader="none" w:pos="5520" w:val="left"/>
          <w:tab w:leader="none" w:pos="6020" w:val="left"/>
        </w:tabs>
        <w:rPr>
          <w:sz w:val="20"/>
          <w:szCs w:val="20"/>
          <w:color w:val="auto"/>
        </w:rPr>
      </w:pPr>
      <w:r>
        <w:rPr>
          <w:rFonts w:ascii="Arial" w:cs="Arial" w:eastAsia="Arial" w:hAnsi="Arial"/>
          <w:sz w:val="18"/>
          <w:szCs w:val="18"/>
          <w:color w:val="auto"/>
        </w:rPr>
        <w:t>Dated: August 12,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Patrick R. Moore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14605</wp:posOffset>
            </wp:positionV>
            <wp:extent cx="330898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5">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12" w:lineRule="exact"/>
        <w:rPr>
          <w:sz w:val="20"/>
          <w:szCs w:val="20"/>
          <w:color w:val="auto"/>
        </w:rPr>
      </w:pPr>
    </w:p>
    <w:p>
      <w:pPr>
        <w:ind w:left="6040"/>
        <w:spacing w:after="0"/>
        <w:rPr>
          <w:sz w:val="20"/>
          <w:szCs w:val="20"/>
          <w:color w:val="auto"/>
        </w:rPr>
      </w:pPr>
      <w:r>
        <w:rPr>
          <w:rFonts w:ascii="Arial" w:cs="Arial" w:eastAsia="Arial" w:hAnsi="Arial"/>
          <w:sz w:val="18"/>
          <w:szCs w:val="18"/>
          <w:b w:val="1"/>
          <w:bCs w:val="1"/>
          <w:color w:val="auto"/>
        </w:rPr>
        <w:t>Senior Vice President, Chief Financial Officer</w:t>
      </w:r>
    </w:p>
    <w:p>
      <w:pPr>
        <w:spacing w:after="0" w:line="27" w:lineRule="exact"/>
        <w:rPr>
          <w:sz w:val="20"/>
          <w:szCs w:val="20"/>
          <w:color w:val="auto"/>
        </w:rPr>
      </w:pPr>
    </w:p>
    <w:p>
      <w:pPr>
        <w:ind w:left="6040"/>
        <w:spacing w:after="0"/>
        <w:rPr>
          <w:sz w:val="20"/>
          <w:szCs w:val="20"/>
          <w:color w:val="auto"/>
        </w:rPr>
      </w:pPr>
      <w:r>
        <w:rPr>
          <w:rFonts w:ascii="Arial" w:cs="Arial" w:eastAsia="Arial" w:hAnsi="Arial"/>
          <w:sz w:val="18"/>
          <w:szCs w:val="18"/>
          <w:i w:val="1"/>
          <w:iCs w:val="1"/>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200"/>
          </w:cols>
          <w:pgMar w:left="320" w:top="125" w:right="379" w:bottom="1440" w:gutter="0" w:footer="0" w:header="0"/>
        </w:sectPr>
      </w:pPr>
    </w:p>
    <w:bookmarkStart w:id="46" w:name="page47"/>
    <w:bookmarkEnd w:id="46"/>
    <w:p>
      <w:pPr>
        <w:jc w:val="right"/>
        <w:spacing w:after="0"/>
        <w:rPr>
          <w:sz w:val="20"/>
          <w:szCs w:val="20"/>
          <w:color w:val="auto"/>
        </w:rPr>
      </w:pPr>
      <w:r>
        <w:rPr>
          <w:rFonts w:ascii="Arial" w:cs="Arial" w:eastAsia="Arial" w:hAnsi="Arial"/>
          <w:sz w:val="18"/>
          <w:szCs w:val="18"/>
          <w:color w:val="auto"/>
        </w:rPr>
        <w:t>Exhibit 31.1</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PERIODIC REPORT UNDER SECTION 302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 L. Reade Fahs, certify that:</w:t>
      </w:r>
    </w:p>
    <w:p>
      <w:pPr>
        <w:spacing w:after="0" w:line="252" w:lineRule="exact"/>
        <w:rPr>
          <w:sz w:val="20"/>
          <w:szCs w:val="20"/>
          <w:color w:val="auto"/>
        </w:rPr>
      </w:pPr>
    </w:p>
    <w:p>
      <w:pPr>
        <w:ind w:left="340" w:hanging="332"/>
        <w:spacing w:after="0"/>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quarterly period ended July 3, 2021 of National Vision Holdings, Inc.;</w:t>
      </w:r>
    </w:p>
    <w:p>
      <w:pPr>
        <w:spacing w:after="0" w:line="252" w:lineRule="exact"/>
        <w:rPr>
          <w:rFonts w:ascii="Arial" w:cs="Arial" w:eastAsia="Arial" w:hAnsi="Arial"/>
          <w:sz w:val="18"/>
          <w:szCs w:val="18"/>
          <w:color w:val="auto"/>
        </w:rPr>
      </w:pPr>
    </w:p>
    <w:p>
      <w:pPr>
        <w:jc w:val="both"/>
        <w:ind w:left="340" w:right="440" w:hanging="332"/>
        <w:spacing w:after="0" w:line="263" w:lineRule="auto"/>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0" w:lineRule="exact"/>
        <w:rPr>
          <w:rFonts w:ascii="Arial" w:cs="Arial" w:eastAsia="Arial" w:hAnsi="Arial"/>
          <w:sz w:val="18"/>
          <w:szCs w:val="18"/>
          <w:color w:val="auto"/>
        </w:rPr>
      </w:pPr>
    </w:p>
    <w:p>
      <w:pPr>
        <w:ind w:left="340" w:right="400" w:hanging="332"/>
        <w:spacing w:after="0" w:line="308" w:lineRule="auto"/>
        <w:tabs>
          <w:tab w:leader="none" w:pos="3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ind w:left="340" w:right="20" w:hanging="332"/>
        <w:spacing w:after="0" w:line="263" w:lineRule="auto"/>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0" w:lineRule="exact"/>
        <w:rPr>
          <w:rFonts w:ascii="Arial" w:cs="Arial" w:eastAsia="Arial" w:hAnsi="Arial"/>
          <w:sz w:val="18"/>
          <w:szCs w:val="18"/>
          <w:color w:val="auto"/>
        </w:rPr>
      </w:pPr>
    </w:p>
    <w:p>
      <w:pPr>
        <w:ind w:left="660" w:right="380" w:hanging="328"/>
        <w:spacing w:after="0" w:line="263" w:lineRule="auto"/>
        <w:tabs>
          <w:tab w:leader="none" w:pos="651"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660" w:right="60" w:hanging="328"/>
        <w:spacing w:after="0" w:line="263" w:lineRule="auto"/>
        <w:tabs>
          <w:tab w:leader="none" w:pos="648"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and</w:t>
      </w:r>
    </w:p>
    <w:p>
      <w:pPr>
        <w:spacing w:after="0" w:line="210" w:lineRule="exact"/>
        <w:rPr>
          <w:rFonts w:ascii="Arial" w:cs="Arial" w:eastAsia="Arial" w:hAnsi="Arial"/>
          <w:sz w:val="18"/>
          <w:szCs w:val="18"/>
          <w:color w:val="auto"/>
        </w:rPr>
      </w:pPr>
    </w:p>
    <w:p>
      <w:pPr>
        <w:jc w:val="both"/>
        <w:ind w:left="660" w:right="860" w:hanging="328"/>
        <w:spacing w:after="0" w:line="342" w:lineRule="auto"/>
        <w:tabs>
          <w:tab w:leader="none" w:pos="651" w:val="left"/>
        </w:tabs>
        <w:numPr>
          <w:ilvl w:val="1"/>
          <w:numId w:val="2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ind w:left="660" w:right="80" w:hanging="328"/>
        <w:spacing w:after="0" w:line="263" w:lineRule="auto"/>
        <w:tabs>
          <w:tab w:leader="none" w:pos="648" w:val="left"/>
        </w:tabs>
        <w:numPr>
          <w:ilvl w:val="1"/>
          <w:numId w:val="2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0" w:lineRule="exact"/>
        <w:rPr>
          <w:rFonts w:ascii="Arial" w:cs="Arial" w:eastAsia="Arial" w:hAnsi="Arial"/>
          <w:sz w:val="18"/>
          <w:szCs w:val="18"/>
          <w:color w:val="auto"/>
        </w:rPr>
      </w:pPr>
    </w:p>
    <w:p>
      <w:pPr>
        <w:ind w:left="340" w:right="320" w:hanging="332"/>
        <w:spacing w:after="0" w:line="308" w:lineRule="auto"/>
        <w:tabs>
          <w:tab w:leader="none" w:pos="3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660" w:right="280" w:hanging="328"/>
        <w:spacing w:after="0" w:line="277" w:lineRule="auto"/>
        <w:tabs>
          <w:tab w:leader="none" w:pos="651" w:val="left"/>
        </w:tabs>
        <w:numPr>
          <w:ilvl w:val="1"/>
          <w:numId w:val="2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7" w:lineRule="exact"/>
        <w:rPr>
          <w:rFonts w:ascii="Arial" w:cs="Arial" w:eastAsia="Arial" w:hAnsi="Arial"/>
          <w:sz w:val="18"/>
          <w:szCs w:val="18"/>
          <w:color w:val="auto"/>
        </w:rPr>
      </w:pPr>
    </w:p>
    <w:p>
      <w:pPr>
        <w:ind w:left="660" w:right="240" w:hanging="328"/>
        <w:spacing w:after="0" w:line="277" w:lineRule="auto"/>
        <w:tabs>
          <w:tab w:leader="none" w:pos="648" w:val="left"/>
        </w:tabs>
        <w:numPr>
          <w:ilvl w:val="1"/>
          <w:numId w:val="2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 August 12, 2021</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 L. Reade Fahs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3853815</wp:posOffset>
            </wp:positionH>
            <wp:positionV relativeFrom="paragraph">
              <wp:posOffset>14605</wp:posOffset>
            </wp:positionV>
            <wp:extent cx="236601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6">
                      <a:extLst>
                        <a:ext uri="{28A0092B-C50C-407E-A947-70E740481C1C}"/>
                      </a:extLst>
                    </a:blip>
                    <a:srcRect/>
                    <a:stretch>
                      <a:fillRect/>
                    </a:stretch>
                  </pic:blipFill>
                  <pic:spPr bwMode="auto">
                    <a:xfrm>
                      <a:off x="0" y="0"/>
                      <a:ext cx="2366010" cy="8255"/>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L. Reade Fahs</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Chief Executive Officer and Director</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125" w:right="339" w:bottom="1440" w:gutter="0" w:footer="0" w:header="0"/>
        </w:sectPr>
      </w:pPr>
    </w:p>
    <w:bookmarkStart w:id="47" w:name="page48"/>
    <w:bookmarkEnd w:id="47"/>
    <w:p>
      <w:pPr>
        <w:jc w:val="right"/>
        <w:spacing w:after="0"/>
        <w:rPr>
          <w:sz w:val="20"/>
          <w:szCs w:val="20"/>
          <w:color w:val="auto"/>
        </w:rPr>
      </w:pPr>
      <w:r>
        <w:rPr>
          <w:rFonts w:ascii="Arial" w:cs="Arial" w:eastAsia="Arial" w:hAnsi="Arial"/>
          <w:sz w:val="18"/>
          <w:szCs w:val="18"/>
          <w:color w:val="auto"/>
        </w:rPr>
        <w:t>Exhibit 31.2</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PERIODIC REPORT UNDER SECTION 302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 Patrick R. Moore, certify that:</w:t>
      </w:r>
    </w:p>
    <w:p>
      <w:pPr>
        <w:spacing w:after="0" w:line="252" w:lineRule="exact"/>
        <w:rPr>
          <w:sz w:val="20"/>
          <w:szCs w:val="20"/>
          <w:color w:val="auto"/>
        </w:rPr>
      </w:pPr>
    </w:p>
    <w:p>
      <w:pPr>
        <w:ind w:left="340" w:hanging="332"/>
        <w:spacing w:after="0"/>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quarterly period ended July 3, 2021 of National Vision Holdings, Inc.;</w:t>
      </w:r>
    </w:p>
    <w:p>
      <w:pPr>
        <w:spacing w:after="0" w:line="252" w:lineRule="exact"/>
        <w:rPr>
          <w:rFonts w:ascii="Arial" w:cs="Arial" w:eastAsia="Arial" w:hAnsi="Arial"/>
          <w:sz w:val="18"/>
          <w:szCs w:val="18"/>
          <w:color w:val="auto"/>
        </w:rPr>
      </w:pPr>
    </w:p>
    <w:p>
      <w:pPr>
        <w:jc w:val="both"/>
        <w:ind w:left="340" w:right="440" w:hanging="332"/>
        <w:spacing w:after="0" w:line="263" w:lineRule="auto"/>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0" w:lineRule="exact"/>
        <w:rPr>
          <w:rFonts w:ascii="Arial" w:cs="Arial" w:eastAsia="Arial" w:hAnsi="Arial"/>
          <w:sz w:val="18"/>
          <w:szCs w:val="18"/>
          <w:color w:val="auto"/>
        </w:rPr>
      </w:pPr>
    </w:p>
    <w:p>
      <w:pPr>
        <w:ind w:left="340" w:right="400" w:hanging="332"/>
        <w:spacing w:after="0" w:line="308" w:lineRule="auto"/>
        <w:tabs>
          <w:tab w:leader="none" w:pos="3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ind w:left="340" w:right="20" w:hanging="332"/>
        <w:spacing w:after="0" w:line="263" w:lineRule="auto"/>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0" w:lineRule="exact"/>
        <w:rPr>
          <w:rFonts w:ascii="Arial" w:cs="Arial" w:eastAsia="Arial" w:hAnsi="Arial"/>
          <w:sz w:val="18"/>
          <w:szCs w:val="18"/>
          <w:color w:val="auto"/>
        </w:rPr>
      </w:pPr>
    </w:p>
    <w:p>
      <w:pPr>
        <w:ind w:left="660" w:right="380" w:hanging="328"/>
        <w:spacing w:after="0" w:line="263" w:lineRule="auto"/>
        <w:tabs>
          <w:tab w:leader="none" w:pos="651"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660" w:right="60" w:hanging="328"/>
        <w:spacing w:after="0" w:line="263" w:lineRule="auto"/>
        <w:tabs>
          <w:tab w:leader="none" w:pos="648"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and</w:t>
      </w:r>
    </w:p>
    <w:p>
      <w:pPr>
        <w:spacing w:after="0" w:line="210" w:lineRule="exact"/>
        <w:rPr>
          <w:rFonts w:ascii="Arial" w:cs="Arial" w:eastAsia="Arial" w:hAnsi="Arial"/>
          <w:sz w:val="18"/>
          <w:szCs w:val="18"/>
          <w:color w:val="auto"/>
        </w:rPr>
      </w:pPr>
    </w:p>
    <w:p>
      <w:pPr>
        <w:jc w:val="both"/>
        <w:ind w:left="660" w:right="860" w:hanging="328"/>
        <w:spacing w:after="0" w:line="342" w:lineRule="auto"/>
        <w:tabs>
          <w:tab w:leader="none" w:pos="651" w:val="left"/>
        </w:tabs>
        <w:numPr>
          <w:ilvl w:val="1"/>
          <w:numId w:val="2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ind w:left="660" w:right="80" w:hanging="328"/>
        <w:spacing w:after="0" w:line="263" w:lineRule="auto"/>
        <w:tabs>
          <w:tab w:leader="none" w:pos="648" w:val="left"/>
        </w:tabs>
        <w:numPr>
          <w:ilvl w:val="1"/>
          <w:numId w:val="2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0" w:lineRule="exact"/>
        <w:rPr>
          <w:rFonts w:ascii="Arial" w:cs="Arial" w:eastAsia="Arial" w:hAnsi="Arial"/>
          <w:sz w:val="18"/>
          <w:szCs w:val="18"/>
          <w:color w:val="auto"/>
        </w:rPr>
      </w:pPr>
    </w:p>
    <w:p>
      <w:pPr>
        <w:ind w:left="340" w:right="320" w:hanging="332"/>
        <w:spacing w:after="0" w:line="308" w:lineRule="auto"/>
        <w:tabs>
          <w:tab w:leader="none" w:pos="3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660" w:right="280" w:hanging="328"/>
        <w:spacing w:after="0" w:line="277" w:lineRule="auto"/>
        <w:tabs>
          <w:tab w:leader="none" w:pos="651" w:val="left"/>
        </w:tabs>
        <w:numPr>
          <w:ilvl w:val="1"/>
          <w:numId w:val="2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7" w:lineRule="exact"/>
        <w:rPr>
          <w:rFonts w:ascii="Arial" w:cs="Arial" w:eastAsia="Arial" w:hAnsi="Arial"/>
          <w:sz w:val="18"/>
          <w:szCs w:val="18"/>
          <w:color w:val="auto"/>
        </w:rPr>
      </w:pPr>
    </w:p>
    <w:p>
      <w:pPr>
        <w:ind w:left="660" w:right="240" w:hanging="328"/>
        <w:spacing w:after="0" w:line="277" w:lineRule="auto"/>
        <w:tabs>
          <w:tab w:leader="none" w:pos="648" w:val="left"/>
        </w:tabs>
        <w:numPr>
          <w:ilvl w:val="1"/>
          <w:numId w:val="2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 August 12, 2021</w:t>
      </w:r>
    </w:p>
    <w:p>
      <w:pPr>
        <w:spacing w:after="0" w:line="29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 Patrick R. Moore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3853815</wp:posOffset>
            </wp:positionH>
            <wp:positionV relativeFrom="paragraph">
              <wp:posOffset>14605</wp:posOffset>
            </wp:positionV>
            <wp:extent cx="291465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7">
                      <a:extLst>
                        <a:ext uri="{28A0092B-C50C-407E-A947-70E740481C1C}"/>
                      </a:extLst>
                    </a:blip>
                    <a:srcRect/>
                    <a:stretch>
                      <a:fillRect/>
                    </a:stretch>
                  </pic:blipFill>
                  <pic:spPr bwMode="auto">
                    <a:xfrm>
                      <a:off x="0" y="0"/>
                      <a:ext cx="2914650" cy="8255"/>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Patrick R. Moore</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Senior Vice President, Chief Financial Officer</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240"/>
          </w:cols>
          <w:pgMar w:left="320" w:top="125" w:right="339" w:bottom="1440" w:gutter="0" w:footer="0" w:header="0"/>
        </w:sectPr>
      </w:pPr>
    </w:p>
    <w:bookmarkStart w:id="48" w:name="page49"/>
    <w:bookmarkEnd w:id="48"/>
    <w:p>
      <w:pPr>
        <w:jc w:val="right"/>
        <w:spacing w:after="0"/>
        <w:rPr>
          <w:sz w:val="20"/>
          <w:szCs w:val="20"/>
          <w:color w:val="auto"/>
        </w:rPr>
      </w:pPr>
      <w:r>
        <w:rPr>
          <w:rFonts w:ascii="Arial" w:cs="Arial" w:eastAsia="Arial" w:hAnsi="Arial"/>
          <w:sz w:val="18"/>
          <w:szCs w:val="18"/>
          <w:color w:val="auto"/>
        </w:rPr>
        <w:t>Exhibit 32.1</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38"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In connection with the Quarterly Report of National Vision Holdings, Inc. (the “Company”) on Form 10-Q for the quarterly period ended July 3, 2021 filed with the Securities and Exchange Commission on the date hereof (the “Report”), I, L. Reade Fahs, Chief Executive Officer and Director of the Company, do hereby certify, pursuant to 18 U.S.C. Section 1350, as adopted pursuant to Section 906 of the Sarbanes-Oxley Act of 2002, that:</w:t>
      </w:r>
    </w:p>
    <w:p>
      <w:pPr>
        <w:spacing w:after="0" w:line="192" w:lineRule="exact"/>
        <w:rPr>
          <w:sz w:val="20"/>
          <w:szCs w:val="20"/>
          <w:color w:val="auto"/>
        </w:rPr>
      </w:pPr>
    </w:p>
    <w:p>
      <w:pPr>
        <w:ind w:left="320" w:hanging="312"/>
        <w:spacing w:after="0"/>
        <w:tabs>
          <w:tab w:leader="none" w:pos="3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52" w:lineRule="exact"/>
        <w:rPr>
          <w:rFonts w:ascii="Arial" w:cs="Arial" w:eastAsia="Arial" w:hAnsi="Arial"/>
          <w:sz w:val="18"/>
          <w:szCs w:val="18"/>
          <w:color w:val="auto"/>
        </w:rPr>
      </w:pPr>
    </w:p>
    <w:p>
      <w:pPr>
        <w:ind w:left="340" w:right="240" w:hanging="332"/>
        <w:spacing w:after="0" w:line="277" w:lineRule="auto"/>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for the periods presented therein.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 August 12, 2021</w:t>
      </w:r>
    </w:p>
    <w:p>
      <w:pPr>
        <w:spacing w:after="0" w:line="200" w:lineRule="exact"/>
        <w:rPr>
          <w:sz w:val="20"/>
          <w:szCs w:val="20"/>
          <w:color w:val="auto"/>
        </w:rPr>
      </w:pPr>
    </w:p>
    <w:p>
      <w:pPr>
        <w:spacing w:after="0" w:line="309"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 L. Reade Fahs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3853815</wp:posOffset>
            </wp:positionH>
            <wp:positionV relativeFrom="paragraph">
              <wp:posOffset>14605</wp:posOffset>
            </wp:positionV>
            <wp:extent cx="236601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8">
                      <a:extLst>
                        <a:ext uri="{28A0092B-C50C-407E-A947-70E740481C1C}"/>
                      </a:extLst>
                    </a:blip>
                    <a:srcRect/>
                    <a:stretch>
                      <a:fillRect/>
                    </a:stretch>
                  </pic:blipFill>
                  <pic:spPr bwMode="auto">
                    <a:xfrm>
                      <a:off x="0" y="0"/>
                      <a:ext cx="2366010" cy="8255"/>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L. Reade Fahs</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Chief Executive Officer and Director</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125" w:right="339" w:bottom="1440" w:gutter="0" w:footer="0" w:header="0"/>
        </w:sectPr>
      </w:pPr>
    </w:p>
    <w:bookmarkStart w:id="49" w:name="page50"/>
    <w:bookmarkEnd w:id="49"/>
    <w:p>
      <w:pPr>
        <w:jc w:val="right"/>
        <w:spacing w:after="0"/>
        <w:rPr>
          <w:sz w:val="20"/>
          <w:szCs w:val="20"/>
          <w:color w:val="auto"/>
        </w:rPr>
      </w:pPr>
      <w:r>
        <w:rPr>
          <w:rFonts w:ascii="Arial" w:cs="Arial" w:eastAsia="Arial" w:hAnsi="Arial"/>
          <w:sz w:val="18"/>
          <w:szCs w:val="18"/>
          <w:color w:val="auto"/>
        </w:rPr>
        <w:t>Exhibit 32.2</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38" w:lineRule="exact"/>
        <w:rPr>
          <w:sz w:val="20"/>
          <w:szCs w:val="20"/>
          <w:color w:val="auto"/>
        </w:rPr>
      </w:pPr>
    </w:p>
    <w:p>
      <w:pPr>
        <w:jc w:val="both"/>
        <w:ind w:right="40"/>
        <w:spacing w:after="0" w:line="311" w:lineRule="auto"/>
        <w:rPr>
          <w:sz w:val="20"/>
          <w:szCs w:val="20"/>
          <w:color w:val="auto"/>
        </w:rPr>
      </w:pPr>
      <w:r>
        <w:rPr>
          <w:rFonts w:ascii="Arial" w:cs="Arial" w:eastAsia="Arial" w:hAnsi="Arial"/>
          <w:sz w:val="16"/>
          <w:szCs w:val="16"/>
          <w:color w:val="auto"/>
        </w:rPr>
        <w:t>In connection with the Quarterly Report of National Vision Holdings, Inc. (the “Company”) on Form 10-Q for the quarterly period ended July 3, 2021 filed with the Securities and Exchange Commission on the date hereof (the “Report”), I, Patrick R. Moore, Senior Vice President, Chief Financial Officer of the Company, do hereby certify, pursuant to 18 U.S.C. Section 1350, as adopted pursuant to Section 906 of the Sarbanes-Oxley Act of 2002, that:</w:t>
      </w:r>
    </w:p>
    <w:p>
      <w:pPr>
        <w:spacing w:after="0" w:line="176" w:lineRule="exact"/>
        <w:rPr>
          <w:sz w:val="20"/>
          <w:szCs w:val="20"/>
          <w:color w:val="auto"/>
        </w:rPr>
      </w:pPr>
    </w:p>
    <w:p>
      <w:pPr>
        <w:ind w:left="340" w:hanging="332"/>
        <w:spacing w:after="0"/>
        <w:tabs>
          <w:tab w:leader="none" w:pos="340" w:val="left"/>
        </w:tabs>
        <w:numPr>
          <w:ilvl w:val="0"/>
          <w:numId w:val="24"/>
        </w:numPr>
        <w:rPr>
          <w:rFonts w:ascii="Arial" w:cs="Arial" w:eastAsia="Arial" w:hAnsi="Arial"/>
          <w:sz w:val="18"/>
          <w:szCs w:val="18"/>
          <w:b w:val="1"/>
          <w:bCs w:val="1"/>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52" w:lineRule="exact"/>
        <w:rPr>
          <w:rFonts w:ascii="Arial" w:cs="Arial" w:eastAsia="Arial" w:hAnsi="Arial"/>
          <w:sz w:val="18"/>
          <w:szCs w:val="18"/>
          <w:b w:val="1"/>
          <w:bCs w:val="1"/>
          <w:color w:val="auto"/>
        </w:rPr>
      </w:pPr>
    </w:p>
    <w:p>
      <w:pPr>
        <w:ind w:left="340" w:right="240" w:hanging="332"/>
        <w:spacing w:after="0" w:line="277" w:lineRule="auto"/>
        <w:tabs>
          <w:tab w:leader="none" w:pos="336" w:val="left"/>
        </w:tabs>
        <w:numPr>
          <w:ilvl w:val="0"/>
          <w:numId w:val="24"/>
        </w:numPr>
        <w:rPr>
          <w:rFonts w:ascii="Arial" w:cs="Arial" w:eastAsia="Arial" w:hAnsi="Arial"/>
          <w:sz w:val="18"/>
          <w:szCs w:val="18"/>
          <w:b w:val="1"/>
          <w:bCs w:val="1"/>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for the periods presented therein.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 August 12, 2021</w:t>
      </w:r>
    </w:p>
    <w:p>
      <w:pPr>
        <w:spacing w:after="0" w:line="29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 Patrick R. Moore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3853815</wp:posOffset>
            </wp:positionH>
            <wp:positionV relativeFrom="paragraph">
              <wp:posOffset>14605</wp:posOffset>
            </wp:positionV>
            <wp:extent cx="291465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9">
                      <a:extLst>
                        <a:ext uri="{28A0092B-C50C-407E-A947-70E740481C1C}"/>
                      </a:extLst>
                    </a:blip>
                    <a:srcRect/>
                    <a:stretch>
                      <a:fillRect/>
                    </a:stretch>
                  </pic:blipFill>
                  <pic:spPr bwMode="auto">
                    <a:xfrm>
                      <a:off x="0" y="0"/>
                      <a:ext cx="2914650" cy="8255"/>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Patrick R. Moore</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Senior Vice President, Chief Financial Officer</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(Principal Financial Officer)</w:t>
      </w:r>
    </w:p>
    <w:sectPr>
      <w:pgSz w:w="11900" w:h="16838" w:orient="portrait"/>
      <w:cols w:equalWidth="0" w:num="1">
        <w:col w:w="11240"/>
      </w:cols>
      <w:pgMar w:left="320" w:top="12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40E0F76"/>
    <w:multiLevelType w:val="hybridMultilevel"/>
    <w:lvl w:ilvl="0">
      <w:lvlJc w:val="left"/>
      <w:lvlText w:val="☒"/>
      <w:numFmt w:val="bullet"/>
      <w:start w:val="1"/>
    </w:lvl>
  </w:abstractNum>
  <w:abstractNum w:abstractNumId="1">
    <w:nsid w:val="3352255A"/>
    <w:multiLevelType w:val="hybridMultilevel"/>
    <w:lvl w:ilvl="0">
      <w:lvlJc w:val="left"/>
      <w:lvlText w:val="☐"/>
      <w:numFmt w:val="bullet"/>
      <w:start w:val="1"/>
    </w:lvl>
  </w:abstractNum>
  <w:abstractNum w:abstractNumId="2">
    <w:nsid w:val="109CF92E"/>
    <w:multiLevelType w:val="hybridMultilevel"/>
    <w:lvl w:ilvl="0">
      <w:lvlJc w:val="left"/>
      <w:lvlText w:val="•"/>
      <w:numFmt w:val="bullet"/>
      <w:start w:val="1"/>
    </w:lvl>
  </w:abstractNum>
  <w:abstractNum w:abstractNumId="3">
    <w:nsid w:val="DED7263"/>
    <w:multiLevelType w:val="hybridMultilevel"/>
    <w:lvl w:ilvl="0">
      <w:lvlJc w:val="left"/>
      <w:lvlText w:val="•"/>
      <w:numFmt w:val="bullet"/>
      <w:start w:val="1"/>
    </w:lvl>
  </w:abstractNum>
  <w:abstractNum w:abstractNumId="4">
    <w:nsid w:val="7FDCC233"/>
    <w:multiLevelType w:val="hybridMultilevel"/>
    <w:lvl w:ilvl="0">
      <w:lvlJc w:val="left"/>
      <w:lvlText w:val="%1."/>
      <w:numFmt w:val="decimal"/>
      <w:start w:val="6"/>
    </w:lvl>
  </w:abstractNum>
  <w:abstractNum w:abstractNumId="5">
    <w:nsid w:val="1BEFD79F"/>
    <w:multiLevelType w:val="hybridMultilevel"/>
    <w:lvl w:ilvl="0">
      <w:lvlJc w:val="left"/>
      <w:lvlText w:val="(%1)"/>
      <w:numFmt w:val="decimal"/>
      <w:start w:val="1"/>
    </w:lvl>
  </w:abstractNum>
  <w:abstractNum w:abstractNumId="6">
    <w:nsid w:val="41A7C4C9"/>
    <w:multiLevelType w:val="hybridMultilevel"/>
    <w:lvl w:ilvl="0">
      <w:lvlJc w:val="left"/>
      <w:lvlText w:val="(%1)"/>
      <w:numFmt w:val="decimal"/>
      <w:start w:val="1"/>
    </w:lvl>
  </w:abstractNum>
  <w:abstractNum w:abstractNumId="7">
    <w:nsid w:val="6B68079A"/>
    <w:multiLevelType w:val="hybridMultilevel"/>
    <w:lvl w:ilvl="0">
      <w:lvlJc w:val="left"/>
      <w:lvlText w:val="(%1)"/>
      <w:numFmt w:val="lowerLetter"/>
      <w:start w:val="1"/>
    </w:lvl>
  </w:abstractNum>
  <w:abstractNum w:abstractNumId="8">
    <w:nsid w:val="4E6AFB66"/>
    <w:multiLevelType w:val="hybridMultilevel"/>
    <w:lvl w:ilvl="0">
      <w:lvlJc w:val="left"/>
      <w:lvlText w:val="(%1)"/>
      <w:numFmt w:val="lowerLetter"/>
      <w:start w:val="1"/>
    </w:lvl>
  </w:abstractNum>
  <w:abstractNum w:abstractNumId="9">
    <w:nsid w:val="25E45D32"/>
    <w:multiLevelType w:val="hybridMultilevel"/>
    <w:lvl w:ilvl="0">
      <w:lvlJc w:val="left"/>
      <w:lvlText w:val="%1"/>
      <w:numFmt w:val="decimal"/>
      <w:start w:val="1"/>
    </w:lvl>
    <w:lvl w:ilvl="1">
      <w:lvlJc w:val="left"/>
      <w:lvlText w:val="(%2)"/>
      <w:numFmt w:val="lowerLetter"/>
      <w:start w:val="1"/>
    </w:lvl>
  </w:abstractNum>
  <w:abstractNum w:abstractNumId="10">
    <w:nsid w:val="519B500D"/>
    <w:multiLevelType w:val="hybridMultilevel"/>
    <w:lvl w:ilvl="0">
      <w:lvlJc w:val="left"/>
      <w:lvlText w:val="%1."/>
      <w:numFmt w:val="decimal"/>
      <w:start w:val="9"/>
    </w:lvl>
    <w:lvl w:ilvl="1">
      <w:lvlJc w:val="left"/>
      <w:lvlText w:val="%2"/>
      <w:numFmt w:val="lowerLetter"/>
      <w:start w:val="1"/>
    </w:lvl>
  </w:abstractNum>
  <w:abstractNum w:abstractNumId="11">
    <w:nsid w:val="431BD7B7"/>
    <w:multiLevelType w:val="hybridMultilevel"/>
    <w:lvl w:ilvl="0">
      <w:lvlJc w:val="left"/>
      <w:lvlText w:val="•"/>
      <w:numFmt w:val="bullet"/>
      <w:start w:val="1"/>
    </w:lvl>
  </w:abstractNum>
  <w:abstractNum w:abstractNumId="12">
    <w:nsid w:val="3F2DBA31"/>
    <w:multiLevelType w:val="hybridMultilevel"/>
    <w:lvl w:ilvl="0">
      <w:lvlJc w:val="left"/>
      <w:lvlText w:val="•"/>
      <w:numFmt w:val="bullet"/>
      <w:start w:val="1"/>
    </w:lvl>
  </w:abstractNum>
  <w:abstractNum w:abstractNumId="13">
    <w:nsid w:val="7C83E458"/>
    <w:multiLevelType w:val="hybridMultilevel"/>
    <w:lvl w:ilvl="0">
      <w:lvlJc w:val="left"/>
      <w:lvlText w:val="•"/>
      <w:numFmt w:val="bullet"/>
      <w:start w:val="1"/>
    </w:lvl>
  </w:abstractNum>
  <w:abstractNum w:abstractNumId="14">
    <w:nsid w:val="257130A3"/>
    <w:multiLevelType w:val="hybridMultilevel"/>
    <w:lvl w:ilvl="0">
      <w:lvlJc w:val="left"/>
      <w:lvlText w:val="(%1)"/>
      <w:numFmt w:val="decimal"/>
      <w:start w:val="1"/>
    </w:lvl>
  </w:abstractNum>
  <w:abstractNum w:abstractNumId="15">
    <w:nsid w:val="62BBD95A"/>
    <w:multiLevelType w:val="hybridMultilevel"/>
    <w:lvl w:ilvl="0">
      <w:lvlJc w:val="left"/>
      <w:lvlText w:val="(%1)"/>
      <w:numFmt w:val="decimal"/>
      <w:start w:val="1"/>
    </w:lvl>
  </w:abstractNum>
  <w:abstractNum w:abstractNumId="16">
    <w:nsid w:val="436C6125"/>
    <w:multiLevelType w:val="hybridMultilevel"/>
    <w:lvl w:ilvl="0">
      <w:lvlJc w:val="left"/>
      <w:lvlText w:val="•"/>
      <w:numFmt w:val="bullet"/>
      <w:start w:val="1"/>
    </w:lvl>
  </w:abstractNum>
  <w:abstractNum w:abstractNumId="17">
    <w:nsid w:val="628C895D"/>
    <w:multiLevelType w:val="hybridMultilevel"/>
    <w:lvl w:ilvl="0">
      <w:lvlJc w:val="left"/>
      <w:lvlText w:val="(%1)"/>
      <w:numFmt w:val="lowerLetter"/>
      <w:start w:val="1"/>
    </w:lvl>
  </w:abstractNum>
  <w:abstractNum w:abstractNumId="18">
    <w:nsid w:val="333AB105"/>
    <w:multiLevelType w:val="hybridMultilevel"/>
    <w:lvl w:ilvl="0">
      <w:lvlJc w:val="left"/>
      <w:lvlText w:val="(%1)"/>
      <w:numFmt w:val="lowerLetter"/>
      <w:start w:val="7"/>
    </w:lvl>
  </w:abstractNum>
  <w:abstractNum w:abstractNumId="19">
    <w:nsid w:val="721DA317"/>
    <w:multiLevelType w:val="hybridMultilevel"/>
    <w:lvl w:ilvl="0">
      <w:lvlJc w:val="left"/>
      <w:lvlText w:val="%1"/>
      <w:numFmt w:val="decimal"/>
      <w:start w:val="104"/>
    </w:lvl>
  </w:abstractNum>
  <w:abstractNum w:abstractNumId="20">
    <w:nsid w:val="2443A858"/>
    <w:multiLevelType w:val="hybridMultilevel"/>
    <w:lvl w:ilvl="0">
      <w:lvlJc w:val="left"/>
      <w:lvlText w:val="%1."/>
      <w:numFmt w:val="decimal"/>
      <w:start w:val="1"/>
    </w:lvl>
    <w:lvl w:ilvl="1">
      <w:lvlJc w:val="left"/>
      <w:lvlText w:val="%2)"/>
      <w:numFmt w:val="lowerLetter"/>
      <w:start w:val="1"/>
    </w:lvl>
  </w:abstractNum>
  <w:abstractNum w:abstractNumId="21">
    <w:nsid w:val="2D1D5AE9"/>
    <w:multiLevelType w:val="hybridMultilevel"/>
    <w:lvl w:ilvl="0">
      <w:lvlJc w:val="left"/>
      <w:lvlText w:val="%1."/>
      <w:numFmt w:val="decimal"/>
      <w:start w:val="1"/>
    </w:lvl>
    <w:lvl w:ilvl="1">
      <w:lvlJc w:val="left"/>
      <w:lvlText w:val="%2)"/>
      <w:numFmt w:val="lowerLetter"/>
      <w:start w:val="1"/>
    </w:lvl>
  </w:abstractNum>
  <w:abstractNum w:abstractNumId="22">
    <w:nsid w:val="6763845E"/>
    <w:multiLevelType w:val="hybridMultilevel"/>
    <w:lvl w:ilvl="0">
      <w:lvlJc w:val="left"/>
      <w:lvlText w:val="%1."/>
      <w:numFmt w:val="lowerLetter"/>
      <w:start w:val="1"/>
    </w:lvl>
  </w:abstractNum>
  <w:abstractNum w:abstractNumId="23">
    <w:nsid w:val="75A2A8D4"/>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3" Type="http://schemas.openxmlformats.org/officeDocument/2006/relationships/image" Target="media/image63.png"/><Relationship Id="rId74" Type="http://schemas.openxmlformats.org/officeDocument/2006/relationships/image" Target="media/image64.png"/><Relationship Id="rId75" Type="http://schemas.openxmlformats.org/officeDocument/2006/relationships/image" Target="media/image65.png"/><Relationship Id="rId76" Type="http://schemas.openxmlformats.org/officeDocument/2006/relationships/image" Target="media/image66.png"/><Relationship Id="rId77" Type="http://schemas.openxmlformats.org/officeDocument/2006/relationships/image" Target="media/image67.png"/><Relationship Id="rId78" Type="http://schemas.openxmlformats.org/officeDocument/2006/relationships/image" Target="media/image68.png"/><Relationship Id="rId79" Type="http://schemas.openxmlformats.org/officeDocument/2006/relationships/image" Target="media/image69.png"/><Relationship Id="rId70" Type="http://schemas.openxmlformats.org/officeDocument/2006/relationships/hyperlink" Target="https://www.sec.gov/Archives/edgar/data/1710155/000171015521000036/nationalvision-thirdamende.htm" TargetMode="External"/><Relationship Id="rId71" Type="http://schemas.openxmlformats.org/officeDocument/2006/relationships/hyperlink" Target="https://www.sec.gov/Archives/edgar/data/0001710155/000171015521000036/nationalvisionholdingsinct.htm" TargetMode="External"/><Relationship Id="rId72" Type="http://schemas.openxmlformats.org/officeDocument/2006/relationships/hyperlink" Target="https://www.sec.gov/Archives/edgar/data/1710155/000171015521000033/nvi-8xkexhibitsjune202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2021-08-12T09:30:07Z</dcterms:created>
  <dcterms:modified xsi:type="dcterms:W3CDTF">2021-08-12T09:30:07Z</dcterms:modified>
</cp:coreProperties>
</file>