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ind w:left="3800"/>
        <w:spacing w:after="0" w:line="216" w:lineRule="auto"/>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ANNUAL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29, 2018</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TRANSITION REPORT PURSUANT TO SECTION 13 OR 15(d) OF THE SECURITIES EXCHANGE ACT OF 1934</w:t>
      </w:r>
    </w:p>
    <w:p>
      <w:pPr>
        <w:spacing w:after="0" w:line="3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 to_____</w:t>
      </w:r>
    </w:p>
    <w:p>
      <w:pPr>
        <w:spacing w:after="0" w:line="12" w:lineRule="exact"/>
        <w:rPr>
          <w:sz w:val="24"/>
          <w:szCs w:val="24"/>
          <w:color w:val="auto"/>
        </w:rPr>
      </w:pPr>
    </w:p>
    <w:tbl>
      <w:tblPr>
        <w:tblLayout w:type="fixed"/>
        <w:tblInd w:w="1380" w:type="dxa"/>
        <w:tblCellMar>
          <w:top w:w="0" w:type="dxa"/>
          <w:left w:w="0" w:type="dxa"/>
          <w:bottom w:w="0" w:type="dxa"/>
          <w:right w:w="0" w:type="dxa"/>
        </w:tblCellMar>
      </w:tblPr>
      <w:tr>
        <w:trPr>
          <w:trHeight w:val="212"/>
        </w:trPr>
        <w:tc>
          <w:tcPr>
            <w:tcW w:w="1760" w:type="dxa"/>
            <w:vAlign w:val="bottom"/>
          </w:tcPr>
          <w:p>
            <w:pPr>
              <w:spacing w:after="0"/>
              <w:rPr>
                <w:sz w:val="18"/>
                <w:szCs w:val="18"/>
                <w:color w:val="auto"/>
              </w:rPr>
            </w:pPr>
          </w:p>
        </w:tc>
        <w:tc>
          <w:tcPr>
            <w:tcW w:w="654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r>
      <w:tr>
        <w:trPr>
          <w:trHeight w:val="130"/>
        </w:trPr>
        <w:tc>
          <w:tcPr>
            <w:tcW w:w="1760" w:type="dxa"/>
            <w:vAlign w:val="bottom"/>
          </w:tcPr>
          <w:p>
            <w:pPr>
              <w:spacing w:after="0"/>
              <w:rPr>
                <w:sz w:val="11"/>
                <w:szCs w:val="11"/>
                <w:color w:val="auto"/>
              </w:rPr>
            </w:pPr>
          </w:p>
        </w:tc>
        <w:tc>
          <w:tcPr>
            <w:tcW w:w="6540" w:type="dxa"/>
            <w:vAlign w:val="bottom"/>
          </w:tcPr>
          <w:p>
            <w:pPr>
              <w:jc w:val="center"/>
              <w:ind w:right="1324"/>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w:t>
            </w:r>
          </w:p>
        </w:tc>
      </w:tr>
      <w:tr>
        <w:trPr>
          <w:trHeight w:val="371"/>
        </w:trPr>
        <w:tc>
          <w:tcPr>
            <w:tcW w:w="1760" w:type="dxa"/>
            <w:vAlign w:val="bottom"/>
          </w:tcPr>
          <w:p>
            <w:pPr>
              <w:spacing w:after="0"/>
              <w:rPr>
                <w:sz w:val="24"/>
                <w:szCs w:val="24"/>
                <w:color w:val="auto"/>
              </w:rPr>
            </w:pPr>
          </w:p>
        </w:tc>
        <w:tc>
          <w:tcPr>
            <w:tcW w:w="6540" w:type="dxa"/>
            <w:vAlign w:val="bottom"/>
          </w:tcPr>
          <w:p>
            <w:pPr>
              <w:jc w:val="center"/>
              <w:ind w:right="1324"/>
              <w:spacing w:after="0"/>
              <w:rPr>
                <w:sz w:val="20"/>
                <w:szCs w:val="20"/>
                <w:color w:val="auto"/>
              </w:rPr>
            </w:pPr>
            <w:r>
              <w:rPr>
                <w:rFonts w:ascii="Times New Roman" w:cs="Times New Roman" w:eastAsia="Times New Roman" w:hAnsi="Times New Roman"/>
                <w:sz w:val="29"/>
                <w:szCs w:val="29"/>
                <w:b w:val="1"/>
                <w:bCs w:val="1"/>
                <w:color w:val="auto"/>
                <w:w w:val="99"/>
              </w:rPr>
              <w:t>National Vision Holdings, Inc.</w:t>
            </w:r>
          </w:p>
        </w:tc>
      </w:tr>
      <w:tr>
        <w:trPr>
          <w:trHeight w:val="232"/>
        </w:trPr>
        <w:tc>
          <w:tcPr>
            <w:tcW w:w="1760" w:type="dxa"/>
            <w:vAlign w:val="bottom"/>
          </w:tcPr>
          <w:p>
            <w:pPr>
              <w:spacing w:after="0"/>
              <w:rPr>
                <w:sz w:val="20"/>
                <w:szCs w:val="20"/>
                <w:color w:val="auto"/>
              </w:rPr>
            </w:pPr>
          </w:p>
        </w:tc>
        <w:tc>
          <w:tcPr>
            <w:tcW w:w="6540" w:type="dxa"/>
            <w:vAlign w:val="bottom"/>
          </w:tcPr>
          <w:p>
            <w:pPr>
              <w:jc w:val="center"/>
              <w:ind w:right="130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142"/>
        </w:trPr>
        <w:tc>
          <w:tcPr>
            <w:tcW w:w="1760" w:type="dxa"/>
            <w:vAlign w:val="bottom"/>
          </w:tcPr>
          <w:p>
            <w:pPr>
              <w:spacing w:after="0"/>
              <w:rPr>
                <w:sz w:val="12"/>
                <w:szCs w:val="12"/>
                <w:color w:val="auto"/>
              </w:rPr>
            </w:pPr>
          </w:p>
        </w:tc>
        <w:tc>
          <w:tcPr>
            <w:tcW w:w="6540" w:type="dxa"/>
            <w:vAlign w:val="bottom"/>
          </w:tcPr>
          <w:p>
            <w:pPr>
              <w:jc w:val="center"/>
              <w:ind w:right="1324"/>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w:t>
            </w:r>
          </w:p>
        </w:tc>
      </w:tr>
      <w:tr>
        <w:trPr>
          <w:trHeight w:val="310"/>
        </w:trPr>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540" w:type="dxa"/>
            <w:vAlign w:val="bottom"/>
          </w:tcPr>
          <w:p>
            <w:pPr>
              <w:jc w:val="center"/>
              <w:ind w:left="5364"/>
              <w:spacing w:after="0" w:line="161" w:lineRule="exact"/>
              <w:rPr>
                <w:sz w:val="20"/>
                <w:szCs w:val="20"/>
                <w:color w:val="auto"/>
              </w:rPr>
            </w:pPr>
            <w:r>
              <w:rPr>
                <w:rFonts w:ascii="Times New Roman" w:cs="Times New Roman" w:eastAsia="Times New Roman" w:hAnsi="Times New Roman"/>
                <w:sz w:val="14"/>
                <w:szCs w:val="14"/>
                <w:b w:val="1"/>
                <w:bCs w:val="1"/>
                <w:color w:val="auto"/>
              </w:rPr>
              <w:t>46</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4841717</w:t>
            </w:r>
          </w:p>
        </w:tc>
      </w:tr>
      <w:tr>
        <w:trPr>
          <w:trHeight w:val="149"/>
        </w:trPr>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6540" w:type="dxa"/>
            <w:vAlign w:val="bottom"/>
          </w:tcPr>
          <w:p>
            <w:pPr>
              <w:jc w:val="center"/>
              <w:ind w:left="536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540" w:type="dxa"/>
            <w:vAlign w:val="bottom"/>
          </w:tcPr>
          <w:p>
            <w:pPr>
              <w:jc w:val="center"/>
              <w:ind w:left="538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1"/>
        </w:trPr>
        <w:tc>
          <w:tcPr>
            <w:tcW w:w="1760" w:type="dxa"/>
            <w:vAlign w:val="bottom"/>
          </w:tcPr>
          <w:p>
            <w:pPr>
              <w:spacing w:after="0"/>
              <w:rPr>
                <w:sz w:val="13"/>
                <w:szCs w:val="13"/>
                <w:color w:val="auto"/>
              </w:rPr>
            </w:pPr>
          </w:p>
        </w:tc>
        <w:tc>
          <w:tcPr>
            <w:tcW w:w="6540" w:type="dxa"/>
            <w:vAlign w:val="bottom"/>
          </w:tcPr>
          <w:p>
            <w:pPr>
              <w:jc w:val="center"/>
              <w:ind w:right="1324"/>
              <w:spacing w:after="0"/>
              <w:rPr>
                <w:sz w:val="20"/>
                <w:szCs w:val="20"/>
                <w:color w:val="auto"/>
              </w:rPr>
            </w:pPr>
            <w:r>
              <w:rPr>
                <w:rFonts w:ascii="Times New Roman" w:cs="Times New Roman" w:eastAsia="Times New Roman" w:hAnsi="Times New Roman"/>
                <w:sz w:val="14"/>
                <w:szCs w:val="14"/>
                <w:b w:val="1"/>
                <w:bCs w:val="1"/>
                <w:color w:val="auto"/>
              </w:rPr>
              <w:t>2435 Commerce Ave,</w:t>
            </w:r>
          </w:p>
        </w:tc>
      </w:tr>
      <w:tr>
        <w:trPr>
          <w:trHeight w:val="149"/>
        </w:trPr>
        <w:tc>
          <w:tcPr>
            <w:tcW w:w="1760" w:type="dxa"/>
            <w:vAlign w:val="bottom"/>
          </w:tcPr>
          <w:p>
            <w:pPr>
              <w:spacing w:after="0"/>
              <w:rPr>
                <w:sz w:val="12"/>
                <w:szCs w:val="12"/>
                <w:color w:val="auto"/>
              </w:rPr>
            </w:pPr>
          </w:p>
        </w:tc>
        <w:tc>
          <w:tcPr>
            <w:tcW w:w="6540" w:type="dxa"/>
            <w:vAlign w:val="bottom"/>
          </w:tcPr>
          <w:p>
            <w:pPr>
              <w:jc w:val="center"/>
              <w:ind w:right="1324"/>
              <w:spacing w:after="0" w:line="149" w:lineRule="exact"/>
              <w:rPr>
                <w:sz w:val="20"/>
                <w:szCs w:val="20"/>
                <w:color w:val="auto"/>
              </w:rPr>
            </w:pPr>
            <w:r>
              <w:rPr>
                <w:rFonts w:ascii="Times New Roman" w:cs="Times New Roman" w:eastAsia="Times New Roman" w:hAnsi="Times New Roman"/>
                <w:sz w:val="14"/>
                <w:szCs w:val="14"/>
                <w:b w:val="1"/>
                <w:bCs w:val="1"/>
                <w:color w:val="auto"/>
              </w:rPr>
              <w:t>Building 2200</w:t>
            </w:r>
          </w:p>
        </w:tc>
      </w:tr>
      <w:tr>
        <w:trPr>
          <w:trHeight w:val="151"/>
        </w:trPr>
        <w:tc>
          <w:tcPr>
            <w:tcW w:w="1760" w:type="dxa"/>
            <w:vAlign w:val="bottom"/>
          </w:tcPr>
          <w:p>
            <w:pPr>
              <w:spacing w:after="0"/>
              <w:rPr>
                <w:sz w:val="13"/>
                <w:szCs w:val="13"/>
                <w:color w:val="auto"/>
              </w:rPr>
            </w:pPr>
          </w:p>
        </w:tc>
        <w:tc>
          <w:tcPr>
            <w:tcW w:w="6540" w:type="dxa"/>
            <w:vAlign w:val="bottom"/>
          </w:tcPr>
          <w:p>
            <w:pPr>
              <w:jc w:val="center"/>
              <w:ind w:right="1304"/>
              <w:spacing w:after="0" w:line="151" w:lineRule="exact"/>
              <w:rPr>
                <w:sz w:val="20"/>
                <w:szCs w:val="20"/>
                <w:color w:val="auto"/>
              </w:rPr>
            </w:pPr>
            <w:r>
              <w:rPr>
                <w:rFonts w:ascii="Times New Roman" w:cs="Times New Roman" w:eastAsia="Times New Roman" w:hAnsi="Times New Roman"/>
                <w:sz w:val="14"/>
                <w:szCs w:val="14"/>
                <w:b w:val="1"/>
                <w:bCs w:val="1"/>
                <w:color w:val="auto"/>
              </w:rPr>
              <w:t>Duluth, Georgia 30096</w:t>
            </w:r>
          </w:p>
        </w:tc>
      </w:tr>
      <w:tr>
        <w:trPr>
          <w:trHeight w:val="166"/>
        </w:trPr>
        <w:tc>
          <w:tcPr>
            <w:tcW w:w="1760" w:type="dxa"/>
            <w:vAlign w:val="bottom"/>
          </w:tcPr>
          <w:p>
            <w:pPr>
              <w:spacing w:after="0"/>
              <w:rPr>
                <w:sz w:val="14"/>
                <w:szCs w:val="14"/>
                <w:color w:val="auto"/>
              </w:rPr>
            </w:pPr>
          </w:p>
        </w:tc>
        <w:tc>
          <w:tcPr>
            <w:tcW w:w="6540" w:type="dxa"/>
            <w:vAlign w:val="bottom"/>
          </w:tcPr>
          <w:p>
            <w:pPr>
              <w:jc w:val="center"/>
              <w:ind w:right="1304"/>
              <w:spacing w:after="0"/>
              <w:rPr>
                <w:sz w:val="20"/>
                <w:szCs w:val="20"/>
                <w:color w:val="auto"/>
              </w:rPr>
            </w:pPr>
            <w:r>
              <w:rPr>
                <w:rFonts w:ascii="Times New Roman" w:cs="Times New Roman" w:eastAsia="Times New Roman" w:hAnsi="Times New Roman"/>
                <w:sz w:val="14"/>
                <w:szCs w:val="14"/>
                <w:color w:val="auto"/>
              </w:rPr>
              <w:t>(Address of principal executive offices)</w:t>
            </w:r>
          </w:p>
        </w:tc>
      </w:tr>
      <w:tr>
        <w:trPr>
          <w:trHeight w:val="185"/>
        </w:trPr>
        <w:tc>
          <w:tcPr>
            <w:tcW w:w="1760" w:type="dxa"/>
            <w:vAlign w:val="bottom"/>
          </w:tcPr>
          <w:p>
            <w:pPr>
              <w:spacing w:after="0"/>
              <w:rPr>
                <w:sz w:val="16"/>
                <w:szCs w:val="16"/>
                <w:color w:val="auto"/>
              </w:rPr>
            </w:pPr>
          </w:p>
        </w:tc>
        <w:tc>
          <w:tcPr>
            <w:tcW w:w="6540" w:type="dxa"/>
            <w:vAlign w:val="bottom"/>
          </w:tcPr>
          <w:p>
            <w:pPr>
              <w:jc w:val="center"/>
              <w:ind w:right="1324"/>
              <w:spacing w:after="0" w:line="161" w:lineRule="exact"/>
              <w:rPr>
                <w:sz w:val="20"/>
                <w:szCs w:val="20"/>
                <w:color w:val="auto"/>
              </w:rPr>
            </w:pPr>
            <w:r>
              <w:rPr>
                <w:rFonts w:ascii="Times New Roman" w:cs="Times New Roman" w:eastAsia="Times New Roman" w:hAnsi="Times New Roman"/>
                <w:sz w:val="14"/>
                <w:szCs w:val="14"/>
                <w:b w:val="1"/>
                <w:bCs w:val="1"/>
                <w:color w:val="auto"/>
              </w:rPr>
              <w:t>(770) 822</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3600</w:t>
            </w:r>
          </w:p>
        </w:tc>
      </w:tr>
      <w:tr>
        <w:trPr>
          <w:trHeight w:val="174"/>
        </w:trPr>
        <w:tc>
          <w:tcPr>
            <w:tcW w:w="1760" w:type="dxa"/>
            <w:vAlign w:val="bottom"/>
          </w:tcPr>
          <w:p>
            <w:pPr>
              <w:spacing w:after="0"/>
              <w:rPr>
                <w:sz w:val="15"/>
                <w:szCs w:val="15"/>
                <w:color w:val="auto"/>
              </w:rPr>
            </w:pPr>
          </w:p>
        </w:tc>
        <w:tc>
          <w:tcPr>
            <w:tcW w:w="6540" w:type="dxa"/>
            <w:vAlign w:val="bottom"/>
          </w:tcPr>
          <w:p>
            <w:pPr>
              <w:jc w:val="center"/>
              <w:ind w:right="130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190"/>
        </w:trPr>
        <w:tc>
          <w:tcPr>
            <w:tcW w:w="1760" w:type="dxa"/>
            <w:vAlign w:val="bottom"/>
          </w:tcPr>
          <w:p>
            <w:pPr>
              <w:spacing w:after="0"/>
              <w:rPr>
                <w:sz w:val="16"/>
                <w:szCs w:val="16"/>
                <w:color w:val="auto"/>
              </w:rPr>
            </w:pPr>
          </w:p>
        </w:tc>
        <w:tc>
          <w:tcPr>
            <w:tcW w:w="6540" w:type="dxa"/>
            <w:vAlign w:val="bottom"/>
          </w:tcPr>
          <w:p>
            <w:pPr>
              <w:jc w:val="center"/>
              <w:ind w:right="1324"/>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tc>
      </w:tr>
    </w:tbl>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0"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80" w:type="dxa"/>
            <w:vAlign w:val="bottom"/>
          </w:tcPr>
          <w:p>
            <w:pPr>
              <w:spacing w:after="0"/>
              <w:rPr>
                <w:sz w:val="13"/>
                <w:szCs w:val="13"/>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5640" w:type="dxa"/>
            <w:vAlign w:val="bottom"/>
            <w:gridSpan w:val="3"/>
          </w:tcPr>
          <w:p>
            <w:pPr>
              <w:jc w:val="center"/>
              <w:ind w:right="32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34" w:lineRule="exact"/>
        <w:rPr>
          <w:sz w:val="24"/>
          <w:szCs w:val="24"/>
          <w:color w:val="auto"/>
        </w:rPr>
      </w:pPr>
    </w:p>
    <w:p>
      <w:pPr>
        <w:ind w:right="36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0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6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emerging growth company, indicate by check mark if the registrant has elected not to use the excluded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As of June 30, 2018, the last day of the registrant’s most recently completed second quarter, the aggregate market value of the registrant’s common stock held by non-affiliates of the registrant was approximately $1.3 billion (based upon the closing sale price of the common stock on last trading date of the quarter on the NASDAQ).</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020" w:type="dxa"/>
            <w:vAlign w:val="bottom"/>
          </w:tcPr>
          <w:p>
            <w:pPr>
              <w:spacing w:after="0"/>
              <w:rPr>
                <w:sz w:val="16"/>
                <w:szCs w:val="16"/>
                <w:color w:val="auto"/>
              </w:rPr>
            </w:pPr>
          </w:p>
        </w:tc>
        <w:tc>
          <w:tcPr>
            <w:tcW w:w="5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 at January 31, 2019</w:t>
            </w:r>
          </w:p>
        </w:tc>
      </w:tr>
      <w:tr>
        <w:trPr>
          <w:trHeight w:val="191"/>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5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78,208,539</w:t>
            </w: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2019 Annual Meeting of Stockholders are incorporated by reference into Part III of this Annual Report on Form 10-K. The Proxy Statement will be filed with the Securities and Exchange Commission within 120 days of the registrant’s fiscal year ended December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8"/>
          </w:tcPr>
          <w:p>
            <w:pPr>
              <w:ind w:left="68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0"/>
        </w:trPr>
        <w:tc>
          <w:tcPr>
            <w:tcW w:w="5340" w:type="dxa"/>
            <w:vAlign w:val="bottom"/>
            <w:gridSpan w:val="19"/>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SPECIAL NOTE REGARDING FORWARD-LOOKING STATEMENTS</w:t>
              </w:r>
            </w:hyperlink>
          </w:p>
        </w:tc>
        <w:tc>
          <w:tcPr>
            <w:tcW w:w="4900" w:type="dxa"/>
            <w:vAlign w:val="bottom"/>
            <w:gridSpan w:val="8"/>
          </w:tcPr>
          <w:p>
            <w:pPr>
              <w:spacing w:after="0"/>
              <w:rPr>
                <w:sz w:val="19"/>
                <w:szCs w:val="19"/>
                <w:color w:val="auto"/>
              </w:rPr>
            </w:pPr>
          </w:p>
        </w:tc>
        <w:tc>
          <w:tcPr>
            <w:tcW w:w="940" w:type="dxa"/>
            <w:vAlign w:val="bottom"/>
            <w:gridSpan w:val="5"/>
          </w:tcPr>
          <w:p>
            <w:pPr>
              <w:jc w:val="center"/>
              <w:ind w:left="690"/>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PART I</w:t>
              </w:r>
            </w:hyperlink>
          </w:p>
        </w:tc>
        <w:tc>
          <w:tcPr>
            <w:tcW w:w="9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gridSpan w:val="5"/>
          </w:tcPr>
          <w:p>
            <w:pPr>
              <w:jc w:val="center"/>
              <w:ind w:left="690"/>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940" w:type="dxa"/>
            <w:vAlign w:val="bottom"/>
            <w:gridSpan w:val="5"/>
          </w:tcPr>
          <w:p>
            <w:pPr>
              <w:jc w:val="center"/>
              <w:ind w:left="690"/>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81"/>
              </w:rPr>
            </w:pPr>
            <w:hyperlink w:anchor="page17">
              <w:r>
                <w:rPr>
                  <w:rFonts w:ascii="Times New Roman" w:cs="Times New Roman" w:eastAsia="Times New Roman" w:hAnsi="Times New Roman"/>
                  <w:sz w:val="18"/>
                  <w:szCs w:val="18"/>
                  <w:color w:val="0000EE"/>
                  <w:w w:val="81"/>
                </w:rPr>
                <w:t>Item 1A.</w:t>
              </w:r>
            </w:hyperlink>
          </w:p>
        </w:tc>
        <w:tc>
          <w:tcPr>
            <w:tcW w:w="40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Risk Factors</w:t>
              </w:r>
            </w:hyperlink>
          </w:p>
        </w:tc>
        <w:tc>
          <w:tcPr>
            <w:tcW w:w="7840" w:type="dxa"/>
            <w:vAlign w:val="bottom"/>
            <w:gridSpan w:val="17"/>
          </w:tcPr>
          <w:p>
            <w:pPr>
              <w:spacing w:after="0"/>
              <w:rPr>
                <w:sz w:val="21"/>
                <w:szCs w:val="21"/>
                <w:color w:val="auto"/>
              </w:rPr>
            </w:pPr>
          </w:p>
        </w:tc>
        <w:tc>
          <w:tcPr>
            <w:tcW w:w="76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17</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560" w:type="dxa"/>
            <w:vAlign w:val="bottom"/>
            <w:gridSpan w:val="4"/>
          </w:tcPr>
          <w:p>
            <w:pPr>
              <w:spacing w:after="0"/>
              <w:rPr>
                <w:rFonts w:ascii="Times New Roman" w:cs="Times New Roman" w:eastAsia="Times New Roman" w:hAnsi="Times New Roman"/>
                <w:sz w:val="18"/>
                <w:szCs w:val="18"/>
                <w:color w:val="0000EE"/>
                <w:w w:val="82"/>
              </w:rPr>
            </w:pPr>
            <w:hyperlink w:anchor="page39">
              <w:r>
                <w:rPr>
                  <w:rFonts w:ascii="Times New Roman" w:cs="Times New Roman" w:eastAsia="Times New Roman" w:hAnsi="Times New Roman"/>
                  <w:sz w:val="18"/>
                  <w:szCs w:val="18"/>
                  <w:color w:val="0000EE"/>
                  <w:w w:val="82"/>
                </w:rPr>
                <w:t>Item 1B.</w:t>
              </w:r>
            </w:hyperlink>
          </w:p>
        </w:tc>
        <w:tc>
          <w:tcPr>
            <w:tcW w:w="400" w:type="dxa"/>
            <w:vAlign w:val="bottom"/>
          </w:tcPr>
          <w:p>
            <w:pPr>
              <w:spacing w:after="0"/>
              <w:rPr>
                <w:sz w:val="21"/>
                <w:szCs w:val="21"/>
                <w:color w:val="auto"/>
              </w:rPr>
            </w:pPr>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Unresolved Staff Comments</w:t>
              </w:r>
            </w:hyperlink>
          </w:p>
        </w:tc>
        <w:tc>
          <w:tcPr>
            <w:tcW w:w="940" w:type="dxa"/>
            <w:vAlign w:val="bottom"/>
            <w:gridSpan w:val="5"/>
          </w:tcPr>
          <w:p>
            <w:pPr>
              <w:jc w:val="center"/>
              <w:ind w:left="670"/>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39</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56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2.</w:t>
              </w:r>
            </w:hyperlink>
          </w:p>
        </w:tc>
        <w:tc>
          <w:tcPr>
            <w:tcW w:w="400" w:type="dxa"/>
            <w:vAlign w:val="bottom"/>
          </w:tcPr>
          <w:p>
            <w:pPr>
              <w:spacing w:after="0"/>
              <w:rPr>
                <w:sz w:val="21"/>
                <w:szCs w:val="21"/>
                <w:color w:val="auto"/>
              </w:rPr>
            </w:pPr>
          </w:p>
        </w:tc>
        <w:tc>
          <w:tcPr>
            <w:tcW w:w="20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Properties</w:t>
              </w:r>
            </w:hyperlink>
          </w:p>
        </w:tc>
        <w:tc>
          <w:tcPr>
            <w:tcW w:w="6700" w:type="dxa"/>
            <w:vAlign w:val="bottom"/>
            <w:gridSpan w:val="12"/>
          </w:tcPr>
          <w:p>
            <w:pPr>
              <w:spacing w:after="0"/>
              <w:rPr>
                <w:sz w:val="21"/>
                <w:szCs w:val="21"/>
                <w:color w:val="auto"/>
              </w:rPr>
            </w:pPr>
          </w:p>
        </w:tc>
        <w:tc>
          <w:tcPr>
            <w:tcW w:w="760" w:type="dxa"/>
            <w:vAlign w:val="bottom"/>
            <w:gridSpan w:val="2"/>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40</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3.</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Proceedings</w:t>
              </w:r>
            </w:hyperlink>
          </w:p>
        </w:tc>
        <w:tc>
          <w:tcPr>
            <w:tcW w:w="940" w:type="dxa"/>
            <w:vAlign w:val="bottom"/>
            <w:gridSpan w:val="5"/>
          </w:tcPr>
          <w:p>
            <w:pPr>
              <w:jc w:val="center"/>
              <w:ind w:left="67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4.</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Mine Safety Disclosures</w:t>
              </w:r>
            </w:hyperlink>
          </w:p>
        </w:tc>
        <w:tc>
          <w:tcPr>
            <w:tcW w:w="940" w:type="dxa"/>
            <w:vAlign w:val="bottom"/>
            <w:gridSpan w:val="5"/>
          </w:tcPr>
          <w:p>
            <w:pPr>
              <w:jc w:val="center"/>
              <w:ind w:left="67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41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Times New Roman" w:cs="Times New Roman" w:eastAsia="Times New Roman" w:hAnsi="Times New Roman"/>
                <w:sz w:val="18"/>
                <w:szCs w:val="18"/>
                <w:color w:val="0000EE"/>
                <w:w w:val="79"/>
              </w:rPr>
            </w:pPr>
            <w:hyperlink w:anchor="page42">
              <w:r>
                <w:rPr>
                  <w:rFonts w:ascii="Times New Roman" w:cs="Times New Roman" w:eastAsia="Times New Roman" w:hAnsi="Times New Roman"/>
                  <w:sz w:val="18"/>
                  <w:szCs w:val="18"/>
                  <w:color w:val="0000EE"/>
                  <w:w w:val="79"/>
                </w:rPr>
                <w:t>PART II</w:t>
              </w:r>
            </w:hyperlink>
          </w:p>
        </w:tc>
        <w:tc>
          <w:tcPr>
            <w:tcW w:w="96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42</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5.</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940" w:type="dxa"/>
            <w:vAlign w:val="bottom"/>
            <w:gridSpan w:val="5"/>
          </w:tcPr>
          <w:p>
            <w:pPr>
              <w:jc w:val="center"/>
              <w:ind w:left="670"/>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42</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6.</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Selected Financial Data</w:t>
              </w:r>
            </w:hyperlink>
          </w:p>
        </w:tc>
        <w:tc>
          <w:tcPr>
            <w:tcW w:w="940" w:type="dxa"/>
            <w:vAlign w:val="bottom"/>
            <w:gridSpan w:val="5"/>
          </w:tcPr>
          <w:p>
            <w:pPr>
              <w:jc w:val="center"/>
              <w:ind w:left="670"/>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7.</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40" w:type="dxa"/>
            <w:vAlign w:val="bottom"/>
            <w:gridSpan w:val="5"/>
          </w:tcPr>
          <w:p>
            <w:pPr>
              <w:jc w:val="center"/>
              <w:ind w:left="670"/>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45</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81"/>
              </w:rPr>
            </w:pPr>
            <w:hyperlink w:anchor="page72">
              <w:r>
                <w:rPr>
                  <w:rFonts w:ascii="Times New Roman" w:cs="Times New Roman" w:eastAsia="Times New Roman" w:hAnsi="Times New Roman"/>
                  <w:sz w:val="18"/>
                  <w:szCs w:val="18"/>
                  <w:color w:val="0000EE"/>
                  <w:w w:val="81"/>
                </w:rPr>
                <w:t>Item 7A.</w:t>
              </w:r>
            </w:hyperlink>
          </w:p>
        </w:tc>
        <w:tc>
          <w:tcPr>
            <w:tcW w:w="400" w:type="dxa"/>
            <w:vAlign w:val="bottom"/>
          </w:tcPr>
          <w:p>
            <w:pPr>
              <w:spacing w:after="0"/>
              <w:rPr>
                <w:sz w:val="21"/>
                <w:szCs w:val="21"/>
                <w:color w:val="auto"/>
              </w:rPr>
            </w:pP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Quantitative and Qualitative Disclosures About Market Risk</w:t>
              </w:r>
            </w:hyperlink>
          </w:p>
        </w:tc>
        <w:tc>
          <w:tcPr>
            <w:tcW w:w="4380" w:type="dxa"/>
            <w:vAlign w:val="bottom"/>
            <w:gridSpan w:val="6"/>
          </w:tcPr>
          <w:p>
            <w:pPr>
              <w:spacing w:after="0"/>
              <w:rPr>
                <w:sz w:val="21"/>
                <w:szCs w:val="21"/>
                <w:color w:val="auto"/>
              </w:rPr>
            </w:pPr>
          </w:p>
        </w:tc>
        <w:tc>
          <w:tcPr>
            <w:tcW w:w="760" w:type="dxa"/>
            <w:vAlign w:val="bottom"/>
            <w:gridSpan w:val="2"/>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72</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8.</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Financial Statements and Supplementary Data</w:t>
              </w:r>
            </w:hyperlink>
          </w:p>
        </w:tc>
        <w:tc>
          <w:tcPr>
            <w:tcW w:w="940" w:type="dxa"/>
            <w:vAlign w:val="bottom"/>
            <w:gridSpan w:val="5"/>
          </w:tcPr>
          <w:p>
            <w:pPr>
              <w:jc w:val="center"/>
              <w:ind w:left="670"/>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73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Item 9.</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000" w:type="dxa"/>
            <w:vAlign w:val="bottom"/>
            <w:gridSpan w:val="7"/>
          </w:tcPr>
          <w:p>
            <w:pPr>
              <w:jc w:val="center"/>
              <w:ind w:left="610"/>
              <w:spacing w:after="0"/>
              <w:rPr>
                <w:rFonts w:ascii="Times New Roman" w:cs="Times New Roman" w:eastAsia="Times New Roman" w:hAnsi="Times New Roman"/>
                <w:sz w:val="18"/>
                <w:szCs w:val="18"/>
                <w:color w:val="0000EE"/>
                <w:w w:val="96"/>
              </w:rPr>
            </w:pPr>
            <w:hyperlink w:anchor="page118">
              <w:r>
                <w:rPr>
                  <w:rFonts w:ascii="Times New Roman" w:cs="Times New Roman" w:eastAsia="Times New Roman" w:hAnsi="Times New Roman"/>
                  <w:sz w:val="18"/>
                  <w:szCs w:val="18"/>
                  <w:color w:val="0000EE"/>
                  <w:w w:val="96"/>
                </w:rPr>
                <w:t>115</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60" w:type="dxa"/>
            <w:vAlign w:val="bottom"/>
            <w:gridSpan w:val="4"/>
          </w:tcPr>
          <w:p>
            <w:pPr>
              <w:spacing w:after="0"/>
              <w:rPr>
                <w:rFonts w:ascii="Times New Roman" w:cs="Times New Roman" w:eastAsia="Times New Roman" w:hAnsi="Times New Roman"/>
                <w:sz w:val="18"/>
                <w:szCs w:val="18"/>
                <w:color w:val="0000EE"/>
                <w:w w:val="81"/>
              </w:rPr>
            </w:pPr>
            <w:hyperlink w:anchor="page118">
              <w:r>
                <w:rPr>
                  <w:rFonts w:ascii="Times New Roman" w:cs="Times New Roman" w:eastAsia="Times New Roman" w:hAnsi="Times New Roman"/>
                  <w:sz w:val="18"/>
                  <w:szCs w:val="18"/>
                  <w:color w:val="0000EE"/>
                  <w:w w:val="81"/>
                </w:rPr>
                <w:t>Item 9A.</w:t>
              </w:r>
            </w:hyperlink>
          </w:p>
        </w:tc>
        <w:tc>
          <w:tcPr>
            <w:tcW w:w="400" w:type="dxa"/>
            <w:vAlign w:val="bottom"/>
          </w:tcPr>
          <w:p>
            <w:pPr>
              <w:spacing w:after="0"/>
              <w:rPr>
                <w:sz w:val="21"/>
                <w:szCs w:val="21"/>
                <w:color w:val="auto"/>
              </w:rPr>
            </w:pPr>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Controls and Procedures</w:t>
              </w:r>
            </w:hyperlink>
          </w:p>
        </w:tc>
        <w:tc>
          <w:tcPr>
            <w:tcW w:w="1000" w:type="dxa"/>
            <w:vAlign w:val="bottom"/>
            <w:gridSpan w:val="7"/>
          </w:tcPr>
          <w:p>
            <w:pPr>
              <w:jc w:val="center"/>
              <w:ind w:left="610"/>
              <w:spacing w:after="0"/>
              <w:rPr>
                <w:rFonts w:ascii="Times New Roman" w:cs="Times New Roman" w:eastAsia="Times New Roman" w:hAnsi="Times New Roman"/>
                <w:sz w:val="18"/>
                <w:szCs w:val="18"/>
                <w:color w:val="0000EE"/>
                <w:w w:val="96"/>
              </w:rPr>
            </w:pPr>
            <w:hyperlink w:anchor="page118">
              <w:r>
                <w:rPr>
                  <w:rFonts w:ascii="Times New Roman" w:cs="Times New Roman" w:eastAsia="Times New Roman" w:hAnsi="Times New Roman"/>
                  <w:sz w:val="18"/>
                  <w:szCs w:val="18"/>
                  <w:color w:val="0000EE"/>
                  <w:w w:val="96"/>
                </w:rPr>
                <w:t>115</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60" w:type="dxa"/>
            <w:vAlign w:val="bottom"/>
            <w:gridSpan w:val="4"/>
          </w:tcPr>
          <w:p>
            <w:pPr>
              <w:spacing w:after="0"/>
              <w:rPr>
                <w:rFonts w:ascii="Times New Roman" w:cs="Times New Roman" w:eastAsia="Times New Roman" w:hAnsi="Times New Roman"/>
                <w:sz w:val="18"/>
                <w:szCs w:val="18"/>
                <w:color w:val="0000EE"/>
                <w:w w:val="82"/>
              </w:rPr>
            </w:pPr>
            <w:hyperlink w:anchor="page122">
              <w:r>
                <w:rPr>
                  <w:rFonts w:ascii="Times New Roman" w:cs="Times New Roman" w:eastAsia="Times New Roman" w:hAnsi="Times New Roman"/>
                  <w:sz w:val="18"/>
                  <w:szCs w:val="18"/>
                  <w:color w:val="0000EE"/>
                  <w:w w:val="82"/>
                </w:rPr>
                <w:t>Item 9B.</w:t>
              </w:r>
            </w:hyperlink>
          </w:p>
        </w:tc>
        <w:tc>
          <w:tcPr>
            <w:tcW w:w="400" w:type="dxa"/>
            <w:vAlign w:val="bottom"/>
          </w:tcPr>
          <w:p>
            <w:pPr>
              <w:spacing w:after="0"/>
              <w:rPr>
                <w:sz w:val="21"/>
                <w:szCs w:val="21"/>
                <w:color w:val="auto"/>
              </w:rPr>
            </w:pPr>
          </w:p>
        </w:tc>
        <w:tc>
          <w:tcPr>
            <w:tcW w:w="1700" w:type="dxa"/>
            <w:vAlign w:val="bottom"/>
            <w:gridSpan w:val="7"/>
          </w:tcPr>
          <w:p>
            <w:pPr>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Other Information</w:t>
              </w:r>
            </w:hyperlink>
          </w:p>
        </w:tc>
        <w:tc>
          <w:tcPr>
            <w:tcW w:w="7040" w:type="dxa"/>
            <w:vAlign w:val="bottom"/>
            <w:gridSpan w:val="14"/>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6"/>
          </w:tcPr>
          <w:p>
            <w:pPr>
              <w:jc w:val="center"/>
              <w:ind w:right="20"/>
              <w:spacing w:after="0"/>
              <w:rPr>
                <w:rFonts w:ascii="Times New Roman" w:cs="Times New Roman" w:eastAsia="Times New Roman" w:hAnsi="Times New Roman"/>
                <w:sz w:val="18"/>
                <w:szCs w:val="18"/>
                <w:color w:val="0000EE"/>
                <w:w w:val="96"/>
              </w:rPr>
            </w:pPr>
            <w:hyperlink w:anchor="page122">
              <w:r>
                <w:rPr>
                  <w:rFonts w:ascii="Times New Roman" w:cs="Times New Roman" w:eastAsia="Times New Roman" w:hAnsi="Times New Roman"/>
                  <w:sz w:val="18"/>
                  <w:szCs w:val="18"/>
                  <w:color w:val="0000EE"/>
                  <w:w w:val="96"/>
                </w:rPr>
                <w:t>119</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Times New Roman" w:cs="Times New Roman" w:eastAsia="Times New Roman" w:hAnsi="Times New Roman"/>
                <w:sz w:val="18"/>
                <w:szCs w:val="18"/>
                <w:color w:val="0000EE"/>
                <w:w w:val="93"/>
              </w:rPr>
            </w:pPr>
            <w:hyperlink w:anchor="page122">
              <w:r>
                <w:rPr>
                  <w:rFonts w:ascii="Times New Roman" w:cs="Times New Roman" w:eastAsia="Times New Roman" w:hAnsi="Times New Roman"/>
                  <w:sz w:val="18"/>
                  <w:szCs w:val="18"/>
                  <w:color w:val="0000EE"/>
                  <w:w w:val="93"/>
                </w:rPr>
                <w:t>PART III</w:t>
              </w:r>
            </w:hyperlink>
          </w:p>
        </w:tc>
        <w:tc>
          <w:tcPr>
            <w:tcW w:w="84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6"/>
          </w:tcPr>
          <w:p>
            <w:pPr>
              <w:jc w:val="center"/>
              <w:ind w:right="20"/>
              <w:spacing w:after="0"/>
              <w:rPr>
                <w:rFonts w:ascii="Times New Roman" w:cs="Times New Roman" w:eastAsia="Times New Roman" w:hAnsi="Times New Roman"/>
                <w:sz w:val="18"/>
                <w:szCs w:val="18"/>
                <w:color w:val="0000EE"/>
                <w:w w:val="96"/>
              </w:rPr>
            </w:pPr>
            <w:hyperlink w:anchor="page122">
              <w:r>
                <w:rPr>
                  <w:rFonts w:ascii="Times New Roman" w:cs="Times New Roman" w:eastAsia="Times New Roman" w:hAnsi="Times New Roman"/>
                  <w:sz w:val="18"/>
                  <w:szCs w:val="18"/>
                  <w:color w:val="0000EE"/>
                  <w:w w:val="96"/>
                </w:rPr>
                <w:t>119</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00" w:type="dxa"/>
            <w:vAlign w:val="bottom"/>
            <w:gridSpan w:val="3"/>
          </w:tcPr>
          <w:p>
            <w:pPr>
              <w:spacing w:after="0"/>
              <w:rPr>
                <w:rFonts w:ascii="Times New Roman" w:cs="Times New Roman" w:eastAsia="Times New Roman" w:hAnsi="Times New Roman"/>
                <w:sz w:val="18"/>
                <w:szCs w:val="18"/>
                <w:color w:val="0000EE"/>
                <w:w w:val="76"/>
              </w:rPr>
            </w:pPr>
            <w:hyperlink w:anchor="page122">
              <w:r>
                <w:rPr>
                  <w:rFonts w:ascii="Times New Roman" w:cs="Times New Roman" w:eastAsia="Times New Roman" w:hAnsi="Times New Roman"/>
                  <w:sz w:val="18"/>
                  <w:szCs w:val="18"/>
                  <w:color w:val="0000EE"/>
                  <w:w w:val="76"/>
                </w:rPr>
                <w:t>Item 10.</w:t>
              </w:r>
            </w:hyperlink>
          </w:p>
        </w:tc>
        <w:tc>
          <w:tcPr>
            <w:tcW w:w="460" w:type="dxa"/>
            <w:vAlign w:val="bottom"/>
            <w:gridSpan w:val="2"/>
          </w:tcPr>
          <w:p>
            <w:pPr>
              <w:spacing w:after="0"/>
              <w:rPr>
                <w:sz w:val="21"/>
                <w:szCs w:val="21"/>
                <w:color w:val="auto"/>
              </w:rPr>
            </w:pPr>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Directors, Executive Officers and Corporate Governance</w:t>
              </w:r>
            </w:hyperlink>
          </w:p>
        </w:tc>
        <w:tc>
          <w:tcPr>
            <w:tcW w:w="1000" w:type="dxa"/>
            <w:vAlign w:val="bottom"/>
            <w:gridSpan w:val="7"/>
          </w:tcPr>
          <w:p>
            <w:pPr>
              <w:jc w:val="center"/>
              <w:ind w:left="610"/>
              <w:spacing w:after="0"/>
              <w:rPr>
                <w:rFonts w:ascii="Times New Roman" w:cs="Times New Roman" w:eastAsia="Times New Roman" w:hAnsi="Times New Roman"/>
                <w:sz w:val="18"/>
                <w:szCs w:val="18"/>
                <w:color w:val="0000EE"/>
                <w:w w:val="96"/>
              </w:rPr>
            </w:pPr>
            <w:hyperlink w:anchor="page122">
              <w:r>
                <w:rPr>
                  <w:rFonts w:ascii="Times New Roman" w:cs="Times New Roman" w:eastAsia="Times New Roman" w:hAnsi="Times New Roman"/>
                  <w:sz w:val="18"/>
                  <w:szCs w:val="18"/>
                  <w:color w:val="0000EE"/>
                  <w:w w:val="96"/>
                </w:rPr>
                <w:t>119</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00" w:type="dxa"/>
            <w:vAlign w:val="bottom"/>
            <w:gridSpan w:val="3"/>
          </w:tcPr>
          <w:p>
            <w:pPr>
              <w:spacing w:after="0"/>
              <w:rPr>
                <w:rFonts w:ascii="Times New Roman" w:cs="Times New Roman" w:eastAsia="Times New Roman" w:hAnsi="Times New Roman"/>
                <w:sz w:val="18"/>
                <w:szCs w:val="18"/>
                <w:color w:val="0000EE"/>
                <w:w w:val="76"/>
              </w:rPr>
            </w:pPr>
            <w:hyperlink w:anchor="page123">
              <w:r>
                <w:rPr>
                  <w:rFonts w:ascii="Times New Roman" w:cs="Times New Roman" w:eastAsia="Times New Roman" w:hAnsi="Times New Roman"/>
                  <w:sz w:val="18"/>
                  <w:szCs w:val="18"/>
                  <w:color w:val="0000EE"/>
                  <w:w w:val="76"/>
                </w:rPr>
                <w:t>Item 11.</w:t>
              </w:r>
            </w:hyperlink>
          </w:p>
        </w:tc>
        <w:tc>
          <w:tcPr>
            <w:tcW w:w="460" w:type="dxa"/>
            <w:vAlign w:val="bottom"/>
            <w:gridSpan w:val="2"/>
          </w:tcPr>
          <w:p>
            <w:pPr>
              <w:spacing w:after="0"/>
              <w:rPr>
                <w:sz w:val="21"/>
                <w:szCs w:val="21"/>
                <w:color w:val="auto"/>
              </w:rPr>
            </w:pPr>
          </w:p>
        </w:tc>
        <w:tc>
          <w:tcPr>
            <w:tcW w:w="4080" w:type="dxa"/>
            <w:vAlign w:val="bottom"/>
            <w:gridSpan w:val="14"/>
          </w:tcPr>
          <w:p>
            <w:pP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Executive Compensation</w:t>
              </w:r>
            </w:hyperlink>
          </w:p>
        </w:tc>
        <w:tc>
          <w:tcPr>
            <w:tcW w:w="4660" w:type="dxa"/>
            <w:vAlign w:val="bottom"/>
            <w:gridSpan w:val="7"/>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gridSpan w:val="7"/>
          </w:tcPr>
          <w:p>
            <w:pPr>
              <w:jc w:val="center"/>
              <w:ind w:right="40"/>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120</w:t>
              </w:r>
            </w:hyperlink>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60" w:type="dxa"/>
            <w:vAlign w:val="bottom"/>
            <w:gridSpan w:val="4"/>
          </w:tcPr>
          <w:p>
            <w:pPr>
              <w:spacing w:after="0"/>
              <w:rPr>
                <w:rFonts w:ascii="Times New Roman" w:cs="Times New Roman" w:eastAsia="Times New Roman" w:hAnsi="Times New Roman"/>
                <w:sz w:val="18"/>
                <w:szCs w:val="18"/>
                <w:color w:val="0000EE"/>
                <w:w w:val="86"/>
              </w:rPr>
            </w:pPr>
            <w:hyperlink w:anchor="page123">
              <w:r>
                <w:rPr>
                  <w:rFonts w:ascii="Times New Roman" w:cs="Times New Roman" w:eastAsia="Times New Roman" w:hAnsi="Times New Roman"/>
                  <w:sz w:val="18"/>
                  <w:szCs w:val="18"/>
                  <w:color w:val="0000EE"/>
                  <w:w w:val="86"/>
                </w:rPr>
                <w:t>Item 12.</w:t>
              </w:r>
            </w:hyperlink>
          </w:p>
        </w:tc>
        <w:tc>
          <w:tcPr>
            <w:tcW w:w="400" w:type="dxa"/>
            <w:vAlign w:val="bottom"/>
          </w:tcPr>
          <w:p>
            <w:pPr>
              <w:spacing w:after="0"/>
              <w:rPr>
                <w:sz w:val="21"/>
                <w:szCs w:val="21"/>
                <w:color w:val="auto"/>
              </w:rPr>
            </w:pPr>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040" w:type="dxa"/>
            <w:vAlign w:val="bottom"/>
            <w:gridSpan w:val="8"/>
          </w:tcPr>
          <w:p>
            <w:pPr>
              <w:jc w:val="center"/>
              <w:ind w:left="590"/>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120</w:t>
              </w:r>
            </w:hyperlink>
          </w:p>
        </w:tc>
      </w:tr>
      <w:tr>
        <w:trPr>
          <w:trHeight w:val="250"/>
        </w:trPr>
        <w:tc>
          <w:tcPr>
            <w:tcW w:w="540" w:type="dxa"/>
            <w:vAlign w:val="bottom"/>
          </w:tcPr>
          <w:p>
            <w:pPr>
              <w:spacing w:after="0"/>
              <w:rPr>
                <w:sz w:val="21"/>
                <w:szCs w:val="21"/>
                <w:color w:val="auto"/>
              </w:rPr>
            </w:pPr>
          </w:p>
        </w:tc>
        <w:tc>
          <w:tcPr>
            <w:tcW w:w="560" w:type="dxa"/>
            <w:vAlign w:val="bottom"/>
            <w:tcBorders>
              <w:top w:val="single" w:sz="8" w:color="0000EE"/>
            </w:tcBorders>
            <w:gridSpan w:val="4"/>
          </w:tcPr>
          <w:p>
            <w:pPr>
              <w:spacing w:after="0"/>
              <w:rPr>
                <w:rFonts w:ascii="Times New Roman" w:cs="Times New Roman" w:eastAsia="Times New Roman" w:hAnsi="Times New Roman"/>
                <w:sz w:val="18"/>
                <w:szCs w:val="18"/>
                <w:color w:val="0000EE"/>
                <w:w w:val="86"/>
              </w:rPr>
            </w:pPr>
            <w:hyperlink w:anchor="page123">
              <w:r>
                <w:rPr>
                  <w:rFonts w:ascii="Times New Roman" w:cs="Times New Roman" w:eastAsia="Times New Roman" w:hAnsi="Times New Roman"/>
                  <w:sz w:val="18"/>
                  <w:szCs w:val="18"/>
                  <w:color w:val="0000EE"/>
                  <w:w w:val="86"/>
                </w:rPr>
                <w:t>Item 13.</w:t>
              </w:r>
            </w:hyperlink>
          </w:p>
        </w:tc>
        <w:tc>
          <w:tcPr>
            <w:tcW w:w="400" w:type="dxa"/>
            <w:vAlign w:val="bottom"/>
          </w:tcPr>
          <w:p>
            <w:pPr>
              <w:spacing w:after="0"/>
              <w:rPr>
                <w:sz w:val="21"/>
                <w:szCs w:val="21"/>
                <w:color w:val="auto"/>
              </w:rPr>
            </w:pPr>
          </w:p>
        </w:tc>
        <w:tc>
          <w:tcPr>
            <w:tcW w:w="728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Certain Relationships and Related Transactions and Director Independence</w:t>
              </w:r>
            </w:hyperlink>
          </w:p>
        </w:tc>
        <w:tc>
          <w:tcPr>
            <w:tcW w:w="146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EE"/>
            </w:tcBorders>
            <w:gridSpan w:val="6"/>
          </w:tcPr>
          <w:p>
            <w:pPr>
              <w:jc w:val="cente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120</w:t>
              </w:r>
            </w:hyperlink>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560" w:type="dxa"/>
            <w:vAlign w:val="bottom"/>
            <w:tcBorders>
              <w:top w:val="single" w:sz="8" w:color="0000EE"/>
            </w:tcBorders>
            <w:gridSpan w:val="4"/>
          </w:tcPr>
          <w:p>
            <w:pPr>
              <w:spacing w:after="0"/>
              <w:rPr>
                <w:rFonts w:ascii="Times New Roman" w:cs="Times New Roman" w:eastAsia="Times New Roman" w:hAnsi="Times New Roman"/>
                <w:sz w:val="18"/>
                <w:szCs w:val="18"/>
                <w:color w:val="0000EE"/>
                <w:w w:val="86"/>
              </w:rPr>
            </w:pPr>
            <w:hyperlink w:anchor="page123">
              <w:r>
                <w:rPr>
                  <w:rFonts w:ascii="Times New Roman" w:cs="Times New Roman" w:eastAsia="Times New Roman" w:hAnsi="Times New Roman"/>
                  <w:sz w:val="18"/>
                  <w:szCs w:val="18"/>
                  <w:color w:val="0000EE"/>
                  <w:w w:val="86"/>
                </w:rPr>
                <w:t>Item 14.</w:t>
              </w:r>
            </w:hyperlink>
          </w:p>
        </w:tc>
        <w:tc>
          <w:tcPr>
            <w:tcW w:w="400" w:type="dxa"/>
            <w:vAlign w:val="bottom"/>
          </w:tcPr>
          <w:p>
            <w:pPr>
              <w:spacing w:after="0"/>
              <w:rPr>
                <w:sz w:val="21"/>
                <w:szCs w:val="21"/>
                <w:color w:val="auto"/>
              </w:rPr>
            </w:pPr>
          </w:p>
        </w:tc>
        <w:tc>
          <w:tcPr>
            <w:tcW w:w="540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Principal Accountant Fees and Services</w:t>
              </w:r>
            </w:hyperlink>
          </w:p>
        </w:tc>
        <w:tc>
          <w:tcPr>
            <w:tcW w:w="3340" w:type="dxa"/>
            <w:vAlign w:val="bottom"/>
            <w:gridSpan w:val="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EE"/>
            </w:tcBorders>
            <w:gridSpan w:val="6"/>
          </w:tcPr>
          <w:p>
            <w:pPr>
              <w:jc w:val="cente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120</w:t>
              </w:r>
            </w:hyperlink>
          </w:p>
        </w:tc>
        <w:tc>
          <w:tcPr>
            <w:tcW w:w="40" w:type="dxa"/>
            <w:vAlign w:val="bottom"/>
          </w:tcPr>
          <w:p>
            <w:pPr>
              <w:spacing w:after="0"/>
              <w:rPr>
                <w:sz w:val="21"/>
                <w:szCs w:val="2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00" w:type="dxa"/>
            <w:vAlign w:val="bottom"/>
            <w:gridSpan w:val="6"/>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PART IV</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8"/>
          </w:tcPr>
          <w:p>
            <w:pPr>
              <w:jc w:val="center"/>
              <w:ind w:left="590"/>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121</w:t>
              </w:r>
            </w:hyperlink>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86"/>
              </w:rPr>
            </w:pPr>
            <w:hyperlink w:anchor="page124">
              <w:r>
                <w:rPr>
                  <w:rFonts w:ascii="Times New Roman" w:cs="Times New Roman" w:eastAsia="Times New Roman" w:hAnsi="Times New Roman"/>
                  <w:sz w:val="18"/>
                  <w:szCs w:val="18"/>
                  <w:color w:val="0000EE"/>
                  <w:w w:val="86"/>
                </w:rPr>
                <w:t>Item 15.</w:t>
              </w:r>
            </w:hyperlink>
          </w:p>
        </w:tc>
        <w:tc>
          <w:tcPr>
            <w:tcW w:w="400" w:type="dxa"/>
            <w:vAlign w:val="bottom"/>
          </w:tcPr>
          <w:p>
            <w:pPr>
              <w:spacing w:after="0"/>
              <w:rPr>
                <w:sz w:val="21"/>
                <w:szCs w:val="21"/>
                <w:color w:val="auto"/>
              </w:rPr>
            </w:pPr>
          </w:p>
        </w:tc>
        <w:tc>
          <w:tcPr>
            <w:tcW w:w="31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Exhibits and Financial Statement Schedules</w:t>
              </w:r>
            </w:hyperlink>
          </w:p>
        </w:tc>
        <w:tc>
          <w:tcPr>
            <w:tcW w:w="5580" w:type="dxa"/>
            <w:vAlign w:val="bottom"/>
            <w:gridSpan w:val="10"/>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bottom w:val="single" w:sz="8" w:color="0000EE"/>
            </w:tcBorders>
            <w:gridSpan w:val="6"/>
          </w:tcPr>
          <w:p>
            <w:pPr>
              <w:jc w:val="cente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121</w:t>
              </w:r>
            </w:hyperlink>
          </w:p>
        </w:tc>
        <w:tc>
          <w:tcPr>
            <w:tcW w:w="4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960" w:type="dxa"/>
            <w:vAlign w:val="bottom"/>
            <w:gridSpan w:val="5"/>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Item 16.</w:t>
              </w:r>
            </w:hyperlink>
          </w:p>
        </w:tc>
        <w:tc>
          <w:tcPr>
            <w:tcW w:w="8740" w:type="dxa"/>
            <w:vAlign w:val="bottom"/>
            <w:gridSpan w:val="21"/>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Form 10-K Summary</w:t>
              </w:r>
            </w:hyperlink>
          </w:p>
        </w:tc>
        <w:tc>
          <w:tcPr>
            <w:tcW w:w="1040" w:type="dxa"/>
            <w:vAlign w:val="bottom"/>
            <w:gridSpan w:val="8"/>
          </w:tcPr>
          <w:p>
            <w:pPr>
              <w:jc w:val="center"/>
              <w:ind w:left="590"/>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125</w:t>
              </w:r>
            </w:hyperlink>
          </w:p>
        </w:tc>
      </w:tr>
      <w:tr>
        <w:trPr>
          <w:trHeight w:val="250"/>
        </w:trPr>
        <w:tc>
          <w:tcPr>
            <w:tcW w:w="540" w:type="dxa"/>
            <w:vAlign w:val="bottom"/>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29">
              <w:r>
                <w:rPr>
                  <w:rFonts w:ascii="Times New Roman" w:cs="Times New Roman" w:eastAsia="Times New Roman" w:hAnsi="Times New Roman"/>
                  <w:sz w:val="18"/>
                  <w:szCs w:val="18"/>
                  <w:color w:val="0000EE"/>
                  <w:w w:val="97"/>
                </w:rPr>
                <w:t>Signatures</w:t>
              </w:r>
            </w:hyperlink>
          </w:p>
        </w:tc>
        <w:tc>
          <w:tcPr>
            <w:tcW w:w="780" w:type="dxa"/>
            <w:vAlign w:val="bottom"/>
            <w:tcBorders>
              <w:top w:val="single" w:sz="8" w:color="0000EE"/>
            </w:tcBorders>
            <w:gridSpan w:val="3"/>
          </w:tcPr>
          <w:p>
            <w:pPr>
              <w:spacing w:after="0"/>
              <w:rPr>
                <w:sz w:val="21"/>
                <w:szCs w:val="21"/>
                <w:color w:val="auto"/>
              </w:rPr>
            </w:pPr>
          </w:p>
        </w:tc>
        <w:tc>
          <w:tcPr>
            <w:tcW w:w="7200" w:type="dxa"/>
            <w:vAlign w:val="bottom"/>
            <w:gridSpan w:val="15"/>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6"/>
          </w:tcPr>
          <w:p>
            <w:pPr>
              <w:jc w:val="center"/>
              <w:spacing w:after="0"/>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126</w:t>
              </w:r>
            </w:hyperlink>
          </w:p>
        </w:tc>
        <w:tc>
          <w:tcPr>
            <w:tcW w:w="40" w:type="dxa"/>
            <w:vAlign w:val="bottom"/>
          </w:tcPr>
          <w:p>
            <w:pPr>
              <w:spacing w:after="0"/>
              <w:rPr>
                <w:sz w:val="21"/>
                <w:szCs w:val="21"/>
                <w:color w:val="auto"/>
              </w:rPr>
            </w:pPr>
          </w:p>
        </w:tc>
      </w:tr>
    </w:tbl>
    <w:p>
      <w:pPr>
        <w:sectPr>
          <w:pgSz w:w="11900" w:h="16838" w:orient="portrait"/>
          <w:cols w:equalWidth="0" w:num="1">
            <w:col w:w="11280"/>
          </w:cols>
          <w:pgMar w:left="280" w:top="383"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in Part I. Item 1A. “Risk Factors” and elsewhere in this Form 10-K and those described from time to time in our future reports filed with the Securities and Exchange Commission (the “SEC”).</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Vision Holdings, Inc., a Delaware corporation, and its consolidated subsidiaries are referred to here as “we,” “our,” “us,” “the Company,” or “National Vision.” National Vision Holdings, Inc. conducts substantially all of its activities through its direct, wholly-owned subsidiary, National Vision, Inc. (“NVI”), and NVI’s subsidiaries.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u w:val="single" w:color="auto"/>
          <w:color w:val="0563C1"/>
        </w:rPr>
        <w:t>www.nationalvision.com</w:t>
      </w:r>
      <w:r>
        <w:rPr>
          <w:rFonts w:ascii="Times New Roman" w:cs="Times New Roman" w:eastAsia="Times New Roman" w:hAnsi="Times New Roman"/>
          <w:sz w:val="18"/>
          <w:szCs w:val="18"/>
          <w:color w:val="auto"/>
        </w:rPr>
        <w:t>. Investors can obtain copies of our SEC filings from this site free of charge, as well as from the SEC website at www.sec.gov. The information posted to our website is not incorporated into this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1,082 retail stores across five brands and 19 consumer websites as of December 29, 2018, our 2018 fiscal year end.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its predecessors, NVI commenced operations in 1990. In 2005, private equity funds managed by Berkshire Partners LLC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(“AC Lens”) to bolster its e-commerce platform.</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2014, NVI was acquired (the “KKR Acquisition”) by affiliates of KKR &amp; Co. Inc. (“KKR Sponsor” or “KKR”). National Vision Holdings, Inc. was incorporated in Delaware on February 14, 2014 under the name “Nautilus Parent, Inc.” and NVI became our wholly-owned subsidiary in connection with the KKR Acquisition. In 2017, we changed our name to “National Vision Holdings, Inc.”</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2017, we completed the initial public offering of our common stock (the “IPO”). Our common stock trades on the NASDAQ Global Select Market (“NASDAQ”) under the symbol “EYE.” National Vision was controlled by affiliates of KKR Sponsor and private equity funds managed by Berkshire until July 30, 2018. KKR Sponsor and Berkshire are collectively referred to herein as the “Sponsors.” Our principal executive offices are located at 2435 Commerce Avenue, Bldg. 2200, Duluth, Georgia 30096.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54610</wp:posOffset>
            </wp:positionV>
            <wp:extent cx="5351145" cy="236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114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Note: Represents stores in operations across all five company retail brands at the end of each fiscal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fundamentals of our model are described below:</w:t>
      </w:r>
    </w:p>
    <w:p>
      <w:pPr>
        <w:spacing w:after="0" w:line="113" w:lineRule="exact"/>
        <w:rPr>
          <w:sz w:val="20"/>
          <w:szCs w:val="20"/>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Differentiated and Defensible Value Proposition</w:t>
      </w:r>
      <w:r>
        <w:rPr>
          <w:rFonts w:ascii="Times New Roman" w:cs="Times New Roman" w:eastAsia="Times New Roman" w:hAnsi="Times New Roman"/>
          <w:sz w:val="18"/>
          <w:szCs w:val="18"/>
          <w:color w:val="auto"/>
        </w:rPr>
        <w:t>. We believe our success is driven by our low prices, convenient locations, broad assortment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 at Eyeglass World, represent among the lowest price offerings of any national chain. Our ability to utilize national advertising for America’s Best allows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Recurring Revenue Characteristics</w:t>
      </w:r>
      <w:r>
        <w:rPr>
          <w:rFonts w:ascii="Times New Roman" w:cs="Times New Roman" w:eastAsia="Times New Roman" w:hAnsi="Times New Roman"/>
          <w:sz w:val="18"/>
          <w:szCs w:val="18"/>
          <w:color w:val="auto"/>
        </w:rPr>
        <w:t>. Eye care purchases are predominantly a medical necessity and are therefore considered non-discretionary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64% of total customers in 2018 and new customers representing the remaining 36% of total customers in 2018.</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Attractive Store Economics</w:t>
      </w:r>
      <w:r>
        <w:rPr>
          <w:rFonts w:ascii="Times New Roman" w:cs="Times New Roman" w:eastAsia="Times New Roman" w:hAnsi="Times New Roman"/>
          <w:sz w:val="18"/>
          <w:szCs w:val="18"/>
          <w:color w:val="auto"/>
        </w:rPr>
        <w:t>. Since 2006, we have opened 640 stores in the aggregate, including 615 stores under our America’s Best and Eyeglass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 retail brands. Our store economics are based on low capital investment, steady ramping of sales in new locations, low operating costs and consistent sales volume and earnings growth in mature stores, which result in attractive returns on capital. The majority of our owned stores have achieved profitability during the second year of operation and, have paid back invested capital in three to five years. By consistently replicating the key characteristics of our store model, we execute a formula-based approach to opening new stores and managing existing stores, which has delivered predictable store performance across vintages, diverse geographies and new and existing markets.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 and Philanthropic Efforts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mission is to help people by making quality eye care and eyewear more affordable and accessible. Our financial success has helped fuel our ever-growing philanthropic engine. Through multiple charitable partnerships with organizations such as VisionSpring, RestoringVision and Vosh International, we have directly assisted approximately one million individuals to see and have indirectly helped improve the vision of millions of individuals globally. In addition, through our partnership with the Boys &amp; Girls Clubs of America, we provide free vision screenings, eye exams and eyeglasses to thousands of young Americans. We also work diligently to help a portion of the world’s population who live with uncorrected vision problems. Our philanthropic culture instills a sense of purpose and engagement in our associates, from in-store staff to senior management. Our associates feel pride in the positive work they are doing, which allows us to attract and retain both store associates and vision care professionals, thus improving the customer experience in our stores. In addition, our mission has been essential to the formation and retention of our cohesive management team, whose extensive experience is a key component of our business success.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well positioned to serve our new and existing customers through a diverse portfolio of 1,082 retail stores across five brands and 19 consumer websites as of December 29, 2018.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select military bases across the country. Our legacy segment consists of our 28-year strategic relationship with Walmart to operate Vision Centers in select Walmart stores. In addition, our wholly-owned subsidiary, FirstSight Vision Services, Inc. (“FirstSight”), which is licensed as a single-service health plan under California law, issues individual vision care benefit plans in connection with our America’s Best operations in California and arranges for the provision of optometric services at optometric offices next to certain Walmart stores throughout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 of Our Brands and Omni-channel &amp; E-commerce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3095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956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940"/>
        <w:spacing w:after="0"/>
        <w:tabs>
          <w:tab w:leader="none" w:pos="10060" w:val="left"/>
        </w:tabs>
        <w:rPr>
          <w:sz w:val="20"/>
          <w:szCs w:val="20"/>
          <w:color w:val="auto"/>
        </w:rPr>
      </w:pPr>
      <w:r>
        <w:rPr>
          <w:rFonts w:ascii="Arial" w:cs="Arial" w:eastAsia="Arial" w:hAnsi="Arial"/>
          <w:sz w:val="15"/>
          <w:szCs w:val="15"/>
          <w:b w:val="1"/>
          <w:bCs w:val="1"/>
          <w:color w:val="auto"/>
        </w:rPr>
        <w:t>Owned &amp; Host Brands</w:t>
      </w:r>
      <w:r>
        <w:rPr>
          <w:sz w:val="20"/>
          <w:szCs w:val="20"/>
          <w:color w:val="auto"/>
        </w:rPr>
        <w:tab/>
      </w:r>
      <w:r>
        <w:rPr>
          <w:rFonts w:ascii="Arial" w:cs="Arial" w:eastAsia="Arial" w:hAnsi="Arial"/>
          <w:sz w:val="15"/>
          <w:szCs w:val="15"/>
          <w:b w:val="1"/>
          <w:bCs w:val="1"/>
          <w:color w:val="auto"/>
        </w:rPr>
        <w:t>Legacy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59690</wp:posOffset>
            </wp:positionV>
            <wp:extent cx="672338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3257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59690</wp:posOffset>
            </wp:positionV>
            <wp:extent cx="672338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33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1720" w:type="dxa"/>
            <w:vAlign w:val="bottom"/>
            <w:tcBorders>
              <w:bottom w:val="single" w:sz="8" w:color="CCEEFF"/>
            </w:tcBorders>
            <w:shd w:val="clear" w:color="auto" w:fill="CCEEFF"/>
          </w:tcPr>
          <w:p>
            <w:pPr>
              <w:jc w:val="center"/>
              <w:ind w:left="535"/>
              <w:spacing w:after="0"/>
              <w:rPr>
                <w:sz w:val="20"/>
                <w:szCs w:val="20"/>
                <w:color w:val="auto"/>
              </w:rPr>
            </w:pPr>
            <w:r>
              <w:rPr>
                <w:rFonts w:ascii="Times New Roman" w:cs="Times New Roman" w:eastAsia="Times New Roman" w:hAnsi="Times New Roman"/>
                <w:sz w:val="15"/>
                <w:szCs w:val="15"/>
                <w:b w:val="1"/>
                <w:bCs w:val="1"/>
                <w:color w:val="auto"/>
              </w:rPr>
              <w:t>Lowest Price</w:t>
            </w:r>
          </w:p>
        </w:tc>
        <w:tc>
          <w:tcPr>
            <w:tcW w:w="2860" w:type="dxa"/>
            <w:vAlign w:val="bottom"/>
            <w:tcBorders>
              <w:bottom w:val="single" w:sz="8" w:color="CCEEFF"/>
            </w:tcBorders>
            <w:shd w:val="clear" w:color="auto" w:fill="CCEEFF"/>
          </w:tcPr>
          <w:p>
            <w:pPr>
              <w:jc w:val="center"/>
              <w:ind w:left="509"/>
              <w:spacing w:after="0"/>
              <w:rPr>
                <w:sz w:val="20"/>
                <w:szCs w:val="20"/>
                <w:color w:val="auto"/>
              </w:rPr>
            </w:pPr>
            <w:r>
              <w:rPr>
                <w:rFonts w:ascii="Times New Roman" w:cs="Times New Roman" w:eastAsia="Times New Roman" w:hAnsi="Times New Roman"/>
                <w:sz w:val="15"/>
                <w:szCs w:val="15"/>
                <w:b w:val="1"/>
                <w:bCs w:val="1"/>
                <w:color w:val="auto"/>
              </w:rPr>
              <w:t>Eyewear Value Superstore</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Shop-Within-A-Shop</w:t>
            </w:r>
          </w:p>
        </w:tc>
        <w:tc>
          <w:tcPr>
            <w:tcW w:w="2200" w:type="dxa"/>
            <w:vAlign w:val="bottom"/>
            <w:tcBorders>
              <w:bottom w:val="single" w:sz="8" w:color="CCEEFF"/>
            </w:tcBorders>
            <w:shd w:val="clear" w:color="auto" w:fill="CCEEFF"/>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Commissary Store</w:t>
            </w:r>
          </w:p>
        </w:tc>
        <w:tc>
          <w:tcPr>
            <w:tcW w:w="1940" w:type="dxa"/>
            <w:vAlign w:val="bottom"/>
            <w:tcBorders>
              <w:bottom w:val="single" w:sz="8" w:color="D4D6D7"/>
            </w:tcBorders>
            <w:shd w:val="clear" w:color="auto" w:fill="D4D6D7"/>
          </w:tcPr>
          <w:p>
            <w:pPr>
              <w:jc w:val="center"/>
              <w:spacing w:after="0"/>
              <w:rPr>
                <w:sz w:val="20"/>
                <w:szCs w:val="20"/>
                <w:color w:val="auto"/>
              </w:rPr>
            </w:pPr>
            <w:r>
              <w:rPr>
                <w:rFonts w:ascii="Times New Roman" w:cs="Times New Roman" w:eastAsia="Times New Roman" w:hAnsi="Times New Roman"/>
                <w:sz w:val="15"/>
                <w:szCs w:val="15"/>
                <w:b w:val="1"/>
                <w:bCs w:val="1"/>
                <w:color w:val="auto"/>
              </w:rPr>
              <w:t>Shop-Within-A-Shop</w:t>
            </w:r>
          </w:p>
        </w:tc>
      </w:tr>
      <w:tr>
        <w:trPr>
          <w:trHeight w:val="403"/>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80" w:type="dxa"/>
            <w:vAlign w:val="bottom"/>
          </w:tcPr>
          <w:p>
            <w:pPr>
              <w:jc w:val="center"/>
              <w:ind w:right="14"/>
              <w:spacing w:after="0"/>
              <w:rPr>
                <w:sz w:val="20"/>
                <w:szCs w:val="20"/>
                <w:color w:val="auto"/>
              </w:rPr>
            </w:pPr>
            <w:r>
              <w:rPr>
                <w:rFonts w:ascii="Times New Roman" w:cs="Times New Roman" w:eastAsia="Times New Roman" w:hAnsi="Times New Roman"/>
                <w:sz w:val="13"/>
                <w:szCs w:val="13"/>
                <w:i w:val="1"/>
                <w:iCs w:val="1"/>
                <w:color w:val="auto"/>
                <w:w w:val="95"/>
              </w:rPr>
              <w:t>“Great Deals Everywhere You Look”</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13"/>
                <w:szCs w:val="13"/>
                <w:i w:val="1"/>
                <w:iCs w:val="1"/>
                <w:color w:val="auto"/>
                <w:w w:val="97"/>
              </w:rPr>
              <w:t>“Fantastic Military Pricing”</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“Everyday Low Price”</w:t>
            </w:r>
          </w:p>
        </w:tc>
      </w:tr>
      <w:tr>
        <w:trPr>
          <w:trHeight w:val="365"/>
        </w:trPr>
        <w:tc>
          <w:tcPr>
            <w:tcW w:w="1720" w:type="dxa"/>
            <w:vAlign w:val="bottom"/>
          </w:tcPr>
          <w:p>
            <w:pPr>
              <w:jc w:val="center"/>
              <w:ind w:left="515"/>
              <w:spacing w:after="0"/>
              <w:rPr>
                <w:sz w:val="20"/>
                <w:szCs w:val="20"/>
                <w:color w:val="auto"/>
              </w:rPr>
            </w:pPr>
            <w:r>
              <w:rPr>
                <w:rFonts w:ascii="Times New Roman" w:cs="Times New Roman" w:eastAsia="Times New Roman" w:hAnsi="Times New Roman"/>
                <w:sz w:val="13"/>
                <w:szCs w:val="13"/>
                <w:b w:val="1"/>
                <w:bCs w:val="1"/>
                <w:color w:val="auto"/>
                <w:w w:val="97"/>
              </w:rPr>
              <w:t>Employed ODs</w:t>
            </w:r>
          </w:p>
        </w:tc>
        <w:tc>
          <w:tcPr>
            <w:tcW w:w="2860" w:type="dxa"/>
            <w:vAlign w:val="bottom"/>
          </w:tcPr>
          <w:p>
            <w:pPr>
              <w:jc w:val="center"/>
              <w:ind w:left="529"/>
              <w:spacing w:after="0"/>
              <w:rPr>
                <w:sz w:val="20"/>
                <w:szCs w:val="20"/>
                <w:color w:val="auto"/>
              </w:rPr>
            </w:pPr>
            <w:r>
              <w:rPr>
                <w:rFonts w:ascii="Times New Roman" w:cs="Times New Roman" w:eastAsia="Times New Roman" w:hAnsi="Times New Roman"/>
                <w:sz w:val="13"/>
                <w:szCs w:val="13"/>
                <w:b w:val="1"/>
                <w:bCs w:val="1"/>
                <w:color w:val="auto"/>
                <w:w w:val="96"/>
              </w:rPr>
              <w:t>Mostly Independent ODs</w:t>
            </w:r>
          </w:p>
        </w:tc>
        <w:tc>
          <w:tcPr>
            <w:tcW w:w="24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7"/>
              </w:rPr>
              <w:t>Mostly Independent ODs</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7"/>
              </w:rPr>
              <w:t>Mostly Independent ODs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Mostly Independent ODs</w:t>
            </w:r>
          </w:p>
        </w:tc>
      </w:tr>
      <w:tr>
        <w:trPr>
          <w:trHeight w:val="270"/>
        </w:trPr>
        <w:tc>
          <w:tcPr>
            <w:tcW w:w="1720" w:type="dxa"/>
            <w:vAlign w:val="bottom"/>
          </w:tcPr>
          <w:p>
            <w:pPr>
              <w:jc w:val="center"/>
              <w:ind w:left="515"/>
              <w:spacing w:after="0"/>
              <w:rPr>
                <w:sz w:val="20"/>
                <w:szCs w:val="20"/>
                <w:color w:val="auto"/>
              </w:rPr>
            </w:pPr>
            <w:r>
              <w:rPr>
                <w:rFonts w:ascii="Times New Roman" w:cs="Times New Roman" w:eastAsia="Times New Roman" w:hAnsi="Times New Roman"/>
                <w:sz w:val="13"/>
                <w:szCs w:val="13"/>
                <w:color w:val="auto"/>
                <w:w w:val="97"/>
              </w:rPr>
              <w:t>657 Stores</w:t>
            </w:r>
          </w:p>
        </w:tc>
        <w:tc>
          <w:tcPr>
            <w:tcW w:w="2860" w:type="dxa"/>
            <w:vAlign w:val="bottom"/>
          </w:tcPr>
          <w:p>
            <w:pPr>
              <w:jc w:val="center"/>
              <w:ind w:left="529"/>
              <w:spacing w:after="0"/>
              <w:rPr>
                <w:sz w:val="20"/>
                <w:szCs w:val="20"/>
                <w:color w:val="auto"/>
              </w:rPr>
            </w:pPr>
            <w:r>
              <w:rPr>
                <w:rFonts w:ascii="Times New Roman" w:cs="Times New Roman" w:eastAsia="Times New Roman" w:hAnsi="Times New Roman"/>
                <w:sz w:val="13"/>
                <w:szCs w:val="13"/>
                <w:color w:val="auto"/>
                <w:w w:val="97"/>
              </w:rPr>
              <w:t>115 Stores</w:t>
            </w:r>
          </w:p>
        </w:tc>
        <w:tc>
          <w:tcPr>
            <w:tcW w:w="24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8"/>
              </w:rPr>
              <w:t>29 Stores</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8"/>
              </w:rPr>
              <w:t>54 Stores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227 Stores</w:t>
            </w:r>
          </w:p>
        </w:tc>
      </w:tr>
      <w:tr>
        <w:trPr>
          <w:trHeight w:val="270"/>
        </w:trPr>
        <w:tc>
          <w:tcPr>
            <w:tcW w:w="1720" w:type="dxa"/>
            <w:vAlign w:val="bottom"/>
          </w:tcPr>
          <w:p>
            <w:pPr>
              <w:jc w:val="center"/>
              <w:ind w:left="535"/>
              <w:spacing w:after="0"/>
              <w:rPr>
                <w:sz w:val="20"/>
                <w:szCs w:val="20"/>
                <w:color w:val="auto"/>
              </w:rPr>
            </w:pPr>
            <w:r>
              <w:rPr>
                <w:rFonts w:ascii="Times New Roman" w:cs="Times New Roman" w:eastAsia="Times New Roman" w:hAnsi="Times New Roman"/>
                <w:sz w:val="13"/>
                <w:szCs w:val="13"/>
                <w:color w:val="auto"/>
                <w:w w:val="98"/>
              </w:rPr>
              <w:t>~3,500 sq. ft.</w:t>
            </w:r>
          </w:p>
        </w:tc>
        <w:tc>
          <w:tcPr>
            <w:tcW w:w="2860" w:type="dxa"/>
            <w:vAlign w:val="bottom"/>
          </w:tcPr>
          <w:p>
            <w:pPr>
              <w:jc w:val="center"/>
              <w:ind w:left="529"/>
              <w:spacing w:after="0"/>
              <w:rPr>
                <w:sz w:val="20"/>
                <w:szCs w:val="20"/>
                <w:color w:val="auto"/>
              </w:rPr>
            </w:pPr>
            <w:r>
              <w:rPr>
                <w:rFonts w:ascii="Times New Roman" w:cs="Times New Roman" w:eastAsia="Times New Roman" w:hAnsi="Times New Roman"/>
                <w:sz w:val="13"/>
                <w:szCs w:val="13"/>
                <w:color w:val="auto"/>
                <w:w w:val="95"/>
              </w:rPr>
              <w:t>~4,500 sq. ft.</w:t>
            </w:r>
          </w:p>
        </w:tc>
        <w:tc>
          <w:tcPr>
            <w:tcW w:w="24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4"/>
              </w:rPr>
              <w:t>~800 sq. ft.</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8"/>
              </w:rPr>
              <w:t>~1,000 sq. ft.</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~1,800 sq. ft.</w:t>
            </w:r>
          </w:p>
        </w:tc>
      </w:tr>
      <w:tr>
        <w:trPr>
          <w:trHeight w:val="270"/>
        </w:trPr>
        <w:tc>
          <w:tcPr>
            <w:tcW w:w="1720" w:type="dxa"/>
            <w:vAlign w:val="bottom"/>
          </w:tcPr>
          <w:p>
            <w:pPr>
              <w:jc w:val="center"/>
              <w:ind w:left="535"/>
              <w:spacing w:after="0"/>
              <w:rPr>
                <w:sz w:val="20"/>
                <w:szCs w:val="20"/>
                <w:color w:val="auto"/>
              </w:rPr>
            </w:pPr>
            <w:r>
              <w:rPr>
                <w:rFonts w:ascii="Times New Roman" w:cs="Times New Roman" w:eastAsia="Times New Roman" w:hAnsi="Times New Roman"/>
                <w:sz w:val="13"/>
                <w:szCs w:val="13"/>
                <w:color w:val="auto"/>
                <w:w w:val="96"/>
              </w:rPr>
              <w:t>~1,320 SKUs</w:t>
            </w:r>
          </w:p>
        </w:tc>
        <w:tc>
          <w:tcPr>
            <w:tcW w:w="2860" w:type="dxa"/>
            <w:vAlign w:val="bottom"/>
          </w:tcPr>
          <w:p>
            <w:pPr>
              <w:jc w:val="center"/>
              <w:ind w:left="509"/>
              <w:spacing w:after="0"/>
              <w:rPr>
                <w:sz w:val="20"/>
                <w:szCs w:val="20"/>
                <w:color w:val="auto"/>
              </w:rPr>
            </w:pPr>
            <w:r>
              <w:rPr>
                <w:rFonts w:ascii="Times New Roman" w:cs="Times New Roman" w:eastAsia="Times New Roman" w:hAnsi="Times New Roman"/>
                <w:sz w:val="13"/>
                <w:szCs w:val="13"/>
                <w:color w:val="auto"/>
                <w:w w:val="96"/>
              </w:rPr>
              <w:t>~1,935 SKUs</w:t>
            </w:r>
          </w:p>
        </w:tc>
        <w:tc>
          <w:tcPr>
            <w:tcW w:w="24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8"/>
              </w:rPr>
              <w:t>~600 SKUs</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8"/>
              </w:rPr>
              <w:t>~700 SKUs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~800 SKUs</w:t>
            </w:r>
          </w:p>
        </w:tc>
      </w:tr>
      <w:tr>
        <w:trPr>
          <w:trHeight w:val="278"/>
        </w:trPr>
        <w:tc>
          <w:tcPr>
            <w:tcW w:w="1720" w:type="dxa"/>
            <w:vAlign w:val="bottom"/>
          </w:tcPr>
          <w:p>
            <w:pPr>
              <w:jc w:val="center"/>
              <w:ind w:left="535"/>
              <w:spacing w:after="0"/>
              <w:rPr>
                <w:sz w:val="20"/>
                <w:szCs w:val="20"/>
                <w:color w:val="auto"/>
              </w:rPr>
            </w:pPr>
            <w:r>
              <w:rPr>
                <w:rFonts w:ascii="Times New Roman" w:cs="Times New Roman" w:eastAsia="Times New Roman" w:hAnsi="Times New Roman"/>
                <w:sz w:val="13"/>
                <w:szCs w:val="13"/>
                <w:color w:val="auto"/>
                <w:w w:val="95"/>
              </w:rPr>
              <w:t>Centralized Lab</w:t>
            </w:r>
          </w:p>
        </w:tc>
        <w:tc>
          <w:tcPr>
            <w:tcW w:w="2860" w:type="dxa"/>
            <w:vAlign w:val="bottom"/>
          </w:tcPr>
          <w:p>
            <w:pPr>
              <w:jc w:val="center"/>
              <w:ind w:left="529"/>
              <w:spacing w:after="0"/>
              <w:rPr>
                <w:sz w:val="20"/>
                <w:szCs w:val="20"/>
                <w:color w:val="auto"/>
              </w:rPr>
            </w:pPr>
            <w:r>
              <w:rPr>
                <w:rFonts w:ascii="Times New Roman" w:cs="Times New Roman" w:eastAsia="Times New Roman" w:hAnsi="Times New Roman"/>
                <w:sz w:val="13"/>
                <w:szCs w:val="13"/>
                <w:color w:val="auto"/>
                <w:w w:val="97"/>
              </w:rPr>
              <w:t>Lab in Store / Centralized Lab</w:t>
            </w:r>
          </w:p>
        </w:tc>
        <w:tc>
          <w:tcPr>
            <w:tcW w:w="24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5"/>
              </w:rPr>
              <w:t>Centralized Lab</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5"/>
              </w:rPr>
              <w:t>Centralized Lab</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Centralized Lab</w:t>
            </w:r>
          </w:p>
        </w:tc>
      </w:tr>
      <w:tr>
        <w:trPr>
          <w:trHeight w:val="130"/>
        </w:trPr>
        <w:tc>
          <w:tcPr>
            <w:tcW w:w="1720" w:type="dxa"/>
            <w:vAlign w:val="bottom"/>
            <w:tcBorders>
              <w:bottom w:val="single" w:sz="8" w:color="225799"/>
            </w:tcBorders>
            <w:shd w:val="clear" w:color="auto" w:fill="ACACAC"/>
          </w:tcPr>
          <w:p>
            <w:pPr>
              <w:spacing w:after="0"/>
              <w:rPr>
                <w:sz w:val="11"/>
                <w:szCs w:val="11"/>
                <w:color w:val="auto"/>
              </w:rPr>
            </w:pPr>
          </w:p>
        </w:tc>
        <w:tc>
          <w:tcPr>
            <w:tcW w:w="7540" w:type="dxa"/>
            <w:vAlign w:val="bottom"/>
            <w:tcBorders>
              <w:bottom w:val="single" w:sz="8" w:color="225799"/>
            </w:tcBorders>
            <w:gridSpan w:val="3"/>
            <w:shd w:val="clear" w:color="auto" w:fill="ACACAC"/>
          </w:tcPr>
          <w:p>
            <w:pPr>
              <w:spacing w:after="0"/>
              <w:rPr>
                <w:sz w:val="11"/>
                <w:szCs w:val="11"/>
                <w:color w:val="auto"/>
              </w:rPr>
            </w:pPr>
          </w:p>
        </w:tc>
        <w:tc>
          <w:tcPr>
            <w:tcW w:w="1940" w:type="dxa"/>
            <w:vAlign w:val="bottom"/>
            <w:tcBorders>
              <w:bottom w:val="single" w:sz="8" w:color="225799"/>
            </w:tcBorders>
            <w:shd w:val="clear" w:color="auto" w:fill="ACACAC"/>
          </w:tcPr>
          <w:p>
            <w:pPr>
              <w:spacing w:after="0"/>
              <w:rPr>
                <w:sz w:val="11"/>
                <w:szCs w:val="11"/>
                <w:color w:val="auto"/>
              </w:rPr>
            </w:pPr>
          </w:p>
        </w:tc>
      </w:tr>
      <w:tr>
        <w:trPr>
          <w:trHeight w:val="280"/>
        </w:trPr>
        <w:tc>
          <w:tcPr>
            <w:tcW w:w="1720" w:type="dxa"/>
            <w:vAlign w:val="bottom"/>
          </w:tcPr>
          <w:p>
            <w:pPr>
              <w:spacing w:after="0"/>
              <w:rPr>
                <w:sz w:val="24"/>
                <w:szCs w:val="24"/>
                <w:color w:val="auto"/>
              </w:rPr>
            </w:pPr>
          </w:p>
        </w:tc>
        <w:tc>
          <w:tcPr>
            <w:tcW w:w="7540" w:type="dxa"/>
            <w:vAlign w:val="bottom"/>
            <w:gridSpan w:val="3"/>
          </w:tcPr>
          <w:p>
            <w:pPr>
              <w:ind w:left="1120"/>
              <w:spacing w:after="0"/>
              <w:rPr>
                <w:sz w:val="20"/>
                <w:szCs w:val="20"/>
                <w:color w:val="auto"/>
              </w:rPr>
            </w:pPr>
            <w:r>
              <w:rPr>
                <w:rFonts w:ascii="Times New Roman" w:cs="Times New Roman" w:eastAsia="Times New Roman" w:hAnsi="Times New Roman"/>
                <w:sz w:val="22"/>
                <w:szCs w:val="22"/>
                <w:b w:val="1"/>
                <w:bCs w:val="1"/>
                <w:color w:val="00497F"/>
              </w:rPr>
              <w:t>OMNI-CHANNEL &amp; E-COMMERCE (3.5% of 2018 Sales)</w:t>
            </w:r>
          </w:p>
        </w:tc>
        <w:tc>
          <w:tcPr>
            <w:tcW w:w="1940" w:type="dxa"/>
            <w:vAlign w:val="bottom"/>
          </w:tcPr>
          <w:p>
            <w:pPr>
              <w:spacing w:after="0"/>
              <w:rPr>
                <w:sz w:val="24"/>
                <w:szCs w:val="24"/>
                <w:color w:val="auto"/>
              </w:rPr>
            </w:pPr>
          </w:p>
        </w:tc>
      </w:tr>
      <w:tr>
        <w:trPr>
          <w:trHeight w:val="271"/>
        </w:trPr>
        <w:tc>
          <w:tcPr>
            <w:tcW w:w="1720" w:type="dxa"/>
            <w:vAlign w:val="bottom"/>
          </w:tcPr>
          <w:p>
            <w:pPr>
              <w:spacing w:after="0"/>
              <w:rPr>
                <w:sz w:val="23"/>
                <w:szCs w:val="23"/>
                <w:color w:val="auto"/>
              </w:rPr>
            </w:pPr>
          </w:p>
        </w:tc>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Sister Sites (3)</w:t>
            </w:r>
          </w:p>
        </w:tc>
        <w:tc>
          <w:tcPr>
            <w:tcW w:w="24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Proprietary Sites (6)</w:t>
            </w:r>
          </w:p>
        </w:tc>
        <w:tc>
          <w:tcPr>
            <w:tcW w:w="414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Partner Sites (10)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520700</wp:posOffset>
            </wp:positionV>
            <wp:extent cx="7100570" cy="77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0570" cy="7747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-1605280</wp:posOffset>
            </wp:positionV>
            <wp:extent cx="75438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000000"/>
                        </a:clrFrom>
                        <a:clrTo>
                          <a:srgbClr val="000000">
                            <a:alpha val="0"/>
                          </a:srgbClr>
                        </a:clrTo>
                      </a:clrChange>
                      <a:extLst>
                        <a:ext uri="{28A0092B-C50C-407E-A947-70E740481C1C}"/>
                      </a:extLst>
                    </a:blip>
                    <a:srcRect/>
                    <a:stretch>
                      <a:fillRect/>
                    </a:stretch>
                  </pic:blipFill>
                  <pic:spPr bwMode="auto">
                    <a:xfrm>
                      <a:off x="0" y="0"/>
                      <a:ext cx="754380" cy="29146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-1605280</wp:posOffset>
            </wp:positionV>
            <wp:extent cx="75438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54380" cy="29146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-1605280</wp:posOffset>
            </wp:positionV>
            <wp:extent cx="33464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000000"/>
                        </a:clrFrom>
                        <a:clrTo>
                          <a:srgbClr val="000000">
                            <a:alpha val="0"/>
                          </a:srgbClr>
                        </a:clrTo>
                      </a:clrChange>
                      <a:extLst>
                        <a:ext uri="{28A0092B-C50C-407E-A947-70E740481C1C}"/>
                      </a:extLst>
                    </a:blip>
                    <a:srcRect/>
                    <a:stretch>
                      <a:fillRect/>
                    </a:stretch>
                  </pic:blipFill>
                  <pic:spPr bwMode="auto">
                    <a:xfrm>
                      <a:off x="0" y="0"/>
                      <a:ext cx="334645" cy="29146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-1605280</wp:posOffset>
            </wp:positionV>
            <wp:extent cx="33464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34645" cy="29146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135255</wp:posOffset>
            </wp:positionV>
            <wp:extent cx="6285865"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85865" cy="24892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135255</wp:posOffset>
            </wp:positionV>
            <wp:extent cx="6285865"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5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___________</w:t>
      </w:r>
    </w:p>
    <w:p>
      <w:pPr>
        <w:spacing w:after="0" w:line="1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Note: Store count as of December 29, 2018. SKU figures refer to eyeglass frame SKUs. ODs are Doctors of Optometry.</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brands leverage our highly-efficient centralized laboratory network and distribution system, which helps us minimize production and distribution costs. As one of the largest purchasers of eyeglass frames, optical lenses and contact lenses in the United States, we also benefit from centralized procurement efforts and purchasing economies of scale.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stores present our products in an inviting and engaging atmosphere. Our merchandise is showcased to highlight the products and maximize the appeal of our image and brands. Our stores are clean and spacious, with orderly merchandising and strategic product placements to optimize our selling space, increase productivity and optimize customer flow. We utilize display samples to foster customer interaction with products, while providing price transparency and simplicity. We provide a hands-on, solutions-based service approach and further enhance the customer’s store experience with convenient, time-saving and value-added services.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America’s Best Brand. </w:t>
      </w:r>
      <w:r>
        <w:rPr>
          <w:rFonts w:ascii="Times New Roman" w:cs="Times New Roman" w:eastAsia="Times New Roman" w:hAnsi="Times New Roman"/>
          <w:sz w:val="18"/>
          <w:szCs w:val="18"/>
          <w:color w:val="auto"/>
        </w:rPr>
        <w:t>America’s Best strives to be the value leader in virtually every market in which it operates. Its signature offer of “two pairs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eyeglasses for $69.95, including a free eye exam”, is typically priced significantly lower than the competition on a per-pair basis and provides customers with a wide selection of frame choices at this entry point. In America’s Best stores, vision care services are provided primarily by optometrists employed either by us or by independent professional corporations. This model facilitates the brand’s bundled offer and its Eyecare Club programs, which offer two free eye exams per year for the duration of the membership plus a discount on contact lenses and eyeglasses. By leveraging our efficient centralized laboratory network, America’s Best stores are able to minimize processing costs and drive significant economies of scale. These stores typically stock approximately 1,320 eyeglass frame SKUs, including imports from low-cost overseas manufacturers, higher-margin private label brands and discounted well-known frame brands. America’s Best stores, which average 3,500 square feet, are primarily located in high-traffic strip centers next to similar off-price designer retailers, such as Marshalls stores.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Eyeglass World Brand. </w:t>
      </w:r>
      <w:r>
        <w:rPr>
          <w:rFonts w:ascii="Times New Roman" w:cs="Times New Roman" w:eastAsia="Times New Roman" w:hAnsi="Times New Roman"/>
          <w:sz w:val="18"/>
          <w:szCs w:val="18"/>
          <w:color w:val="auto"/>
        </w:rPr>
        <w:t>Eyeglass World also offers a value price point for customers, with an opening offer of “two pairs of eyeglasses for $78” and 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exams starting at $49. This brand is positioned as an eyeglass superstore that caters to a more cost-conscious customer base, with a broader selection of designer brands and price points, and offers more personalized levels of service. We source eyeglass frames for our Eyeglass World stores from leading designer brands, private label manufacturers, overstock inventories and low-cost overseas manufacturers. Eyeglass World locations offer eye exams, primarily from independent optometrists and optometrists employed by independent professional corporations, and have on-site laboratories that enable stores to quickly fulfill customer orders and make repairs. On-site laboratories can process a variety of lens options, with same-day service. Lens orders that are not completed in-store are completed by our centralized laboratory network. Due to the wider brand selection and on-site laboratories, Eyeglass World stores are larger, averaging approximately 4,500 square feet and typically stocking approximately 1,935 eyeglass frame SKUs. These stores are primarily located in freestanding or in-line locations near high-foot-traffic shopping centers.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Partner Brands. </w:t>
      </w:r>
      <w:r>
        <w:rPr>
          <w:rFonts w:ascii="Times New Roman" w:cs="Times New Roman" w:eastAsia="Times New Roman" w:hAnsi="Times New Roman"/>
          <w:sz w:val="18"/>
          <w:szCs w:val="18"/>
          <w:color w:val="auto"/>
        </w:rPr>
        <w:t>We have three partner brands consisting of 227 Vision Centers in Walmart stores across the country, 54 Vista Optical locations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military bases and 29 Vista Optical locations within Fred Meyer stores as of December 29, 2018. We have strong, long-standing relationships with these partners. Our strategic relationship with Walmart extends over 28 years and our partnerships with Fred Meyer and the U.S. military have been maintained for over 19 years. Our partner brands all compete within the value segment of the U.S. optical retail industry, with a starting price point for a pair of eyeglasses in the $38 to $99 range. These brands combine a broad selection of products and attentive customer service with the convenience of one-stop shopping. These brands also utilize our centralized laboratories and provide eye exams principally by independent optometrists in nearly all locations. Our partner brands are attractive businesses with relatively light capital requirements.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Omni-Channel and E-Commerce Platforms. </w:t>
      </w:r>
      <w:r>
        <w:rPr>
          <w:rFonts w:ascii="Times New Roman" w:cs="Times New Roman" w:eastAsia="Times New Roman" w:hAnsi="Times New Roman"/>
          <w:sz w:val="18"/>
          <w:szCs w:val="18"/>
          <w:color w:val="auto"/>
        </w:rPr>
        <w:t>We offer our customers an engaging digital shopping experience through an established platform of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omni-channel store websites, and 16 dedicated e-commerce consumer websites. Our omni-channel store websites augment our America’s Best, Eyeglass World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online frame browsing and virtual frame try-on, among others. Our omni-channel offerings work in concert with these brands to enhance the overall quality of the customer experience.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16 dedicated e-commerce websites are managed by our subsidiary, AC Lens. AC Lens operates six proprietary branded websites, including aclens.com and discountcontacts.com. In addition, AC Lens operates and provides support services for 10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represented approximately 3.5% of our net revenue in fiscal year 2018.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2017, the industry grew from $26 billion to $35 billion in annual sales, representing a compound annual growth rate (“CAGR”) of 3.1%. The industry experienced only a modest decline during the 2008 to 2009 recession and rebounded with robust post-recession sales growth of 4.0% CAGR from 2009 to 2017, according to Vision Monday. The steady growth of the industry and its resilience to economic cycles is due in large part to the medical, non-discretionary and recurring nature of eye care purchases.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172085</wp:posOffset>
            </wp:positionV>
            <wp:extent cx="5351145" cy="2607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Source: Vision Monday</w:t>
      </w: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eyewear purchases are driven by need, with two primary drivers of demand: (i) diminishing eyesight with increasing age, causing new customers to buy corrective eyewear and (ii) a steady and consistent replacement cycle, as customers frequently replace or purchase new eyewear for a variety of reasons, including changes in prescriptions, fashion trends and necessity (e.g., lost or broken eyewear).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need for eyesight correction is diagnosed through eye tests and eye exams.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there are four key secular growth trends that will continue to contribute to the stability and growth of the U.S. optical retail industry:</w:t>
      </w:r>
    </w:p>
    <w:p>
      <w:pPr>
        <w:spacing w:after="0" w:line="113"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Aging Population</w:t>
      </w:r>
      <w:r>
        <w:rPr>
          <w:rFonts w:ascii="Times New Roman" w:cs="Times New Roman" w:eastAsia="Times New Roman" w:hAnsi="Times New Roman"/>
          <w:sz w:val="18"/>
          <w:szCs w:val="18"/>
          <w:color w:val="auto"/>
        </w:rPr>
        <w:t>. According to The Vision Council, over 76% of adults in the United States used some form of vision correction as of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Given that eyesight deteriorates progressively with age, aging of the U.S. population should result in incremental sales of eyewear and related accessories.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Frequent Replacement Cycle</w:t>
      </w:r>
      <w:r>
        <w:rPr>
          <w:rFonts w:ascii="Times New Roman" w:cs="Times New Roman" w:eastAsia="Times New Roman" w:hAnsi="Times New Roman"/>
          <w:sz w:val="18"/>
          <w:szCs w:val="18"/>
          <w:color w:val="auto"/>
        </w:rPr>
        <w:t>. The repetitive and predictable nature of customer behavior results in a significant volume of recurring revenue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192 million people in the United States using vision correction devices in 2017 received nearly 115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Increased Usage of Computer and Mobile Screens</w:t>
      </w:r>
      <w:r>
        <w:rPr>
          <w:rFonts w:ascii="Times New Roman" w:cs="Times New Roman" w:eastAsia="Times New Roman" w:hAnsi="Times New Roman"/>
          <w:sz w:val="18"/>
          <w:szCs w:val="18"/>
          <w:color w:val="auto"/>
        </w:rPr>
        <w:t>. Due to the proliferation of smartphones, laptops, tablets and other electronic devices,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 has experienced a dramatic increase in the amount of time spent viewing electronic screens. According to The Vision Council, about 80% of American adults report using digital devices for more than two hours per day with approximately 70% using two or more devices simultaneously, and approximately 60% reporting experiencing symptoms of digital eye strain.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Growing Focus on Health and Wellness</w:t>
      </w:r>
      <w:r>
        <w:rPr>
          <w:rFonts w:ascii="Times New Roman" w:cs="Times New Roman" w:eastAsia="Times New Roman" w:hAnsi="Times New Roman"/>
          <w:sz w:val="18"/>
          <w:szCs w:val="18"/>
          <w:color w:val="auto"/>
        </w:rPr>
        <w:t>. The optical retail industry is poised to continue to benefit from expansive trends underlying an increasing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1,935 eyeglass frame SKUs, covering all age groups. Offerings include both brand name designers, like Ray-Ban, Guess and Calvin Klein, as well as private label options at attractive prices. Our frames are manufactured by market leaders such as Luxottica, Marchon and Zyloware. Additionally, we partner with several overseas factories to direct source our private label products.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higher-quality lenses and photochromatic options, which carry higher margins. As a result, a significant number of America’s Best customers and Eyeglass World customers who purchase eyeglasses choose upgraded lenses and/or frames instead of each brand’s base offer. We also offer contact lenses and accessories from all major contact lens manufacturers, including our own private label brands (Softmed and Natural Eyes HydraWear, made by CooperVision) that are offered in our America’s Best and Eyeglass World stores. Collectively, our broad product offerings deliver consistent financial results and reduce our reliance on any individual product, style or trend.</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both of our reportable segments, eye exam services are provided by optometrists employed by us or by professional corporations owned by eye care practitioners with whom we have contractual arrangements or by independent optometrists with whom we have contracted.</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Within our owned &amp; host segment, America’s Best offers its Eyecare Club programs primarily to its contact lens customers. As of December 29, 2018, the Eyecare Club had approximately 1.4 million active members. Benefits of the Eyecare Club include two free eye exams per year for the duration of the multi-year membership, 10% off all contact lenses and eyeglasses and other periodic benefits and discounts, such as free samples of contact lens solutions. Memberships can be purchased in stores or on our America’s Best website. Two separate club memberships are available: the three-year Silver membership, which costs $99, and the five-year Gold membership, which costs $139. By comparison, the cost of a contact lens exam, exclusive of the Eyecare Club, is $89. There is a high adoption rate of Eyecare Club membership by America’s Best customers who are not part of a managed care program and who visited an America’s Best store for a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facilitates repeat traffic to America’s Best stores for exams and contact lens purchases and builds customer loyalty. The Eyecare Club also has attractive working capital characteristics, as customers pay the full membership cost at the time that they join.</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7. “Revenue from Contracts With Customers” in our audited consolidated financial statements included in Part II. Item 8. of this Form 10-K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 quality products and services, all offered at a fair price. Convenience encompasses multiple vectors: (i) retail locations near where our customers work and shop, with easy, convenient parking,</w:t>
      </w:r>
    </w:p>
    <w:p>
      <w:pPr>
        <w:spacing w:after="0" w:line="3" w:lineRule="exact"/>
        <w:rPr>
          <w:sz w:val="20"/>
          <w:szCs w:val="20"/>
          <w:color w:val="auto"/>
        </w:rPr>
      </w:pPr>
    </w:p>
    <w:p>
      <w:pPr>
        <w:ind w:firstLine="8"/>
        <w:spacing w:after="0" w:line="261" w:lineRule="auto"/>
        <w:tabs>
          <w:tab w:leader="none" w:pos="2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hours that fit their lifestyles, (iii) product selection that achieves aesthetic and/or fashion goals, (iv) availability of on-site eye exams and (v) acceptance of certain vision insurance benefits.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two owned brands, we have developed specific customer demographic profiles. More specifically, we estimate that our typical America’s Best customer has a household income between $35,000 to $100,000, is a high school graduate, holds a blue collar job and is between 35 to 64 years old, while our typical Eyeglass World customer is slightly more affluent, has a college degree or higher, holds a professional or technical job and is between 35 to 79 years old. These profiles demonstrate that, even within the same market, our America’s Best and Eyeglass World brands appeal to and attract a different consumer, which speaks favorably to our growth potential and our ability to open new stores of both brands in the same markets.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and Marketing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developed our marketing strategy based on the in-depth knowledge we have of our customers. Our brands are positioned to stand for low prices and great value, which resonate with our target consumers and leave a lasting impression that is distinct from the competition.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television is a key channel for connecting with our customers. Approximately two-thirds of America’s Best and Eyeglass World’s advertising investments are on traffic-driving television advertisements, which we leverage broadly across multiple stores in each television market to gain a larger share of voice, and, in turn, drive traffic and margins. Additional advertising investments include digital media, search, direct mail, email and local store marketing. In the first quarter of fiscal year 2017, we shifted our America’s Best television advertising from local campaigns to purchasing television advertising nationally, which we believe is more cost effective and helps raise our brand awareness in both existing and new markets.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 relationship management (“CRM”) system is used to collect customer demographic data. With this information and the third-party data that we use to supplement the customer information, we create targeted mailing lists (both direct mail and email) to send communications to our customers based on their vision needs and interests to help improve retention of our existing customers. 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Sourcing and Supplier Relationships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purchase our merchandise from a wide variety of vendors, with a limited number of vendors supplying the majority of our eyeglass frames, eyeglass lenses and contact lenses.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We extended our agreement with Essilor in November 2018 and the current term runs through May 2023. Thereafter, the agreement will automatically renew on a month-to-month basis unless either party gives 30 days’ prior written notice of termination, and we also have the ability to unilaterally extend the agreement an additional calendar quarter after the proposed termination date. We are collaborative in our vendor negotiations so as to develop a partnership with our vendors and, in time, a sense of loyalty to National Vision. Each of our top ten vendors has been with us for at least ten years, and several of these vendors have been with us since our inception in 1990. We focus on sourcing low-cost products, including discounted well-known frame brands, secondary frame brands, direct import frames and private label contact lenses under our Softmed and Natural Eyes HydraWear labels. By investing in our sourcing operations, we have increased our direct importation of eyeglass frames, which has enabled us to offer high quality frames at low prices while also generating strong gross margins.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Optical Laboratories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 highly-efficient mix of four domestic, company-operated processing facilities and two international, outsourced facilities. We have state-of-the-art lens processing capabilities in our four, geographically-diverse company-operated production facilities in Lawrenceville, Georgia, St. Cloud, Minnesota, Plano, Texas and Salt Lake City, Utah. Our centralized optical laboratories handle all aspects of customizing eyeglass lenses, and have digital capabilities for grinding, coating and edging to customer prescription and eyeglass frame 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 (v) 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Eyeglass World stores are equipped with on-site laboratories, which typically process less complicated customer orders with same-day service. On-site laboratories can process a variety of lens options. For fiscal year 2018, over half of Eyeglass World in-store customer orders were processed entirely in the store. All lens orders that are not processed or completed in-store are processed or completed by our centralized laboratory network.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Distribution Network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approximately 66,000 square foot distribution center in Lawrenceville, Georgia is located near our corporate offices in Duluth, Georgia. We utilize third-party carriers to transport all of our products from this distribution center to our stores.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approximately 52,000 square foot distribution center in Columbus, Ohio is located close to the headquarters of our AC Lens subsidiary. We utilize third-party carriers to transport our products from this distribution center directly to customers and to store locations for our partners.</w:t>
      </w:r>
    </w:p>
    <w:p>
      <w:pPr>
        <w:spacing w:after="0" w:line="54" w:lineRule="exact"/>
        <w:rPr>
          <w:sz w:val="20"/>
          <w:szCs w:val="20"/>
          <w:color w:val="auto"/>
        </w:rPr>
      </w:pPr>
    </w:p>
    <w:p>
      <w:pPr>
        <w:ind w:right="440"/>
        <w:spacing w:after="0" w:line="375" w:lineRule="auto"/>
        <w:rPr>
          <w:sz w:val="20"/>
          <w:szCs w:val="20"/>
          <w:color w:val="auto"/>
        </w:rPr>
      </w:pPr>
      <w:r>
        <w:rPr>
          <w:rFonts w:ascii="Times New Roman" w:cs="Times New Roman" w:eastAsia="Times New Roman" w:hAnsi="Times New Roman"/>
          <w:sz w:val="18"/>
          <w:szCs w:val="18"/>
          <w:color w:val="auto"/>
        </w:rPr>
        <w:t xml:space="preserve">We believe that the size and scalability of our distribution centers is more than sufficient to support our future expansion over the next four to five years. </w:t>
      </w:r>
      <w:r>
        <w:rPr>
          <w:rFonts w:ascii="Times New Roman" w:cs="Times New Roman" w:eastAsia="Times New Roman" w:hAnsi="Times New Roman"/>
          <w:sz w:val="18"/>
          <w:szCs w:val="18"/>
          <w:b w:val="1"/>
          <w:bCs w:val="1"/>
          <w:color w:val="auto"/>
        </w:rPr>
        <w:t>Our Employees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29, 2018, we had 10,668 full-time and part-time employees. In addition, the professional corporations with which we contract employed 978 optometrists as of December 29, 2018. We are not a party to any collective bargaining agreements. We have never experienced a strike or work stoppage, and we believe that our relations with employees are excellent.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Vision Care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managed care business relates to vision care programs and associated benefits (i) sponsored by employees or other groups, (ii) provided by insurers and managed care entities, such as health maintenance organizations to individuals, and (iii) delivered, typically on a fee-for-service or capitated basis, by health care providers, such as ophthalmologists, optometrists and opticians. We are currently underpenetrated in the managed care market relative to the broader optical retail industry, and we believe that this represents an important opportunity for us. Through our point-of-sale system and our back-office electronic data interchange, or EDI, capabilities, we attempt to create a seamless transactional experience for our in-store managed care customers. From time to time, vision care insurance payors may make changes to their EDI claim systems. Such changes may require us to update our processes and could impact our ability to submit claims or to timely receive reimbursements from our managed care partners. As such, when asked, we have assisted a number of our larger vision care insurance payors to either implement or improve their EDI claim systems.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both industry and national healthcare changes and are well-positioned to take advantage of these changes due to our low-cost offerings and strong electronic infrastructure. We expect to continue to grow the managed care component of our business through our relationships and partnership initiatives with managed care payors.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optical retail industry is highly competitive. Competition is generally based upon brand name recognition, price, convenience, selection, service and product quality.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compete with online sellers of contact lenses and eyewear. The online sale of contact lenses has steadily increased in particular since the passage of the Fairness to Contact Lens Consumers Act. See “Government Regulation” below.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 and 3D printing of eyewear.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moderately seasonal in nature. Historically, our business has realized a higher portion of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We believe that many customers in our target market, which consists of cost-conscious and low-income consumers, rely on tax refunds to pay for eyewear and eye care. A delay in the issuance of tax refunds can accordingly have a negative impact on our quarterly financial results. Consumers could also alter how they utilize tax refund proceeds.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quarter results. Our quarterly results may also be affected by the timing of new store openings and store closings, the amount of sales contributed by new and existing stores, the timing of certain holidays, as well as the timing of weather-related store closures.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finance, accounting and human resources initiatives. We believe our current systems allow us to identify and respond to operating trends in our business.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time, we have modernized our point-of-sale system, upgraded multiple financial package components and are implementing software systems to enhance the growth of our omni-channel and customer engagement efforts. In addition, enhancing cybersecurity continues to be a priority and we have several initiatives underway that are intended to further advance our security posture. We believe these investments, along with maintenance of our existing information technology capabilities, will provide the flexibility and capacity to accommodate our future growth plans.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a number of registered and common law trademarks and pending applications for trademark registrations in the United States, primarily through our subsidiaries, including: America’s Best, America’s Best &amp; design, America’s Best Contacts &amp; Eyeglasses, America’s Best Contacts &amp; Eyeglasses &amp; design, America’s Best Vision Plan, America’s Best owl mascot image, the slogan “It’s not just a better deal. It’s America’s Best,” Eyeglass World, Eyeglass World logos, the slogans “See yourself smile. See yourself save.,” “The world’s best way to buy glasses,” and “The world’s best way to buy contact lenses,” the Eyeglass World mascot image Mr. World, AC Lens, FirstSight, Vista Optical, Eyecare Club, Sofmed, Digimax, Neverglare, Neverglare Advantage and Neverglare Advantage &amp; design.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extensive federal, state, provincial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Part I. Item 1A. “Risk Factors” below for a discussion of these and other risks. A summary of certain laws and regulations is described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Medicine/Optometry and Similar Laws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states prohibit the corporate practice of medicine/optometry where a business corporation practices medicine or employs a physician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A number of states that permit these relationships nevertheless regulate them extensively.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Our America’s Best operations, which feature a bundled offer of eyeglasses and an eye examination, are particularly implicated by these 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Licensure and Regulation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are also subject to state licensing laws. All states license the practice of ophthalmology and optometry and many states license opticians. The dispensing of prescription eyewear is further regulated in most states in which we do business. In some states, we are also required to register our stores.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Fairness to Contact Lens Consumers Act (“FCLCA”)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sales of contact lens, we must comply with the FCLCA, and its implementing regulations, which establish a national uniform standard in the United States with regard to releasing and verifying contact lens prescriptions. This law also contains a “passive verification” requirement pursuant to which a prescription is deemed verified if a prescriber fails to respond within eight business hours to a request by a seller for confirmation of the accuracy of the prescription.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Managed Care Regulation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personal information. In addition, states may amend or adopt new laws or regulations regarding data privacy that may be applicable to us, such as the California Consumer Privacy Act of 2018 which will go into effect in January 2020.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Related to Reimbursement by Government Programs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participation in federal reimbursement programs, such as Medicare and Medicaid, subjects us to federal anti-kickback, false claims, self-referral and similar laws.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or services, credit arrangements, payment of cash and waivers of payments. Several courts have found a violation of the statute’s intent requirement if a single purpose of an arrangement involving remuneration is to induce referrals of federal healthcare covered businesses.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any third-party payors including commercial plans.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or “whistleblower” lawsuits on behalf of the federal or state government. The Social Security Act also imposes significant penalties for false or improper Medicare and Medicaid billings.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Physician Self-Referral Law, or the Stark Law, generally prohibits physicians (which the Stark Law defines to also include optometrists) from referring, for certain services, Medicare or Medicaid beneficiaries to any entity with which the physician or an immediate family member of the physician has a financial relationship. This law further prohibits the entity receiving a prohibited referral from presenting a claim for reimbursement by Medicare or Medicaid for services furnished pursuant to the prohibited referral. Many states have adopted similar self-referral laws which are not limited to Medicare or Medicaid reimbursed services. In some cases, the rental of space constitutes a financial relationship under this law.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Food and Drug Administration (“FDA”)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generally has authority to, among other things, regulate the manufacture, distribution, sale and labeling of medical devices, including contact and spectacle lenses. Under the U.S. Federal Food, Drug and Cosmetic Act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centralized laboratories with the FDA.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Federal Trade Commission (“FTC”) has authority under Section 5 of the Federal Trade Commission Act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or false advertising to consumers.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 Laws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e-commerce business, operated by our subsidiary AC Lens, must comply with various federal and state laws, most notably the FCLCA, and its implementing regulation, the Contact Lens Rule, adopted by the FTC. This law and rule require that, before we sell contact lenses online, we verify the prescriptions we receive from our customers. A violation of the Contact Lens Rule constitutes an unfair or deceptive act or practice under the FTC Act. Our online business must also be registered in various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 (“FCPA”)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Card Industry Data Security Standard (“PCI Standard”)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for any fines and assessments imposed by the credit card companies in the event of a compromise of card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 Regulations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product protection plans for our eyeglasses; in certain states, service contract and similar laws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Safety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optical laboratories in the United States and our in-store laboratories in our Eyeglass World locations subject us to various federal, state and local laws, regulations and other requirements pertaining to protection of the environment, public health and employee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Risk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combination of insurance and self-insurance for workers’ compensation, general liability, property insurance, director and officers’ liability insurance, vehicle liability and employee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and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growth strategy depends, in large part, on growing our store base and expanding our operations, both in existing and new markets, and operating our new stores successfully. We cannot assure you that our contemplated expansion will be successful. Our costs in some markets may be higher due to the supply and demand for real estate sites as well as increased labor and other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new stores depends on many factors, including, among others, our ability to:</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qualified vision care professionals (who may be licensed or unlicensed, depending on state regulations) for any new store;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regulatory, competitive, merchandising, marketing, distribution and other challenges encountered in connection with expansion into new markets;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an expanded workforce of store managers and other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laboratory, distribution facility, information system and other operational system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management structure and operations, including information system integration;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at suitable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sufficient levels of inventory at acceptable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 and open our stores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levels of cash or obtain financing on acceptable terms to support our expansion;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managed care arrangements for new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brand awareness in new and existing markets;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satisfy the merchandise and other preferences of our customers.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effectively address challenges such as these could adversely affect our ability to successfully open and operate new stores in a timely and cost-effective manner.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we cannot assure you that we will achieve our planned growth or, even if we are able to grow our store base as planned, that our new stores will perform as expected.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recruit and retain vision care professionals for our stores could adversely affect our business,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attract and retain vision care professionals depends on several factors. We compete with other optical retail companies, health systems and group practices for vision care professionals. We, as well as the professional corporations that employ optometrists in certain of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may continue to exceed supply in certain areas for a period of time and that the costs to employ or retain optometrists may increase, potentially materially, from current levels.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ability to recruit, hire and/or contract with vision care professionals is closely regulated. For example, there is a risk that state authorities in some jurisdictions may find that our contractual relationships with our optometrists or professional corporations that employ optometrists violate laws prohibiting the corporate practice of medicine/optometry, in which case we may be required to restructure these arrangements, which may make it more difficult for us to attract and retain their services. See Part I. Item 1. “Business-Government Regulation.”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optometrists provide, through their professional corporations,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operational success depends on our ability to develop, maintain and extend relationships with managed vision care companies, vision insurance providers and other third-party payors.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increasing percentage of our customers receive vision insurance coverage through managed care payors. These payors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As our managed care business continues to expand, we have incurred and expect to incur additional costs related to this area of our business. Our future operational success could depend on our ability to negotiate contracts with managed vision care companies, vision insurance providers and other third-party payors, several of whom have significant market share. In addition, as our managed care business continues to grow closer to overall industry penetration levels, we expect our associated revenue growth rate to slow over time.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 changes to the economics of a managed care contract or relationship or the loss of a significant managed care contract or relationship could have a significant negative impact on our business, financial condition and results of operations.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performance of our host and legacy brands declines or we are unable to maintain our operating relationships with our host and legacy partners, our business, profitability and cash flows may be adversely affected and we may be required to incur impairment charges.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derive significant revenues and operating cash flows from our relationships with our legacy and host partners through our operations of 227 Vision Centers in Walmart stores, 29 Vista Optical locations within Fred Meyer stores and 54 Vista Optical locations on military bases.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Termination of our host and legacy agreements could result in a reduction of our revenues and operating cash flows, which could be material and which could adversely affect our business, financial condition and results of operations including an impairment of the intangible assets.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support the carrying value of the intangible assets at these brands or replace the lost revenues and cash flows.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our current management &amp; services agreement with Walmart presents a variety of risks. Our agreement expires on August 23, 2020, automatically renewing for additional three-year terms unless a party elects to provide written notice of nonrenewal no later than seven months before the extension date. Sales associated with our arrangement with Walmart represented 10.0% of consolidated net revenue in fiscal year 2018, which exposes us to concentration of customer risk. In addition, the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 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29, 2018, the carrying value of goodwill and intangible assets at our host and legacy brands was $27.7 million and $96.7 million, respectively.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During the fourth quarter of fiscal 2018, we fully impaired goodwill at the Military and Fred Meyer brands of approximately $15.1 million. Additionally, the Legacy segment fair value exceeded its carrying value by less than 25%. Future changes in the business profitability, expected cash flows, changes in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extensive state, local and federal vision care and healthcare laws and regulations. See Part I. Item 1. “Business-Government Regulation.”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states regulate relationships between optical retailers and eye care practitioners. Many states interpret the corporate practice of medicine/optometry rules broadly to prohibit employment of eye care practitioners by corporations like us and to prohibit various financial arrangements, such as fee-splitting, between eye care practitioners and other entities. We have implemented arrangements with optometrists and professional corporations owned by eye care practitioners that regulators could seek to challenge, such as America’s Best’s bundled offers of eye exams and eyewear.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further circumscribe our business operations. In addition, the arrangements into which we have entered could subject us to additional scrutiny by federal and state regulatory bodies regarding federal and state fraud and abuse laws.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contractual arrangements, to obtain and maintain appropriate licenses could result in the unavailability of vision care professionals in or near our stores, loss of sales and/or the closure of our stores without licensed professionals.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must also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In addition, there are existing state privacy, security and breach notification laws and regulations that apply to both PHI and PII collected by us. These existing laws and regulations may be amended and states may adopt new laws or regulations regarding data privacy (such as the California Consumer Privacy Act of 2018 which will go into effect in January 2020).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owned by eye care practitioners, create material civil and/or criminal liability for us or require us to change our business practices, which could result in adverse publicity, and have a material adverse effect on our business, financial condition and results of operations. In addition to applicable U.S. law, the collection, use, access, disclosure, transmission and storage of PHI and other sensitive data is subject to regulation in foreign jurisdictions in which we do business or expect to do business in the future, in particular through the operations of our websites, and data privacy and security laws and regulations in some of these jurisdictions may be more stringent than those in the United States (such as the European Union, which adopted the General Data Protection Regulation, which became effective in May 2018).</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federal payment.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Eyeglasses and contact lenses are regulated as medical devices in the United States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 include recalls, fines, penalties, injunctions, seizures, prosecutions, adverse publicity (such as FDA press releases) or other adverse actions.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support our expanding business and execute our growth strategy, we will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We have and expect to continue to primarily depend on cash flow from operations to fund our business and growth plans. If we do not generate sufficient cash flow from operations, we may need to obtain additional equity or debt financing. Tightening in the credit markets, low liquidity, volatility in the capital markets and a downturn in the economy could result in diminished availability of credit, higher cost of borrowing and lack of confidence in the equity markets,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inventory is shipped directly from suppliers to our two distribution centers in Lawrenceville, Georgia and Columbus, Ohio. Inventory is then processed, sorted and shipped using third-party carriers to our stores, to our laboratories for further processing, to our online customers or to Walmart stores and Sam’s Club locations. We operate laboratory facilities in Lawrenceville, Georgia; St. Cloud, Minnesota; Plano, Texas;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the presidential administration imposes significant tariffs or other restrictions on imports from China, it could have an adverse impact on our business. Any such tariffs, restrictions or other changes could lead to additional costs, delays in shipments, embargos and other uncertainties that could negatively impact our relationships with our international vendors and labs and materially adversely affect our business, including by requiring us to increase our prices and identify alternative sources for merchandise and labs.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employees, acts of terrorism, widespread illness and other unforeseen or catastrophic events, could damage our optical laboratories and/or distribution centers or render them inoperable, making it difficult or impossible for us to process customer orders for an extended period of time. Such events may also result in delays in our receipt of inventory and the delivery of merchandise between our stores, our optical laboratories and our distribution centers. We could also incur significantly higher 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vendors from whom our products are sourced.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our contracts for the supply of spectacle lenses and our private label contact lenses, we typically do not enter into long-term contracts with our vendors and, as such, we operate without any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7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selling merchandise to us;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competitors that could impair our ability to sell their products, including by giving our competitors exclusivity arrangements or limiting our access to certain products;</w:t>
      </w: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prices they charge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return merchandise purchased from them;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lengthen their lead times; or</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expand sales of their products to retail customers directly through their own stores, catalogs or on the Internet and compete with us directly.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 source our products.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the presidential administration imposes significant additional tariffs or other restrictions on imports from China and Mexico, where our outsourced optical laboratories are located and where the majority of our frames are sourced and manufactured, or if the United States were to withdraw from or materially modify international trade agreements, it could have an adverse impact on our business. Any such tariffs, restrictions or other changes could lead to additional costs, delays in shipments, embargos and other uncertainties that could negatively impact our relationships with our international vendors and labs and materially adversely affect our business, including by requiring us to increase our prices and identify alternative sources for merchandise and labs.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changes in the pricing practices of our suppliers could negatively impact our profitability. For example, we have in the past been subject to the unilateral pricing policies implemented by certain contact lens manufacturers, which policies mandated the minimum prices at which certain contact lenses could be sold to consumers. Such manufacturers could refuse to supply us with their products if they deemed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overall decline in the health of the economy and other factors impacting consumer spending, such as recessionary conditions, the timing and issuance of tax refunds, governmental instability and natural disasters, may affect consumer purchases, which could reduce demand for our products and materially harm our sales, profitability and financial condition.</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For example, in 2017 and 2018, we temporarily closed certain stores due to Hurricanes Harvey, Irma and Florence. Although these store closures did not have a material adverse impact on our business, similar events in the future that are outside of our control could materially adversely affect our sales and profitability.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our target market, which consists of cost-conscious and low-income consumers, is sensitive to various factors outside of our control. For example, this population relies on tax refunds to pay for eyewear and eye care. A delay in the issuance of tax refunds can accordingly have a negative impact on our quarterly financial results. Consumers could also alter how they utilize tax refund proceeds. In addition, periods of instability in the government generally, or a renewed emphasis on immigration matters, can also cause this population to either delay or refrain from making such purchases. A continuation of these and similar circumstances could have a material negative impact on our financial performance. Because of the importance of the first quarter for us, a significant downward trend in the first quarter could have a substantial negative impact on our annual financial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optical retail industry is highly competitive, and if we do not compete successfully, our business may be adversely impacted.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Part I. Item 1. “Business-Competition.”</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eyewear as well as managed care. These competitors can leverage this structure to their advantage to better compete and some of these vertically-integrated organizations have significant market power and could potentially use this power in ways that could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suppliers.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2018, 90% of lens expenditures were from this vendor, 93% of contact lens expenditures were with three vendors and 52% of frame expenditures were with two vendors. If our suppliers experience difficulties or disruptions in their operations or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 In addition, effective October 1, 2018, Essilor and Luxottica completed their merger to become EssilorLuxottica, which exacerbates concentration of supplier risk.</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process and store sensitive and confidential information, including our proprietary business information and that of our customers, employees, suppliers and business partners, including Walmart and Sam’s Club. The secure processing, maintenance and transmission of this information is critical to our operations. The regulatory environment surrounding information security and privacy is increasingly demanding, with the frequent imposition of new and changing requirements across our business. For instance, as a health care provider, we could be forced, in the event of a data breach, to report the breach not only to affected customers, but also to various public agencies and media outlets, potentially harming our reputation and our business. In addition, our customers and employees have a high expectation that we will adequately protect their personal information from cyber-attack or other security breaches. Our business partners may have contractual rights of indemnification against us in the event that their customer or proprietary business information is released as a result of a breach of our information systems. In such an event, these business partners could also seek to terminate our contracts with them.</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personal health information,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Like most corporations, the Company's systems are a target of attacks. Although the incidents that we have experienced to date have not had a material effect on our business, there can be no assurance that such incidents will not have a material adverse effect on us in the future.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inadequacy, interruption, security failure or breach of our information technology systems, whether owned by us or outsourced or managed by third parties, could harm our ability to effectively operate our business and could have a material adverse effect on our business, financial condition and results of operations.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employees and operating our websites. Our ability to effectively manage our business and coordinate the sourcing, distribution and sale of our products depends significantly on the reliability and capacity of these systems. Such systems are subject to damage or interruption from power outages or damages, telecommunications problems, data corruption, software errors, network failures, security breaches, acts of war or terrorist attacks, fire, flood and natural disasters. Our servers could be affected by physical or electronic break-ins, and computer viruses or similar disruptions may occur. A system outage may also cause the loss of important data. Our existing safety systems, data backup, access protection, user management and information technology emergency planning may not be sufficient to prevent data loss or long-term network outages.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have to upgrade our existing information technology systems from time to time in order for such systems to withstand the increasing needs of our expanding business. We rely on certain hardware, telecommunications and software vendors to maintain and periodically upgrade many of these systems so that we can continue to support our business. Costs and potential problems and interruptions associated with the implementation of new or upgraded systems and technology or with maintenance or adequate support of existing systems could disrupt or reduce the efficiency of our operations. We also depend on our information technology staff. If we cannot meet our staffing needs in this area, we may not be able to fulfill our technology initiatives while continuing to provide maintenance on existing systems.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be required to make significant capital expenditures to remediate any such failure, malfunction or breach with our information technology systems. Further, additional investment needed to upgrade and expand our information technology infrastructure will require significant investment of additional resources and capital, which may not always be available or available on favorable terms. Any material disruption or slowdown of our systems, including those caused by our failure to successfully upgrade our systems, and our inability to convert to alternate systems in an efficient and timely manner could have a material adverse effect on our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could strain our existing resources and cause the performance of our existing stores to suffer.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planned expansion will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our store base grows, we will need to continually evaluate the adequacy of our laboratory, distribution and information system capabilities.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For example, we entered into a lease for an additional laboratory facility in 2018 which became operational in the first quarter 2019. The completion date and ultimate cost of future projects could differ significantly from initial expectations due to construction-related or other reasons.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Increases in compensation and other expenses for vision care professionals, as well as our other associates, may adversely affect our profitability. Wage and hour regulations can exacerbate this risk.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marketing and promotional programs to attract customers to our stores and to encourage purchases by our customers. If we fail to successfully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in connection with our planned continued expansion in California, we launched a national advertising campaign for America’s Best as opposed to only utilizing local advertising campaigns. We cannot provide assurances that a national advertising campaign will be cost-effective or successful or that we will continue such campaigns.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our America’s Best and Eyeglass World store locations, our corporate headquarters, the AC Lens corporate office, the FirstSight corporate office, our laboratories in Georgia, Texas and Utah and our distribution centers. We also lease our Vista Optical locations inside Fred Meyer stores. As a result, we are susceptible to changes in the property rental market and increases in our occupancy costs.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All of these factors could have a material adverse impact on our operations.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Our substantial lease obligations could have significant negative consequences, including:</w:t>
      </w:r>
    </w:p>
    <w:p>
      <w:pPr>
        <w:spacing w:after="0" w:line="72"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reducing cash available for other purposes and reducing our operating profitability;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 the industry in which we compete;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substantial majority of our leased sites are both currently and in the future expected to be subject to long-term non-cancellable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Technological advances in vision care, including the development of telemedicine and other new or improved products, as well as future drug development for the correction of vision-related problems, could make our existing products less attractive or even obsolete. Several companies have developed technologies for the remote delivery of eye examinations and eye refractions. If consumers accept the use of these technologies, we may not be able to successfully incorporate them in our business, and in turn, consumers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including radial-keratotomy, photo-refractive keratotomy, or PRK and LASIK, may reduce the demand for our products, lower our sales and thereby adversely impact our business and profitability.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product liability, product recall or personal injury issues.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If we purchase products on a closeout basis, some of these products may be obtained through brokers or intermediaries rather than through manufacturers, which may make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managed vision care laws and regulations.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and our failure to comply with applicable regulatory requirements could have a material adverse impact on our expansion plans in California.</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no direct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may reduce or eliminate coverage or reimbursement rates of insurance-funded eye exams or eyewear.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may be negatively affected if we are not successful in managing our inventory balances and inventory shrinkage.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For example, in the fiscal year ended December 30, 2017, we wrote off $2.3 million of inventory related to a slow-moving contact lens product which had expired or would expire prior to possible sale.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partly dependent on our ability to strategically source a sufficient volume and variety of brand name merchandise at opportunistic pricing. Some of our products are sourced from suppliers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merchandise to sell in our stores. To the extent that certain of our suppliers are better able to manage their inventory levels and reduce the amount of their excess inventory, the amount of discount merchandise available to us could also be materially reduced, potentially compromising our profit margin for procured merchandise.</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e-commerce business faces distinct risks, and our failure to successfully manage it could have a negative impact on our profitability.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e-commerce retailer, we encounter risks and difficulties frequently experienced by internet-based businesses. 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68" w:lineRule="exact"/>
        <w:rPr>
          <w:sz w:val="20"/>
          <w:szCs w:val="20"/>
          <w:color w:val="auto"/>
        </w:rPr>
      </w:pPr>
    </w:p>
    <w:p>
      <w:pPr>
        <w:jc w:val="both"/>
        <w:ind w:left="66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our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telephone service or power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computer hardware and software, as well as delivery of merchandise to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technology changes;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or debit card fraud and other payment processing related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federal, state and international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online content;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consumer privacy concerns and regulation;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adverse weather conditions.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security breach or disruption to these websites or our failure to properly provide the services called for by these agreements.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OFAC,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if our e-commerce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inventory levels fluctuate on a seasonal basis.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seasonal fluctuation. We typically realize a higher portion of net sales during the first fiscal quarter,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fiscal quarter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arising from our investments in technological innovators in the optical retail industry, which would negatively affect our financial results.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regularly presented with opportunities to invest and have invested in certain venture-backed emerging companies and technological innovators across the optical retail industry. Such investments could include equity or debt instruments in companies that may be non-marketable. The success of these companies may depend on product development, market acceptance, operational efficiency and other key business factors. If any of these companies fail, we could lose all or part of our investment in that company. If we determine that impairment indicators exist and that there are other-than-temporary declines in the fair value of the investment, we may be required to write down the investments to their fair value and recognize the related write-down as an investment loss.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four laboratories in the United States and our in-store laboratories at our Eyeglass World locations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customers, employees,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the value of our brand and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debt obligations.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29, 2018, we had approximately $564.3 million of aggregate principal amount of indebtedness outstanding (excluding capital lease obligations). Our leverage could have important consequences for us, including:</w:t>
      </w:r>
    </w:p>
    <w:p>
      <w:pPr>
        <w:spacing w:after="0" w:line="54"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capitalizing on business opportunities;</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execution of our business strategy, debt service requirements, acquisitions and other general corporate purposes;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of December 29, 2018, after inclusion of $465.0 million interest rate swaps fixing a portion of the variable rate debt, $99.3 million, or 17.6%, of our term loans was subject to variable rates. As a result, an increase in interest rates, whether because of an increase in market interest rates or a decrease in our creditworthiness, could increase the cost of servicing our debt and could materially reduce our profitability and cash flows.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LIBOR and certain other “benchmarks” are the subject of recent national, international, and other regulatory guidance and proposals for reform. These reforms may cause such benchmarks to perform differently than in the past or have other consequences which cannot be predicted. On July 27, 2017, the United Kingdom’s Financial Conduct Authority, which regulates LIBOR, publicly announced that it intends to stop persuading or compelling banks to submit LIBOR rates after 2021. It is expected that a transition away from the widespread use of LIBOR to alternative rates will occur over the course of the next several years. As a result of this transition, interest rates on our floating rate obligations, may be adversely affected. Further, any uncertainty regarding the continued use and reliability of LIBOR as a benchmark interest rate could adversely affect the value of our floating rate obligations.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that limit our flexibility in operating our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modify the terms of certain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credit agreement also contains certain customary affirmative covenants and events of default, including a change of control. The credit agreement also contains (i) a springing financial maintenance requirement with respect to the revolving credit facility, prohibiting us from exceeding a certain first lien secured leverage ratio under certain circumstances and (ii) financial maintenance covenants with respect to the term loan A facility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could have a material adverse effect on our business, financial condition and results of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business, financial condition and results of operations could be materially adversely affected.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29, 2018, the price of our common stock, as reported on NASDAQ, has ranged from a low of $26.41 on December 21, 2018, to a high of $45.72 on September 7, 2018. The trading price of our common stock may be volatile and may be adversely affected due to a number of factors, most of which we cannot control, including those listed under these “Risk Factors,” and the following:</w:t>
      </w:r>
    </w:p>
    <w:p>
      <w:pPr>
        <w:spacing w:after="0" w:line="6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optical retail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consumer spending environment;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natural disasters, war, acts of terrorism or responses to these events.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devotes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maintain effective internal controls could have a material adverse effect on our business and stock price, and any failure to maintain financial controls could result in our financial statements becoming unreliable. We currently have a material weakness in our internal controls over financial reporting.</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We have made, and will continue to make, changes to our internal controls and procedures for financial reporting to meet our reporting obligations as a public company. The process of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404(a) of the Sarbanes-Oxley Act, or Section 404, to furnish a report by management on, among other things, the effectiveness of our internal control over financial reporting in each annual report on Form 10-K.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is also required to issue an attestation report on the effectiveness of our internal controls in each annual report on Form 10-K.</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the final prospectus for our initial public offering, management concluded that we had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As of December 29, 2018, this material weakness was remediated. We also identified a material weakness related to a deficiency in the design of entity level controls to identify and assess changes in our business environment that could significantly impact the system of internal control over financial reporting. In part due to errors discovered related to lease accounting, the Company concluded this material weakness still exists as of December 29, 2018. While we have designed and implemented controls to remediate this material weakness, our efforts may not be successful. These remediation measures may be time consuming, costly, and may place significant demands on our financial and operational resources. If our efforts to remediate this material weakness are not successful, the remediated material weakness may reoccur or other material weaknesses could occur in the future. The financial results for periods prior to fiscal year 2018 have been revised to reflect corrections from the errors related to lease accounting as described in Note 1. “Business and Significant Accounting Policies- Correction of Errors in Previously Issued Financial Statements” under Notes to Consolidated Financial Statements included in Item 8, of this Form 10-K.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testing, or the testing by our independent registered public accounting firm, has revealed and may continue to reveal deficiencies in our internal controls over financial reporting that are deemed to be material weaknesses. Newly-identified material weaknesses could result in a material misstatement of our annual or quarterly consolidated financial statements or disclosures that may not be prevented or detected.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our outstanding shares, the 61,084,852 shares sold in the IPO, in the secondary offering of our common stock in March 2018 (the “March Secondary Offering”), in the secondary offering of our common stock in July 2018 (for which the overallotment option closed in early August) (the “July Secondary Offering”), and in the secondary offering of our common stock in November 2018 (the “November Secondary Offering” and together with the March Secondary Offering and the July Secondary Offering, the “Secondary Offerings”)), are freely tradable without restriction or further registration under the Securities Act of 1933, as amended (the “Securities Act”).</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in connection with the Secondary Offerings, our Board of Directors, pursuant to the management stockholder’s agreements and director stockholder’s agreements, elected to waive the transfer restrictions with respect to a number of shares of our common stock that management stockholders and director stockholders not participating in those offerings would have been eligible to sell in those offerings if they had exercised their piggyback registration rights. In addition, in connection with the July Secondary Offering, two of our executive officers, Reade Fahs and Jeff Busbee, had the transfer restrictions in their management stockholder’s agreements waived with respect to 30,000 shares and 3,750 shares, respectively. In connection with the July Secondary Offering and the November Secondary Offering, the Board of Directors also elected to waive the transfer restrictions with respect to a portion of the shares underlying the performance-based options that vested upon the consummation of these offerings.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10,077,411 shares of common stock held by affiliates of KKR and our directors and executive officers as of December 29, 2018, representing approximately 13% of the total outstanding shares of our common stock as of December 29, 2018, are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of the Securities Act.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a registration rights agreement, each of KKR and Berkshire has the right, subject to certain conditions, to require us to register the sale of their shares of our common stock under the Securities Act. By exercising its registration rights and selling a large number of shares, KKR or Berkshire could cause the prevailing market price of our common stock to decline. Certain of our other stockholders have “piggyback” registration rights with respect to future registered offerings of our common stock. The shares covered by registration rights represent 16% of our total common stock outstanding as of December 29, 2018. Registration of any of these outstanding shares of common stock would result in such shares becoming freely tradable without compliance with Rule 144 upon effectiveness of the registration statement.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December 29, 2018, there were stock options outstanding to purchase a total of 6,727,163 shares of our common stock and 99,314 shares of our common stock subject to restricted stock units. In addition, as of December 29, 2018, 4,206,039 shares of our common stock were reserved for future issuance under our incentive plans. In addition, we have reserved a total of 850,000 shares of our common stock for issuance under the 2018 Associate Stock Purchase Plan, of which 9,959 shares have been issued as of December 29, 2018. We have filed a registration statement on Form S-8 to register such shares and any shares purchased under our 2018 Associate Stock Purchase Plan will be available for sale in the open market, unless such shares are subject to Rule 144 limitations applicable to affiliates.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KKR has the ability to exert significant influence over us and its interests may conflict with ours or yours in the future.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29, 2018, KKR beneficially owned 11.7% of our common stock. As a result, KKR has the ability to exert significant influence on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KKR and its affiliates may have an interest in pursuing acquisitions, divestitures and other transactions that, in their judgment, could enhance their investment, even though such transactions might involve risks to you. For example, KKR could use its influence to have us pursue acquisitions that increase our indebtedness or sales of revenue-generating assets.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KKR and its affiliates are in the business of making investments in companies and may from time to time acquire and hold interests in businesses that compete directly or indirectly with us. Our amended and restated certificate of incorporation provides that neither KKR nor any of its affiliates or any director who is not employed by us (including any non-employee director who serves as one of our officers in both his director and officer capacities) or his or her affiliates have any duty to refrain from engaging, directly or indirectly, in the same business activities or similar business activities or lines of business in which we operate. KKR and its affiliates also may pursue acquisition opportunities that may be complementary to our business and, as a result, those acquisition opportunities may not be available to us.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KKR and its affiliates will be able to significantly influence the outcome of all matters requiring stockholder approval, including the election of our Board of Directors and potential acquisitions of our company. This concentration of voting power could deprive you of an opportunity to receive a premium for your shares of common stock as part of a sale of our company and ultimately might affect the market price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17" w:lineRule="exact"/>
        <w:rPr>
          <w:sz w:val="20"/>
          <w:szCs w:val="20"/>
          <w:color w:val="auto"/>
        </w:rPr>
      </w:pPr>
    </w:p>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is divided into three classes, with each class serving for staggered three-year terms;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 2⁄3 % of the shares of common stock entitled to vote generally in the election of directors; and</w:t>
      </w:r>
    </w:p>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 2⁄3 % of shares of common stock entitled to vote generally in the election of directors.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in additional series without stockholder approval.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lease all of our America’s Best and Eyeglass World retail stores. Our leases generally have a term of five to ten years, with renewal options that generally range from five to 15 years. Over the past few years, we have been entering into more leases with ten 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occupy our host and legacy locations through master agreements with our host partners, which contain standard terms and conditions, such as fixed and percentage-based payments.</w:t>
      </w:r>
    </w:p>
    <w:p>
      <w:pPr>
        <w:sectPr>
          <w:pgSz w:w="11900" w:h="16838" w:orient="portrait"/>
          <w:cols w:equalWidth="0" w:num="1">
            <w:col w:w="11440"/>
          </w:cols>
          <w:pgMar w:left="240" w:top="121" w:right="21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stores by location as of December 29, 2018 is as follows: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720" w:type="dxa"/>
            <w:vAlign w:val="bottom"/>
            <w:tcBorders>
              <w:top w:val="single" w:sz="8" w:color="auto"/>
              <w:lef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America’s</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Eyeglass</w:t>
            </w:r>
          </w:p>
        </w:tc>
        <w:tc>
          <w:tcPr>
            <w:tcW w:w="114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140" w:type="dxa"/>
            <w:vAlign w:val="bottom"/>
            <w:tcBorders>
              <w:top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04"/>
        </w:trPr>
        <w:tc>
          <w:tcPr>
            <w:tcW w:w="720" w:type="dxa"/>
            <w:vAlign w:val="bottom"/>
            <w:tcBorders>
              <w:left w:val="single" w:sz="8" w:color="auto"/>
            </w:tcBorders>
            <w:vMerge w:val="continue"/>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Best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World</w:t>
            </w:r>
          </w:p>
        </w:tc>
        <w:tc>
          <w:tcPr>
            <w:tcW w:w="1140" w:type="dxa"/>
            <w:vAlign w:val="bottom"/>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tcBorders>
          </w:tcPr>
          <w:p>
            <w:pPr>
              <w:spacing w:after="0"/>
              <w:rPr>
                <w:sz w:val="9"/>
                <w:szCs w:val="9"/>
                <w:color w:val="auto"/>
              </w:rPr>
            </w:pPr>
          </w:p>
        </w:tc>
        <w:tc>
          <w:tcPr>
            <w:tcW w:w="11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2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AK</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AL</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AR</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AZ</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CA</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64</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HI</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ID</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IL</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KS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KY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MA</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MD</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ME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MI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MN</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7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3"/>
        </w:trPr>
        <w:tc>
          <w:tcPr>
            <w:tcW w:w="720" w:type="dxa"/>
            <w:vAlign w:val="bottom"/>
            <w:tcBorders>
              <w:lef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
        </w:trPr>
        <w:tc>
          <w:tcPr>
            <w:tcW w:w="72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7"/>
        </w:trPr>
        <w:tc>
          <w:tcPr>
            <w:tcW w:w="1040" w:type="dxa"/>
            <w:vAlign w:val="bottom"/>
            <w:tcBorders>
              <w:top w:val="single" w:sz="8" w:color="auto"/>
              <w:left w:val="single" w:sz="8" w:color="auto"/>
            </w:tcBorders>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America’s</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Eyeglass</w:t>
            </w:r>
          </w:p>
        </w:tc>
        <w:tc>
          <w:tcPr>
            <w:tcW w:w="11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Legacy</w:t>
            </w:r>
          </w:p>
        </w:tc>
        <w:tc>
          <w:tcPr>
            <w:tcW w:w="1140" w:type="dxa"/>
            <w:vAlign w:val="bottom"/>
            <w:tcBorders>
              <w:top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04"/>
        </w:trPr>
        <w:tc>
          <w:tcPr>
            <w:tcW w:w="1040" w:type="dxa"/>
            <w:vAlign w:val="bottom"/>
            <w:tcBorders>
              <w:left w:val="single" w:sz="8" w:color="auto"/>
            </w:tcBorders>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Best</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World</w:t>
            </w:r>
          </w:p>
        </w:tc>
        <w:tc>
          <w:tcPr>
            <w:tcW w:w="1120" w:type="dxa"/>
            <w:vAlign w:val="bottom"/>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tcBorders>
          </w:tcPr>
          <w:p>
            <w:pPr>
              <w:spacing w:after="0"/>
              <w:rPr>
                <w:sz w:val="9"/>
                <w:szCs w:val="9"/>
                <w:color w:val="auto"/>
              </w:rPr>
            </w:pPr>
          </w:p>
        </w:tc>
        <w:tc>
          <w:tcPr>
            <w:tcW w:w="12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40" w:type="dxa"/>
            <w:vAlign w:val="bottom"/>
            <w:tcBorders>
              <w:left w:val="single" w:sz="8" w:color="auto"/>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CCEEFF"/>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MT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ND</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NH</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NJ</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NM</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NV</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NY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6"/>
              </w:rPr>
              <w:t>OH</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6"/>
              </w:rPr>
              <w:t>OK</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3"/>
              </w:rPr>
              <w:t>PA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RI</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SC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SD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TN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TX</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UT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86"/>
              </w:rPr>
              <w:t>VA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VT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4"/>
              </w:rPr>
              <w:t>WA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WI</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WV</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auto"/>
              <w:bottom w:val="single" w:sz="8" w:color="CCEEFF"/>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WY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ectPr>
          <w:pgSz w:w="11900" w:h="16838" w:orient="portrait"/>
          <w:cols w:equalWidth="0" w:num="2">
            <w:col w:w="5500" w:space="240"/>
            <w:col w:w="5700"/>
          </w:cols>
          <w:pgMar w:left="240" w:top="121" w:right="2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i w:val="1"/>
          <w:iCs w:val="1"/>
          <w:color w:val="auto"/>
        </w:rPr>
        <w:t>Note: ‘Other’ includes Vista Optical in Fred Meyer stores and on military bases. There is one America’s Best location in Washington, D.C. and one Vista Optical location in Puerto Rico.</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laboratories in Georgia, Texas and Utah and distribution centers in Georgia and Ohio, and we own our laboratory in Minnesota.</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corporate offices are located in approximately 73,000 square feet of leased space in Duluth, Georgia. In addition, we lease approximately 27,000 square feet of office space for our AC Lens corporate office in Columbus, Ohio and we lease approximately 3,000 square feet of office space for our FirstSight corporate office in Upland, California.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40"/>
          </w:cols>
          <w:pgMar w:left="240" w:top="121" w:right="21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normal course of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We believe that the claims alleged are without merit and intend to continue to defend the litigation vigorously.</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2017, a complaint was filed against us and other defendants alleging, on behalf of a proposed class of consumers 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other legal proceedings that we believe would have a material adverse effect on our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“EYE” since October 26, 2017, the Company’s initial day of trading. Prior to that date,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29, 2018, there were approximately 41 holders of record of our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and year ended December 29, 2018, we did not purchase any of our equity securities that are registered under Section 12(b) of the Exchange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dividends in the past and have no current plans to pay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graph below presents the Company’s cumulative total stockholder returns relative to the performance of the NASDAQ Global Composite Index and the NASDAQ US Benchmark Retail Index commencing October 26, 2017 (the Company’s initial day of trading) through December 29, 2018. All values assume a $100 initial investment at the opening price of the Company’s common stock on NASDAQ and data for the NASDAQ Global Composite Index and the NASDAQ US Benchmark Retail Index assumes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62230</wp:posOffset>
            </wp:positionV>
            <wp:extent cx="5351145" cy="2272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114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our selected historical consolidated financial data as of the dates and for the periods indicated. For the purpose of discussing our financial results, we refer to ourselves as the “Successor” in the periods following the KKR Acquisition and the “Predecessor” during the periods preceding the KKR Acquisition.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selected historical consolidated financial data as of and for fiscal years 2018 (Successor) and 2017 (Successor), and for the fiscal year 2016 (Successor) have been derived from our audited consolidated financial statements included elsewhere in this Form 10-K. The selected historical consolidated financial data as of fiscal year 2016 (Successor), as of and for fiscal year 2015(Successor), and for the period from March 13, 2014 to January 3, 2015 (Successor) and as of and for the period from December 29, 2013 to March 12, 2014 (Predecessor) have been derived from our audited consolidated financial statements not included in this Form 10-K.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financial data set forth below should be read in conjunction with, and is qualified by reference to, “Management’s Discussion and Analysis of Financial Condition and Results of Operations” and our audited consolidated financial statements and related notes thereto, each included elsewhere in this Form 10-K.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data set forth below for Successor periods prior to fiscal year 2018 has been revised to reflect corrections from errors related to lease accounting as described in Note 1. “Business and Significant Accounting Policies-Correction of Errors in Previously Issued Financial Statements” under Notes to Consolidated Financial Statements included in Item 8, of this Form 10-K.</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25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Successor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Predecessor</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vMerge w:val="continue"/>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per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From March 13,</w:t>
            </w:r>
          </w:p>
        </w:tc>
        <w:tc>
          <w:tcPr>
            <w:tcW w:w="10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From December</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Fiscal Year 2018</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Fiscal Year 2017</w:t>
            </w: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Fiscal Year 2016</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Fiscal Year 2015</w:t>
            </w:r>
          </w:p>
        </w:tc>
        <w:tc>
          <w:tcPr>
            <w:tcW w:w="150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2014 to January</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29, 2013 to</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share</w:t>
            </w:r>
          </w:p>
        </w:tc>
        <w:tc>
          <w:tcPr>
            <w:tcW w:w="320" w:type="dxa"/>
            <w:vAlign w:val="bottom"/>
          </w:tcPr>
          <w:p>
            <w:pPr>
              <w:spacing w:after="0"/>
              <w:rPr>
                <w:sz w:val="19"/>
                <w:szCs w:val="19"/>
                <w:color w:val="auto"/>
              </w:rPr>
            </w:pPr>
          </w:p>
        </w:tc>
        <w:tc>
          <w:tcPr>
            <w:tcW w:w="1040" w:type="dxa"/>
            <w:vAlign w:val="bottom"/>
          </w:tcPr>
          <w:p>
            <w:pPr>
              <w:jc w:val="right"/>
              <w:ind w:right="531"/>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3, 2015</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March 12, 2014</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500" w:type="dxa"/>
            <w:vAlign w:val="bottom"/>
            <w:tcBorders>
              <w:top w:val="single" w:sz="8" w:color="CCEEFF"/>
            </w:tcBorders>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Consolidated Statement of</w:t>
            </w: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 Data: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1,536,854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1,375,308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1,196,195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1,062,528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735,680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applicable to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713,571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544,781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366,476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93,194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780,932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674,051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587,345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527,965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382,382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93,873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26,823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5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Earnings (loss) before income</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24,977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43,138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0" w:type="dxa"/>
            <w:vAlign w:val="bottom"/>
          </w:tcPr>
          <w:p>
            <w:pPr>
              <w:spacing w:after="0"/>
              <w:rPr>
                <w:sz w:val="19"/>
                <w:szCs w:val="19"/>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55,807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55,807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Cash Flow Data: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106,628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90,252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97,588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83,131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17,996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 (at period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1,661,389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1,581,939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1,530,124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1,475,286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1,444,884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578,112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745,625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601,452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743,154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654,600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399,581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385,339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523,450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60" w:right="40" w:firstLine="2"/>
        <w:spacing w:after="0" w:line="262" w:lineRule="auto"/>
        <w:tabs>
          <w:tab w:leader="none" w:pos="26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 for the fiscal year 2018 is presented under the new revenue recognition guidance, while amounts for prior years are not adjusted and continue to be reported in accordance with the historic accounting under the previous revenue recognition guidance.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08"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We conduct substantially all of our activities through our 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2018” relate to the 52 weeks ended December 29, 2018, references herein to “fiscal year 2017” relate to the 52 weeks ended December 30, 2017 and references herein to “fiscal year 2016” relate to the 52 weeks ended December 31, 2016.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Prior Period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2018, we identified and corrected immaterial errors related to lease accounting for all periods presented in our consolidated financial statements. For further details, refer to Note 1. Business and Significant Accounting Policies: Correction of Errors in Previously Issued Financial Statements in our consolidated financial statements included in Part II. Item 8. of this Form 10-K. Accordingly, we have revised prior period financial results contained in this Form 10-K to correct the effect of these errors for the corresponding periods. Management’s discussion and analysis included herein is based on the revised financial results for the years ended December 30, 2017 and December 31, 2016.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1,082 retail stores across five brands and 19 consumer websites as of fiscal year end 2018.</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fiscal year end 2018, our owned brands consisted of 657 America’s Best Contacts and Eyeglasses (“America’s Best”) retail stores and 115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many customer orders and make repairs on site. Eyeglass World stores are primarily located in freestanding or in-suite locations near high-foot-traffic shopping centers. Our two host brands consisted of 54 Vista Optical locations on military bases and 29 Vista Optical locations within Fred Meyer stores as of fiscal year end 2018. We have strong, long-standing relationships with our host partners and have maintained each partnership for over 19 years. Both host brands compete within the value segment of the U.S. optical retail industry. These brands provide eye exams principally by independent optometrists in nearly all locations. All brands utilize our centralized laboratories. This segment also includes sales from our three store omni-channel brand websites.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 We manage the operations of, and supply inventory and laboratory processing services to, 227 Vision Centers in Walmart retail locations as of fiscal year end 2018. Under our management &amp; services agreement with Walmart,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the provision of optometric examination services. During the fiscal year 2018, sales associated with our legacy partner arrangement represented 10.0% of consolidated net revenue. This exposes us to concentration of customer risk. Our agreements with our legacy partner expire on August 23, 2020, and will automatically renew for a three-year period unless a party elects not to renew.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platform of 16 dedicated websites managed by our wholly-owned subsidiary, Arlington Contact Lens Service, Inc. (“AC Lens”). Our e-commerce business consists of six proprietary branded websites, including aclens.com, discountglasses.com and discountcontactlenses.com, and 10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eyecare accessories.</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Lens also distributes contact lenses to Walmart and Sam’s Club under fee for service arrangements. We record revenue for these activities and we incur costs at a higher percentage of sales than other product categories, given the wholesale nature of the business.</w:t>
      </w: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care business conducted by FirstSight Vision Services, Inc. (“FirstSight”), our wholly-owned subsidiary that is licensed as a single-service health plan under California law, which arranges for the provision of optometric services at the offices next to certain Walmart stores throughout California, and also issues individual vision care benefit plans in connection with our America’s Best operations in California.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supervision for stores included in our two reportable segments.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consolidated financial statements, except reportable segment sales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the effects of unearned and deferred revenue. See Note 15. "Segment Reporting" in our consolidated financial statements included in Part II. Item 8. of this Form 10-K.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represents cash basis sales of product protection plans and club memberships at the point of sale, and is the timing difference of when we collect the cash from the customer and when those services are performed. The increases or decreases in deferred revenue represent cash collections in the reporting period in excess of or below the recognition of previous deferrals. A roll-forward of deferred revenue is presented in Note 11. “Deferred Revenue.” in our consolidated financial statements included in Part II. Item 8. of this Form 10-K.</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Unearned revenue represents cash basis sales of prescription eyewear only for approximately the last week of the reporting period and is the result of the timing difference of when we collect the cash from the customer and the delivery/customer acceptance of the product.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trends and other factors affect or have affected our operating results, including: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may vary depending on various factors such as the store opening date, the time of year of a particular opening, the amount of store opening costs, the amount of store occupancy costs, its level of participation in managed care plans,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optometric professionals, store management and store personnel, which, together with increased marketing costs, affects our operating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Store Sales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store sales growth is a key driver of our business. Various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nature of eyecare 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customer preferences and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an assortment of high quality/low cost product offerings that generate new and repeat visits to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experience we provide in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vision care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optometrist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receive products accurately and timely;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including promotional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items purchased per store visit;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that have been in operation for more than 12 months;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and timing of weather related store closures.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new store is included in the comparable store sales calculation during the thirteenth full fiscal month following the store’s opening. Closed stores are removed from the calculation for time periods that are not comparable. In the past, we have closed our stores as a result of poor store performance, lease expiration or non-renewal and/or the terms of our arrangements with our host and legacy partners.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Care and Insurance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managed care business relates to vision care programs and associated benefits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increasing percentage of our customers receive vision insurance coverage through managed care payors. These payors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As our managed care business continues to expand, we have incurred and expect to incur additional costs related to this area of our business. Our future operational success could depend on our ability to negotiate, maintain and extend contracts with managed vision care companies, vision insurance providers and other third-party payors, several of whom have significant market share. In addition, as our managed care business continues to grow closer to overall industry penetration levels, we expect our associated revenue growth rate to slow over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Vision Care Professional Recruitment and Coverage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continue to attract and retain qualified vision care professionals is key to store operations, as well as maintaining our relationships with independent optometrists and professional corporations owned by eye care practitioners that provide vision care services in our stores.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Economic Trends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However, eye care purchases are predominantly a medical necessity and are considered non-discretionary in nature. Therefore, the overall economic environment and related changes in consumer behavior may have less of an impact on our business than for retailers in other industries. Our customers also benefit from our low prices during periods of economic downturn and uncertainty.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 and Demand</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Investment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historical results of operations reflect the impact of our ongoing investments in infrastructure to support our growth. We have made significant investments in information technology systems, supply chain systems and marketing. These investments include significant additions to our personnel, including experienced industry executives, and management and merchandising teams to support our long-term growth objectives. We intend to continue making targeted investments in our infrastructure as necessary to support our growth.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Strategy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Source and Distribute Products Effectively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2018, 90% of lens expenditures were from this vendor, 93% of contact lens expenditures were with three vendors and 52% of frame expenditures were with two vendors.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 presidential administration imposes significant tariffs or other restrictions on imports from China, it could have an adverse impact on our business. We source merchandise from suppliers located in China, a significant amount of our domestically-purchased merchandise is manufactured abroad, including in China, and one of our outsourced optometric labs is located in China. Any such tariffs, restrictions or other changes could lead to additional costs, delays in shipments, embargos and other uncertainties that could negatively impact our relationships with our international vendors and labs and materially adversely affect our business, including by requiring us to increase our prices and identify alternative sources for merchandise and labs. Current tariffs do not have a material impact on our financial results, and we believe that less than 16% of costs applicable to revenue is subject to potential tariffs on Chinese imports.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increases in product costs due to materials cost increases or general inflation could lead to greater profitability pressure as we may not be able to pass costs on to consumers. To date, changes in materials prices and general inflation have not materially impacted our business.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Results and Seasonality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during that period is deferred until January due to our policy of recognizing revenue only after the product has been accepted by the customer, further contributing to higher first quarter results.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fiscal years 2018 and 2017, approximately 23% of our revenues were recorded in the fourth quarter, but approximately 24% and 25%, respectively, of annual SG&amp;A costs were also recorded in the fourth quarter for those years, due to certain SG&amp;A costs being more fixed in nature. In addition to lower revenues in the fourth quarter compared to the other quarters, our fourth quarter operating income may include annual impairment charges, which may further reduce operating income relative to other quarters.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optical retail industry is highly competitive. Competition is generally based upon brand name recognition, price, convenience, selection, service and product quality.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in the Industry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Recently announced mergers of large, global competitors will create organizations that are 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 Other trends include the formation of buying groups and similar forms of practice affiliations.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Adjusted EBITDA, Adjusted EBITDA Margin and Adjusted Net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HMO memberships. Net sales of services and plans also includes fees we earn for managing certain Vision Centers located in Walmart stores, and for laboratory services provided to Walmart.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club memberships, HMO membership fees, eye care practitioner and eye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or SG&amp;A, include store associate (including optician) payroll, taxes and benefits, occupancy, advertising and promotion, field supervision,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and will continue to have, an impact on our results as described above in “— Trends and Other Factors Affecting Our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and Adjusted Net Income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income, plus interest expense, income tax provision (benefit) and depreciation and amortization, as further adjusted to exclude stock compensation expense, costs associated with debt refinancing, asset impairment, non-cash inventory write-offs, management fees, new store pre-opening expenses, non-cash rent, litigation settlements, secondary offering expenses, long-term incentive plan expenses and other expenses. We define Adjusted EBITDA Margin as Adjusted EBITDA as a percentage of total net revenue. We define Adjusted Net Income as net income, further adjusted to exclude stock compensation expense, costs associated with debt refinancing, asset impairment, non-cash inventory write-offs, management fees, new store pre-opening expenses, non-cash rent, litigation settlement, secondary offering expenses, long-term incentive plan expenses, amortization of acquisition intangibles and deferred financing costs, other expenses, the tax benefit of stock option exercises, effect of Tax Cuts and Jobs Act (“Tax Legislation”), and the tax effect of adjustments recorded during fiscal year 2018. Adjusted EBITDA, Adjusted EBITDA Margin and Adjusted Net Income are key metrics used by management to assess our financial performance. Adjusted EBITDA, Adjusted EBITDA Margin and Adjusted Net Income are also frequently used by analysts, investors and other interested parties. We use Adjusted EBITDA, Adjusted EBITDA Margin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percentage and store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Fiscal Year</w:t>
            </w:r>
          </w:p>
        </w:tc>
        <w:tc>
          <w:tcPr>
            <w:tcW w:w="260" w:type="dxa"/>
            <w:vAlign w:val="bottom"/>
          </w:tcPr>
          <w:p>
            <w:pPr>
              <w:spacing w:after="0"/>
              <w:rPr>
                <w:sz w:val="18"/>
                <w:szCs w:val="18"/>
                <w:color w:val="auto"/>
              </w:rPr>
            </w:pPr>
          </w:p>
        </w:tc>
        <w:tc>
          <w:tcPr>
            <w:tcW w:w="1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260" w:type="dxa"/>
            <w:vAlign w:val="bottom"/>
          </w:tcPr>
          <w:p>
            <w:pPr>
              <w:spacing w:after="0"/>
              <w:rPr>
                <w:sz w:val="18"/>
                <w:szCs w:val="18"/>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980,953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267,242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215,242</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1,536,854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1,375,308</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1,196,195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Costs applicable to revenue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456,078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390,369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 and plans</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154,412</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713,571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636,966</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544,781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525,869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52,677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Litigation 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780,932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674,051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587,345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39,092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stores opened during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136,770</w:t>
            </w:r>
          </w:p>
        </w:tc>
        <w:tc>
          <w:tcPr>
            <w:tcW w:w="0" w:type="dxa"/>
            <w:vAlign w:val="bottom"/>
          </w:tcPr>
          <w:p>
            <w:pPr>
              <w:spacing w:after="0"/>
              <w:rPr>
                <w:sz w:val="1"/>
                <w:szCs w:val="1"/>
                <w:color w:val="auto"/>
              </w:rPr>
            </w:pPr>
          </w:p>
        </w:tc>
      </w:tr>
      <w:tr>
        <w:trPr>
          <w:trHeight w:val="60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260" w:type="dxa"/>
            <w:vAlign w:val="bottom"/>
          </w:tcPr>
          <w:p>
            <w:pPr>
              <w:spacing w:after="0"/>
              <w:rPr>
                <w:sz w:val="24"/>
                <w:szCs w:val="24"/>
                <w:color w:val="auto"/>
              </w:rPr>
            </w:pPr>
          </w:p>
        </w:tc>
        <w:tc>
          <w:tcPr>
            <w:tcW w:w="1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Fiscal Year</w:t>
            </w:r>
          </w:p>
        </w:tc>
        <w:tc>
          <w:tcPr>
            <w:tcW w:w="260" w:type="dxa"/>
            <w:vAlign w:val="bottom"/>
          </w:tcPr>
          <w:p>
            <w:pPr>
              <w:spacing w:after="0"/>
              <w:rPr>
                <w:sz w:val="24"/>
                <w:szCs w:val="24"/>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675"/>
        </w:trPr>
        <w:tc>
          <w:tcPr>
            <w:tcW w:w="562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52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2018 compared to Fiscal Year 2017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fiscal year 2018 compared to fiscal year 2017.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Comparable store sales growth</w:t>
            </w:r>
            <w:r>
              <w:rPr>
                <w:rFonts w:ascii="Times New Roman" w:cs="Times New Roman" w:eastAsia="Times New Roman" w:hAnsi="Times New Roman"/>
                <w:sz w:val="8"/>
                <w:szCs w:val="8"/>
                <w:color w:val="auto"/>
              </w:rPr>
              <w:t>(1)</w:t>
            </w: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Stores open at end of period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Net revenue</w:t>
            </w:r>
            <w:r>
              <w:rPr>
                <w:rFonts w:ascii="Times New Roman" w:cs="Times New Roman" w:eastAsia="Times New Roman" w:hAnsi="Times New Roman"/>
                <w:sz w:val="8"/>
                <w:szCs w:val="8"/>
                <w:color w:val="auto"/>
              </w:rPr>
              <w:t>(2)</w:t>
            </w:r>
          </w:p>
        </w:tc>
        <w:tc>
          <w:tcPr>
            <w:tcW w:w="10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66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auto"/>
              </w:rPr>
              <w:t>In thousands, except percentage and store</w:t>
            </w:r>
          </w:p>
        </w:tc>
        <w:tc>
          <w:tcPr>
            <w:tcW w:w="110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color w:val="auto"/>
              </w:rPr>
              <w:t>Fiscal Year</w:t>
            </w:r>
          </w:p>
        </w:tc>
        <w:tc>
          <w:tcPr>
            <w:tcW w:w="110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color w:val="auto"/>
              </w:rPr>
              <w:t>Fiscal Year</w:t>
            </w:r>
          </w:p>
        </w:tc>
        <w:tc>
          <w:tcPr>
            <w:tcW w:w="9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rPr>
              <w:t>Fiscal Year</w:t>
            </w:r>
          </w:p>
        </w:tc>
        <w:tc>
          <w:tcPr>
            <w:tcW w:w="9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rPr>
              <w:t>Fiscal Year</w:t>
            </w:r>
          </w:p>
        </w:tc>
        <w:tc>
          <w:tcPr>
            <w:tcW w:w="260" w:type="dxa"/>
            <w:vAlign w:val="bottom"/>
          </w:tcPr>
          <w:p>
            <w:pPr>
              <w:spacing w:after="0"/>
              <w:rPr>
                <w:sz w:val="13"/>
                <w:szCs w:val="13"/>
                <w:color w:val="auto"/>
              </w:rPr>
            </w:pPr>
          </w:p>
        </w:tc>
        <w:tc>
          <w:tcPr>
            <w:tcW w:w="2000" w:type="dxa"/>
            <w:vAlign w:val="bottom"/>
            <w:gridSpan w:val="2"/>
            <w:vMerge w:val="restart"/>
          </w:tcPr>
          <w:p>
            <w:pPr>
              <w:jc w:val="right"/>
              <w:ind w:right="552"/>
              <w:spacing w:after="0"/>
              <w:rPr>
                <w:sz w:val="20"/>
                <w:szCs w:val="20"/>
                <w:color w:val="auto"/>
              </w:rPr>
            </w:pPr>
            <w:r>
              <w:rPr>
                <w:rFonts w:ascii="Times New Roman" w:cs="Times New Roman" w:eastAsia="Times New Roman" w:hAnsi="Times New Roman"/>
                <w:sz w:val="14"/>
                <w:szCs w:val="14"/>
                <w:color w:val="auto"/>
              </w:rPr>
              <w:t>Fiscal Year 2018</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4"/>
                <w:szCs w:val="14"/>
                <w:color w:val="auto"/>
              </w:rPr>
              <w:t>Fiscal Year 2017</w:t>
            </w:r>
          </w:p>
        </w:tc>
        <w:tc>
          <w:tcPr>
            <w:tcW w:w="0" w:type="dxa"/>
            <w:vAlign w:val="bottom"/>
          </w:tcPr>
          <w:p>
            <w:pPr>
              <w:spacing w:after="0"/>
              <w:rPr>
                <w:sz w:val="1"/>
                <w:szCs w:val="1"/>
                <w:color w:val="auto"/>
              </w:rPr>
            </w:pPr>
          </w:p>
        </w:tc>
      </w:tr>
      <w:tr>
        <w:trPr>
          <w:trHeight w:val="195"/>
        </w:trPr>
        <w:tc>
          <w:tcPr>
            <w:tcW w:w="2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Best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971,384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848,294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Eyeglass World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163,932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150,287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Military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23,748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25,340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Fred Meyer</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14,338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14,646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Owned &amp; host segment 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1,173,402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99"/>
              </w:rPr>
              <w:t>1,038,567</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154,412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153,842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Corporate/Other</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212,427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191,890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Reconciliations</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(3,387)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(8,991)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1,536,854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99"/>
              </w:rPr>
              <w:t>1,375,308</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85"/>
        </w:trPr>
        <w:tc>
          <w:tcPr>
            <w:tcW w:w="2660" w:type="dxa"/>
            <w:vAlign w:val="bottom"/>
            <w:gridSpan w:val="2"/>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Adjusted comparable store sales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660" w:type="dxa"/>
            <w:vAlign w:val="bottom"/>
            <w:gridSpan w:val="2"/>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7" w:lineRule="exact"/>
        <w:rPr>
          <w:sz w:val="20"/>
          <w:szCs w:val="20"/>
          <w:color w:val="auto"/>
        </w:rPr>
      </w:pPr>
    </w:p>
    <w:p>
      <w:pPr>
        <w:jc w:val="both"/>
        <w:ind w:left="340" w:hanging="332"/>
        <w:spacing w:after="0" w:line="24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15. "Segment Reporting" in our consolidated financial statements included in Part II. Item 8. of this Form 10-K, with the exception of the legacy segment, which is adjusted as noted in clause (ii) of footnote (3) below.</w:t>
      </w:r>
    </w:p>
    <w:p>
      <w:pPr>
        <w:spacing w:after="0" w:line="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5"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0.8% and 0.7% from total comparable store sales growth based on consolidated net revenue for fiscal year 2018 and fiscal year 2017, respectively, and (ii) adjusted comparable store sales growth includes retail sales to the legacy partner’s customers (rather than the revenues recognized consistent with the management &amp; services agreement), resulting in a decrease of 0.2% from total comparable store sales growth based on consolidated net revenue for each of the fiscal years 2018 and 2017.</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$1,536.9 million for fiscal year 2018 increased $161.5 million, or 11.7%, from $1,375.3 million for fiscal year 2017. This increase was driven approximately 45% by comparable store sales growth, approximately 40% by new stores and approximately 15% by order volume in our AC Lens business within the Corporate/Other segment.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year 2018, we opened 74 new stores, including 65 new America’s Best stores and nine new Eyeglass World stores. Additionally, we closed two America’s Best stores, one Eyeglass World store and two Military locations. Overall, store count grew 6.8% from the end of fiscal year 2017 to the end of fiscal year 2018. Comparable store sales growth and adjusted comparable store sales growth was 6.7% and 5.7% for fiscal year 2018, respectively. Comparable store sales growth and adjusted comparable store sales growth were driven by increases in customer transactions and, to a lesser extent, average ticket. We believe the increases in net revenue and customer transactions were primarily due to execution of our key strategies, including new store openings and maturation, advertising and expansion of our participation in managed care programs.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product sales comprised 82.6% and 82.1% of total net revenue for fiscal years 2018 and 2017, respectively. Net product sales increased $140.3 million, or 12.4% during fiscal year 2018 compared to fiscal year 2017, driven primarily by eyeglass sales and, to a lesser extent, contact lens sales. Net sales of services and plans increased $21.2 million, or 8.6%, driven primarily by eye exam sales in our owned &amp; host segment. The eye exam increase was driven primarily by expanding participation in managed care programs and our store growth. To a lesser extent, product protection program sales and Eyecare Club membership sales also contributed to the increase. The increase in product protection program sales was driven by our America’s Best brand. The increase in Eyecare Club membership revenue was primarily driven by the $1.3 million deferred revenue accounting change in fiscal year 2018 discussed in Note 1. “Business and Significant Accounting Policies” of our audited consolidated financial statements included in Part II. Item 8. of this Form 10-K.</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changes in applicable California law, optometrists employed by FirstSight were transferred to a professional corporation that contracts directly with our legacy segment in part during the third quarter of fiscal year 2017 and the remainder in the fourth quarter of 2018. This change led to an increase in legacy segment eye exam revenue and optometrist payroll costs of $2.2 million and $1.9 million, respectively, in fiscal year 2018. A corresponding decrease was recorded in our FirstSight subsidiary within the Corporate/Other segment. Therefore, the change had no impact on consolidated operating income. As of fiscal year end 2018, all of the applicable optometrists have been transferred.</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these changes in California law, effective October 1, 2017, FirstSight ceased the sale of vision managed care products in Walmart locations in California that are not operated by the Company. As a result, FirstSight net revenue and associated costs in fiscal year 2018 were both approximately $5.4 million lower than fiscal year 2017.</w:t>
      </w:r>
    </w:p>
    <w:p>
      <w:pPr>
        <w:spacing w:after="0" w:line="39"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for our owned &amp; host segment increased $134.8 million, or 13.0%, due to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new store openings which increased sales across our key product categories. The growth was predominantly driven by performance in America’s Best and Eyeglass World.</w:t>
      </w:r>
    </w:p>
    <w:p>
      <w:pPr>
        <w:spacing w:after="0" w:line="6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for our legacy segment grew $0.6 million, or 0.4%, primarily driven by higher eye exam sales, partially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lower service fee income from our legacy partner resulting from lower customer transactions. The increased eye exam sales were primarily the result of changes to our FirstSight operations required by changes in applicable California law discussed above. The FirstSight operations changes resulted in a favorable impact of approximately 115 basis points in comparable store sales growth in the legacy segment.</w:t>
      </w:r>
    </w:p>
    <w:p>
      <w:pPr>
        <w:spacing w:after="0" w:line="7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 the Corporate/Other segment increased $20.5 million, or 10.7%, driven by unit growth in our 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Lens business from the recently expanded role in the contact lens distribution relationship with Walmart and our online retail business, which was partially offset by a $7.6 million reduction in sales as a result of the combined FirstSight operations changes discussed above.</w:t>
      </w:r>
    </w:p>
    <w:p>
      <w:pPr>
        <w:spacing w:after="0" w:line="65"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Reconciliations include increases in deferred revenue of $3.9 million and $6.8 million, and a decrease in unearned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$0.5 million and an increase in unearned revenue of $2.2 million for fiscal year 2018 and fiscal year 2017, respectively. The accounting change described in Note 1. “Business and Significant Accounting Policies” of our audited consolidated financial statements included in Part II. Item 8. of this Form 10-K contributed to the lower increase in deferred revenue for fiscal year 2018 compared to fiscal year 2017, due to acceleration of deferred revenue amortization in fiscal year 2018. Deferred revenue was also driven by slower growth in our product protection plan sales and Eyecare Club membership sales than other product categories.</w:t>
      </w:r>
    </w:p>
    <w:p>
      <w:pPr>
        <w:spacing w:after="0" w:line="7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Differences between the change in unearned revenue for fiscal year 2018 and fiscal year 2017 were primarily the result of calendar influences on cash basis sales of prescription eyewear in our stores the last few days of the respective year. Unearned revenue was higher in December 2017 compared to December 2018 due to the sales volume during the last week of the fiscal year. Sales during the last week of fiscal year 2017 slightly exceeded the sales during last week of fiscal year 2018 impacted by shifts in selling days. These factors resulted in an overall decrease in unearned revenue in fiscal year 2018 when compared to fiscal year 2017.</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applicable to revenue of $713.6 million for fiscal year 2018 increased $76.6 million, or 12.0%, from $637.0 million for fiscal year 2017. As a percentage of net revenue, costs applicable to revenue increased from 46.3% for fiscal year 2017 to 46.4% for fiscal year 2018. The increase was primarily driven by increased optometrist costs and the growing AC Lens business described below, partially offset by a higher mix of eye exam sales as a result of our growing managed care business, higher vendor rebates primarily based on purchase volume, and a $2.3 million inventory write-off in the second half of fiscal year 2017, not recurring in 2018.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products as a percentage of net product sales decreased from 40.4% for fiscal year 2017 to 40.3% for fiscal year 2018, driven by higher rebates from vendors, $2.3 million inventory write-off in fiscal year 2017 not recurring in fiscal year 2018 and the impact of legacy managed care business as further described below, partially offset by our growing AC Lens business. Our AC Lens net revenue grew faster than our store brands during fiscal year 2018, and AC Lens had a higher cost of products as a percentage of net revenue than our other businesses.</w:t>
      </w:r>
    </w:p>
    <w:p>
      <w:pPr>
        <w:spacing w:after="0" w:line="7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 the owned &amp; host segment increased from 29.3%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2017 to 29.4% for fiscal year 2018.</w:t>
      </w:r>
    </w:p>
    <w:p>
      <w:pPr>
        <w:spacing w:after="0" w:line="50"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Costs of products as a percentage of net product sales in the legacy segment decreased from 46.5% for fiscal year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45.2% for fiscal year 2018. The decrease was primarily driven by increased eyeglass net revenue in fiscal year 2018 as a result of increased managed care business.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will improve product margins and have a corresponding negative impact on service margins in our legacy segment.</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73.5% for fiscal year 2017 to 75.6% for fiscal year 2018. The increase was primarily driven by higher optometrist costs, partially offset by increased eye exam sales as a result of our growing managed care business. Optometrist costs increased as a result of store coverage in new markets and wage inflation in certain geographic markets.</w:t>
      </w:r>
    </w:p>
    <w:p>
      <w:pPr>
        <w:spacing w:after="0" w:line="66"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 the owned &amp; host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increased from 80.6% for fiscal year 2017 to 82.2% for fiscal year 2018. The increase was driven by higher optometrist costs as described above, partially offset by increased eye exam sales as a result of our growing managed care business. Managed care customers are generally not eligible for the signature two-pair offer at our America’s Best brand. Revenues related to managed care customer eye exams are therefore presented as services revenue, however the revenues associated with the exams included in the two-pair offer are reported as product revenues. See Note 1. “Business and Significant Accounting Policies” in Part II. Item 8. of this Form 10-K for additional information regarding our revenue recognition accounting policy.</w:t>
      </w:r>
    </w:p>
    <w:p>
      <w:pPr>
        <w:spacing w:after="0" w:line="75"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Costs of services and plans as a percentage of net sales of services and plans in the legacy segment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33.3% for fiscal year 2017 to 40.1% for fiscal year 2018. The increase was primarily driven by increased optometrist costs and lower management fees, partially offset by increased eye exam sales. The higher optometrist costs and increased eye exam sales were both primarily the result of the FirstSight operations changes discussed in “Net revenue” above. Management fees from our legacy segment declined due to the corresponding impact of the increased managed care business as described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of $687.5 million for fiscal year 2018 increased $87.5 million, or 14.6%, from fiscal year 2017. As a percentage of net revenue, SG&amp;A increased from 43.6% for fiscal year 2017 to 44.7% for fiscal year 2018. The increase as a percentage of net revenue was primarily due to stock compensation expense, cash expenses pursuant to a long-term incentive plan for non-executive employees, advertising expenses and incremental corporate expenses as a result of becoming a public company in the fourth quarter of fiscal year 2017, partially offset by a monitoring agreement termination fee paid to the Sponsors in connection with the completion of our initial public offering (“IPO”) in the fourth quarter of fiscal year 2017 that did not recur.</w:t>
      </w:r>
    </w:p>
    <w:p>
      <w:pPr>
        <w:spacing w:after="0" w:line="74"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SG&amp;A. </w:t>
      </w:r>
      <w:r>
        <w:rPr>
          <w:rFonts w:ascii="Times New Roman" w:cs="Times New Roman" w:eastAsia="Times New Roman" w:hAnsi="Times New Roman"/>
          <w:sz w:val="18"/>
          <w:szCs w:val="18"/>
          <w:color w:val="auto"/>
        </w:rPr>
        <w:t>SG&amp;A as a percentage of net revenue increased from 38.9% for fiscal year 2017 to 39.0% for fiscal year 2018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&amp; host segment.</w:t>
      </w:r>
    </w:p>
    <w:p>
      <w:pPr>
        <w:spacing w:after="0" w:line="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SG&amp;A as a percentage of net revenue increased from 34.3% for fiscal year 2017 to 35.0% for fiscal year 2018 in the legacy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driven primarily by higher store payroll as a percentage of net revenue.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of $74.3 million for fiscal year 2018 increased $12.4 million, or 20.0%, from $62.0 million for fiscal year 2017 primarily driven by new store openings, as well as investments in optical laboratories, distribution centers and information technology infrastructure, including omni-channel platform related investments. Beginning in 2015, we accelerated our unit growth to approximately 75 new stores annually. We also invested in more efficient lab and IT technology to support our growth. Many of these incremental investments have depreciable lives in the five to eight year categories; therefore, we expect depreciation expense to continue to outpace revenue growth over the next few years. In recent years, a higher percentage of our new store leases were deemed capital leases, further incurring depreciation expense.</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property and equipment balance, net increased $52.8 million, or 17.5%, during fiscal year 2018, and included $107.8 million in purchases of property and equipment, $14.3 million in new capital leases, less $66.0 million in depreciation expense and $3.3 million in impairment and other adjustments.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other long-lived assets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Impairment expenses of $17.6 million were recorded for fiscal year 2018 compared to $4.1 million for fiscal year 2017. See “—Critical Accounting Policies and Estimates” below for details regarding specific testing performed on various long-lived assets. During fiscal year 2018, $11.4 million and $3.7 million of goodwill impairment was identified at our Fred Meyer and Military brands, respectively. These impairment charges were primarily caused by sales underperformance resulting from decreases in projected customer transaction volume. For certain brands, including Fred Meyer and Military, the number of locations in which we operate has not increased. Further, the Company has limited control over advertising and traffic. As such, small changes in the revenue growth assumptions at such brands can result in goodwill impairment. The remaining fiscal year 2018 impairment charges of $2.5 million related to our retail store long-lived assets resulting from decreased cash flow projections at individual stores.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net, of $37.3 million for fiscal year 2018 decreased $18.2 million, or 32.8%, from $55.5 million for fiscal year 2017. As a result of the payoff of our $125.0 million second lien term loans and $235.0 million in outstanding amount of our Term Loan B, during the fourth quarter of fiscal year 2017, interest expense decreased $14.9 million from lower debt balances and $5.2 million from a reduction of deferred debt cost amortization and corresponding reduction of discounts. An additional decrease of $2.2 million resulted from applicable margin reductions from refinancing the Term Loan B during the fourth quarter of fiscal year 2017 and from a Moody's credit rating upgrade received during the third quarter of 2018. These reductions were partially offset by approximately $2.2 million in interest paid to counterparties associated with our derivative cash flow hedges which became effective in March 2017, but were in effect for the full fiscal year 2018 and $1.3 million in additional interest expense relating to capital lease obligations during fiscal year 2018.</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benefit decreased $20.1 million to $18.8 million during fiscal year 2018 compared to $38.9 million during fiscal year 2017, with the 2017 amount primarily resulting from a one-time tax benefit of $42.1 million from re-measurement of deferred tax assets and liabilities as a result of the Tax Legislation. Income tax benefit of $18.8 million during fiscal year 2018 related to an income tax provision on current year pre-tax net income at the Company's statutory federal and state rate, and $25.5 million income tax benefit primarily resulting from stock option exercises.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2017 compared to Fiscal Year 2016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fiscal year 2017 compared to fiscal year 2016.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Comparable store sales growth</w:t>
            </w:r>
            <w:r>
              <w:rPr>
                <w:rFonts w:ascii="Times New Roman" w:cs="Times New Roman" w:eastAsia="Times New Roman" w:hAnsi="Times New Roman"/>
                <w:sz w:val="8"/>
                <w:szCs w:val="8"/>
                <w:color w:val="auto"/>
              </w:rPr>
              <w:t>(1)</w:t>
            </w:r>
          </w:p>
        </w:tc>
        <w:tc>
          <w:tcPr>
            <w:tcW w:w="120" w:type="dxa"/>
            <w:vAlign w:val="bottom"/>
          </w:tcPr>
          <w:p>
            <w:pPr>
              <w:spacing w:after="0"/>
              <w:rPr>
                <w:sz w:val="16"/>
                <w:szCs w:val="16"/>
                <w:color w:val="auto"/>
              </w:rPr>
            </w:pPr>
          </w:p>
        </w:tc>
        <w:tc>
          <w:tcPr>
            <w:tcW w:w="18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Stores open at end of period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Net revenue</w:t>
            </w:r>
            <w:r>
              <w:rPr>
                <w:rFonts w:ascii="Times New Roman" w:cs="Times New Roman" w:eastAsia="Times New Roman" w:hAnsi="Times New Roman"/>
                <w:sz w:val="8"/>
                <w:szCs w:val="8"/>
                <w:color w:val="auto"/>
              </w:rPr>
              <w:t>(2)</w:t>
            </w: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6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auto"/>
              </w:rPr>
              <w:t>In thousands, except percentage and store</w:t>
            </w:r>
          </w:p>
        </w:tc>
        <w:tc>
          <w:tcPr>
            <w:tcW w:w="110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color w:val="auto"/>
              </w:rPr>
              <w:t>Fiscal Year</w:t>
            </w:r>
          </w:p>
        </w:tc>
        <w:tc>
          <w:tcPr>
            <w:tcW w:w="112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color w:val="auto"/>
              </w:rPr>
              <w:t>Fiscal Year</w:t>
            </w:r>
          </w:p>
        </w:tc>
        <w:tc>
          <w:tcPr>
            <w:tcW w:w="9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rPr>
              <w:t>Fiscal Year</w:t>
            </w:r>
          </w:p>
        </w:tc>
        <w:tc>
          <w:tcPr>
            <w:tcW w:w="9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rPr>
              <w:t>Fiscal Year</w:t>
            </w:r>
          </w:p>
        </w:tc>
        <w:tc>
          <w:tcPr>
            <w:tcW w:w="2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Fiscal Year 2017</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Fiscal Year 2016</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 Best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848,294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714,431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Eyeglass World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150,287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133,979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Military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25,340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26,444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Fred Meyer</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14,646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14,554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7"/>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Owned &amp; host segment 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1,038,567</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889,408</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153,842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152,210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43"/>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Corporate/Other</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191,890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168,616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Reconciliations</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(8,991)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(14,039)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97"/>
        </w:trPr>
        <w:tc>
          <w:tcPr>
            <w:tcW w:w="26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1,375,308</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99"/>
              </w:rPr>
              <w:t>1,196,195</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85"/>
        </w:trPr>
        <w:tc>
          <w:tcPr>
            <w:tcW w:w="2680" w:type="dxa"/>
            <w:vAlign w:val="bottom"/>
            <w:gridSpan w:val="2"/>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Adjusted comparable store sales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680" w:type="dxa"/>
            <w:vAlign w:val="bottom"/>
            <w:gridSpan w:val="2"/>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5"/>
                <w:szCs w:val="25"/>
                <w:color w:val="auto"/>
                <w:vertAlign w:val="superscript"/>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17" w:lineRule="exact"/>
        <w:rPr>
          <w:sz w:val="20"/>
          <w:szCs w:val="20"/>
          <w:color w:val="auto"/>
        </w:rPr>
      </w:pPr>
    </w:p>
    <w:p>
      <w:pPr>
        <w:jc w:val="both"/>
        <w:ind w:left="340" w:hanging="332"/>
        <w:spacing w:after="0" w:line="241"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15. "Segment Reporting" in our consolidated financial statements included in Part II. Item 8. of this Form 10-K, with the exception of the legacy segment, which is adjusted as noted in clause (ii) of footnote (3) below.</w:t>
      </w:r>
    </w:p>
    <w:p>
      <w:pPr>
        <w:spacing w:after="0" w:line="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5"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0.7% and 0.4% from total comparable store sales growth based on consolidated net revenue for fiscal year 2017 and fiscal year 2016, respectively, and (ii) adjusted comparable store sales growth includes retail sales to the legacy partner’s customers (rather than the revenues recognized consistent with the management &amp; services agreement), resulting in a decrease of 0.2% and 0.4% from total comparable store sales growth based on consolidated net revenue for fiscal year 2017 and fiscal year 2016, respectively.</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$1,375.3 million for fiscal year 2017 increased $179.1 million, or 15.0%, from $1,196.2 million for fiscal year 2016. This increase was driven approximately 45% by comparable store sales growth, approximately 40% by new stores and approximately 15% by order volume in our AC Lens business within the Corporate/Other segment.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year 2017, we opened 76 new stores, including 68 new America’s Best stores, seven new Eyeglass World stores and one new Vista Optical location on a military base. Additionally, we closed three America’s Best stores, two Eyeglass World stores and one Vista Optical location on a military base. Overall, store count grew 7.4% from the end of fiscal year 2016 to the end of fiscal year 2017. Comparable store sales growth was 8.4% for fiscal year 2017. Adjusted comparable store sales growth was 7.5% for fiscal year 2017. Comparable store sales growth and adjusted comparable store sales growth were driven by increases in customer transactions. We believe the increase in net revenue and customer transaction volume was due to execution of our key strategies, including new store maturation, advertising and expansion of our participation in managed care programs.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 sales increased $148.4 million, or 15.1%, in fiscal year 2017 compared to fiscal year 2016, driven primarily by strong eyeglass sales. To a lesser extent, contact lens sales and unit growth in our wholesale order fulfillment business also contributed to the increase. Net sales of services and plans increased $30.8 million, or 14.3%, driven primarily by strong eye exam sales in our owned &amp; host segment. The eye exam increase was driven primarily by our store growth and expanding participation in managed care programs.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first quarter fiscal year 2017 results were negatively impacted by the Earned Income Tax Credit processing rules implemented by the federal government in 2017 which caused a two- to three-week delay in the issuance of many federal tax refunds in the first quarter. A weaker than expected first quarter was offset by strong performance in our comparable store sales growth and overall customer transactions in the balance of fiscal year 2017. Additionally, we believe the negative impact of temporary store closings due to Hurricanes Harvey and Irma in the third quarter were generally offset by a stronger fourth quarter, and we believe that the hurricanes had an immaterial impact on fiscal year 2017 results.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changes in applicable California law, certain optometrists employed by FirstSight were transferred to a professional corporation that contracts directly with our legacy segment in the third quarter of fiscal year 2017. This change led to an increase in legacy segment eye exam revenue and optometrist payroll costs of $2.7 million and $2.2 million, respectively, in fiscal year 2017. A corresponding decrease was recorded in our FirstSight subsidiary within the Corporate/Other segment. Therefore, the change had no impact on consolidated operating income. As of December 30, 2017, approximately half of the applicable optometrists have been transferred and we expect the remaining half to be transferred in the fourth quarter of fiscal year 2018.</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these changes in California law, effective October 1, 2017, FirstSight ceased the sale of vision managed care products in Walmart locations in California that are not operated by the Company. As a result, FirstSight net revenue and associated costs in the fourth quarter of fiscal year 2017 were both approximately $1.5 million lower than the fourth quarter of fiscal year 2016, and there was an immaterial impact on net income. In fiscal year 2018, we expect this change to negatively impact both FirstSight net revenue and associated costs by approximately $1.8 million to $2.0 million in each of the first three quarters, with an immaterial impact on net income.</w:t>
      </w:r>
    </w:p>
    <w:p>
      <w:pPr>
        <w:spacing w:after="0" w:line="47"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for our owned &amp; host segment increased $149.2 million, or 16.8%, due to comparable store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new store openings. The growth was predominately driven by performance in America’s Best and Eyeglass World, partially offset by a decrease in net revenue in Vista Optical locations on military bases as a result of lower customer transaction volume.</w:t>
      </w:r>
    </w:p>
    <w:p>
      <w:pPr>
        <w:spacing w:after="0" w:line="6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for our legacy segment grew $1.6 million, or 1.1%, primarily driven by $2.7 million in incremental eye exam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partially offset by lower customer transaction volume. The increased eye exam sales were the result of changes to our FirstSight operations required by changes in applicable California law discussed above. The FirstSight operations changes resulted in a favorable impact of approximately 145 basis points in comparable store sales growth in the legacy segment.</w:t>
      </w:r>
    </w:p>
    <w:p>
      <w:pPr>
        <w:spacing w:after="0" w:line="7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 the Corporate/Other segment increased $23.3 million, or 13.8%, driven by unit growth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order fulfillment business, partially offset by a $4.2 million reduction in sales as a result of the combined FirstSight operations changes discussed above.</w:t>
      </w:r>
    </w:p>
    <w:p>
      <w:pPr>
        <w:spacing w:after="0" w:line="6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Reconciliations include increases in deferred revenue of $6.8 million and $9.6 million, and increases in unearned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 million and $4.5 million for fiscal year 2017 and fiscal year 2016, respectively. The purchase accounting adjustment related to the KKR Acquisition contributed to the increases in deferred revenue by $0.2 million and $3.0 million for fiscal year 2017 and fiscal year 2016, respectively, resulting in larger increases in deferred revenue compared to corresponding periods. Absent the impact of the KKR Acquisition, deferred revenue is comparable to the prior year due to slower growth in our warranty program sales and Eyecare Club membership sales than other product categories. The increases in unearned revenue were the result of overall increases in cash basis sales of prescription eyewear in our stores in the last week of each fiscal year. In fiscal year 2017, the Christmas holiday was on a Monday. In fiscal year 2016, the Christmas holiday was on a Sunday, when many of our stores are typically closed. As a result, we had one less selling day in the last week of fiscal year 2017 compared to the last week of fiscal year 2016, which drove the lower unearned revenue increase year-over-year.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applicable to revenue of $637.0 million for fiscal year 2017 increased $92.2 million, or 16.9%, from $544.8 million for fiscal year 2016. As a percentage of net revenue, costs applicable to revenue increased from 45.5% for fiscal year 2016 to 46.3% for fiscal year 2017. The increase was primarily driven by higher wholesale fulfillment mix (our wholesale order fulfillment units have a higher cost as a percentage of sales than other product categories), higher optometrist costs and a $2.3 million inventory write-off in the first half of fiscal year 2017 related to slow-moving contact lens inventory which had expired or would expire prior to possible sale. Optometrist costs increased as a result of increased store coverage primarily in our new California market and overall wage inflation.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products as a percentage of net product sales increased from 39.8% for fiscal year 2016 to 40.4% for fiscal year 2017, driven primarily by wholesale fulfillment mix as described above. To a lesser extent, a $2.3 million inventory write-off as discussed above, partially offset by a lower mix of contact lens sales, also contributed to the variance. Our contact lens units have a higher cost as a percentage of sales than other product categories.</w:t>
      </w:r>
    </w:p>
    <w:p>
      <w:pPr>
        <w:spacing w:after="0" w:line="66"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In the owned &amp; host segment, costs of products as a percentage of net product sales increased from 29.0%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2016 to 29.3% for fiscal year 2017. The increase was primarily driven by modest increases in contact lens costs.</w:t>
      </w:r>
    </w:p>
    <w:p>
      <w:pPr>
        <w:spacing w:after="0" w:line="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In the legacy segment, costs of products as a percentage of net product sales increased from 46.4% for fiscal year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46.5% for fiscal year 2017, impacted by higher other costs of sales, substantially offset by favorable eyeglass costs.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71.7% for fiscal year 2016 to 73.5% for fiscal year 2017. The increase was primarily driven by a lower mix of management fees from our legacy segment and higher optometrist costs as discussed above, partially offset by a higher mix of eye exam sales as a result of our growing managed care business. The lower mix of management fees from our legacy segment was driven by a decline in customer transaction volume in the legacy segment described in “—</w:t>
      </w: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xml:space="preserve"> above.</w:t>
      </w:r>
    </w:p>
    <w:p>
      <w:pPr>
        <w:spacing w:after="0" w:line="7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 the owned &amp; host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was 80.6% for fiscal year 2016 and for fiscal year 2017. Year-over-year, our growing managed care business increased eye exam sales mix which was offset by a lower mix of Eyecare Club and warranty program sales.</w:t>
      </w:r>
    </w:p>
    <w:p>
      <w:pPr>
        <w:spacing w:after="0" w:line="65"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In the legacy segment, costs of services and plans as a percentage of net sales of services and plans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23.7% for fiscal year 2016 to 33.3% for fiscal year 2017. The increase was primarily driven by a classification change in reporting for certain eye exam technicians beginning in 2017, a lower mix of management fees and higher optometrist costs, partially offset by a higher mix of eye exam sales. The lower mix of management fees was driven by a decline in customer transaction volume in the legacy segment described in “—</w:t>
      </w: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xml:space="preserve"> above. The higher optometrist costs were primarily as a result of the FirstSight operations changes discussed above. Higher eye exam sales were driven by the FirstSight operations changes described in “—</w:t>
      </w: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xml:space="preserve">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SG&amp;A of $600.0 million for fiscal year 2017 increased $74.1 million, or 14.1%, from fiscal year 2016. As a percentage of net revenue, SG&amp;A decreased from 44.0% for fiscal year 2016 to 43.6% for fiscal year 2017. The decrease as a percentage of net revenue was primarily driven by reduced occupancy expense, certain e-commerce partner fees, advertising and corporate overhead as a percentage of net revenue, partially offset by the monitoring agreement termination fee paid to the Sponsors in connection with the completion of our IPO in the fourth quarter of fiscal year 2017 and write-offs of certain managed care receivables. In fiscal year 2017, we began signing an increased number of leases with longer terms which were designated as capital leases (as opposed to operating leases) and, as a result, our occupancy expense as a percentage of net revenue decreased compared to the comparable prior year period. In our e-commerce business, we remit earnings back to certain partners and retain a fulfillment fee. The year-over-year decline of e-commerce partner fees was driven by certain partner pricing strategy changes, which reduced the partner fees that we remit back. The decrease in advertising expense as a percentage of net revenue was driven by increased advertising spend leverage as a result of the transition to national advertising for America’s Best in fiscal year 2017. The decrease in corporate overhead was primarily driven by a slower growth rate of corporate payroll and lower performance-based incentive compensation expense compared to net revenue. Write-offs of managed care receivables increased because we experienced information technology challenges associated with a change in claims processing systems by one of our payors and also expanded our participation in managed care programs.</w:t>
      </w:r>
    </w:p>
    <w:p>
      <w:pPr>
        <w:spacing w:after="0" w:line="8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SG&amp;A. </w:t>
      </w:r>
      <w:r>
        <w:rPr>
          <w:rFonts w:ascii="Times New Roman" w:cs="Times New Roman" w:eastAsia="Times New Roman" w:hAnsi="Times New Roman"/>
          <w:sz w:val="18"/>
          <w:szCs w:val="18"/>
          <w:color w:val="auto"/>
        </w:rPr>
        <w:t>In the owned &amp; host segment, SG&amp;A as a percentage of net revenue was 38.9% and 38.8% for fiscal year 2017 and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2016, respectively. Year-over-year, decreases in occupancy expense as described above and advertising as a percentage of net revenue were offset by increases in store payroll and write-offs of certain managed care receivables as described above. The decrease in advertising expense as a percentage of net revenue was driven by increased advertising spend leverage. The increase in store payroll as a percentage of net revenue was driven by lower than anticipated store transactions in the first quarter of fiscal year 2017. Our stores were fully staffed in anticipation of our seasonally strong first quarter. When sales fell short of plan, we maintained store staffing in anticipation of customer transaction recovery. Additionally, in the third quarter, we continued to pay our store associates while our stores were closed due to Hurricanes Harvey and Irma.</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In the legacy segment, SG&amp;A as a percentage of net revenue decreased from 34.8% for fiscal year 2016 to 34.3% for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driven primarily by decreases in store payroll reflecting the impact of a classification change in reporting for certain eye exam technicians beginning in 2017 partially offset by higher write-offs associated with increased managed care activity as described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of $62.0 million for fiscal year 2017 increased $9.3 million, or 17.6%, from $52.7 million for fiscal year 2016 primarily driven by new store openings and other ongoing growth capital investment in our information technology infrastructure, eyeglass laboratories and distribution centers. Our property and equipment balance, net increased $46.9 million, or 18.4%, during fiscal year 2017, reflective of $94.0 million in purchases of property and equipment, $8.5 million in new capital leases, less $53.5 million in depreciation expense and $2.1 million in impairment and other adjustments. New assets are out-pacing retirements by a significant margin and, therefore, we expect continued increases in depreciation expense for the foreseeable future as we continue to execute our growth strategy.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of $55.5 million for fiscal year 2017 increased $16.4 million, or 42.1%, from $39.1 million for fiscal year 2016. On February 2, 2017, we declared a recapitalization dividend to our stockholders. The dividend was funded with $175.0 million of incremental term loans under our first lien credit agreement. The borrowing rate was consistent with the initial term loans under the first lien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increased $3.2 million due to additional deferred debt cost amortization as a result of the $125.0 million pay off of our second lien term credit agreement. Additionally, we incurred $8.7 million in additional interest expense during fiscal year 2017 related to interest payments due to counterparties associated with our derivative cash flow hedges. The remaining increase of interest expense, net, primarily results from the additional principal outstanding under the first lien credit agreement following the recapitalization dividend.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incurred debt issuance costs of $4.5 million for fiscal year 2017. We recorded $2.7 million in fees associated with the incurrence of additional term loans under the first lien credit agreement discussed above during fiscal year 2017. Additionally, $1.8 million was recorded in conjunction with fees relating to the entry into a joinder and amendment agreement as discussed in Note 4. “Long-term Debt” included in Part II. Item 8. of this Form 10-K. No such transaction occurred in fiscal year 2016.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income tax rate (“ETR”) was (920.3)% during fiscal year 2017 compared to 46.6% during fiscal year 2016. During fiscal year 2017, our combined statutory federal and state rate was reduced by a $1.4 million income tax benefit (18.4%) resulting from the recapitalization dividend described in Note 8. “Related Party Transactions” to our consolidated financial statements included in Part II. Item 8. of this Form 10-K. Additionally, our rate was increased by $2.2 million of tax expense (29.0%) in connection with items not deductible for income tax purposes.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Tax Legislation signed into law on December 22, 2017, the Company recorded a tax benefit in fiscal year 2017 of $42.1 million due to a re-measurement of deferred tax assets and liabilities.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Adjusted EBITDA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Adjusted EBITDA Margin and Adjusted Net Income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EBITDA as net income, plus interest expense, income tax provision (benefit)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secondary offering expenses, long-term incentive plan expenses and other expenses. We describe these adjustments reconciling net income to EBITDA and Adjusted EBITDA in the tables below. We define Adjusted Net Income as net income, further adjusted to exclude stock compensation expense, costs associated with debt refinancing, asset impairment, non-cash inventory write-offs, management fees, new store pre-opening expenses, non-cash rent, litigation settlement, amortization of acquisition intangibles and deferred financing costs and other expenses, the tax benefit of stock option exercises, the Tax Legislation adjustment and the tax effect of adjustments recorded during fiscal year 2018. We describe these adjustments reconciling net income to Adjusted Net Income in the tables below.</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 supplementally.</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period to period changes in taxes, income tax expense or the cash necessary to pay income taxes;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261" w:lineRule="auto"/>
        <w:rPr>
          <w:sz w:val="20"/>
          <w:szCs w:val="20"/>
          <w:color w:val="auto"/>
        </w:rPr>
      </w:pPr>
      <w:r>
        <w:rPr>
          <w:rFonts w:ascii="Times New Roman" w:cs="Times New Roman" w:eastAsia="Times New Roman" w:hAnsi="Times New Roman"/>
          <w:sz w:val="18"/>
          <w:szCs w:val="18"/>
          <w:color w:val="auto"/>
        </w:rPr>
        <w:t>The following table reconciles our net income to EBITDA, Adjusted EBITDA, Adjusted EBITDA Margin and Adjusted Net Income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8"/>
                <w:szCs w:val="18"/>
                <w:color w:val="auto"/>
              </w:rPr>
            </w:pPr>
          </w:p>
        </w:tc>
        <w:tc>
          <w:tcPr>
            <w:tcW w:w="13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6"/>
              </w:rPr>
              <w:t>Fiscal Year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6"/>
              </w:rPr>
              <w:t>Fiscal Year</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Fiscal Year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2017</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2016</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23,653</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43,138</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37,283</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55,536</w:t>
            </w:r>
          </w:p>
        </w:tc>
        <w:tc>
          <w:tcPr>
            <w:tcW w:w="38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39,092</w:t>
            </w: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74,339</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61,974</w:t>
            </w:r>
          </w:p>
        </w:tc>
        <w:tc>
          <w:tcPr>
            <w:tcW w:w="38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52,677</w:t>
            </w: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116,490</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121,738</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8.9 %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116,746</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20,939</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5,152</w:t>
            </w: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0.4 %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4,293</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Debt issuance costs </w:t>
            </w:r>
            <w:r>
              <w:rPr>
                <w:rFonts w:ascii="Times New Roman" w:cs="Times New Roman" w:eastAsia="Times New Roman" w:hAnsi="Times New Roman"/>
                <w:sz w:val="25"/>
                <w:szCs w:val="25"/>
                <w:color w:val="auto"/>
                <w:vertAlign w:val="superscript"/>
              </w:rPr>
              <w:t>(b)</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4,527</w:t>
            </w:r>
          </w:p>
        </w:tc>
        <w:tc>
          <w:tcPr>
            <w:tcW w:w="38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17,630</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inventory write-offs </w:t>
            </w:r>
            <w:r>
              <w:rPr>
                <w:rFonts w:ascii="Times New Roman" w:cs="Times New Roman" w:eastAsia="Times New Roman" w:hAnsi="Times New Roman"/>
                <w:sz w:val="25"/>
                <w:szCs w:val="25"/>
                <w:color w:val="auto"/>
                <w:vertAlign w:val="superscript"/>
              </w:rPr>
              <w:t>(d)</w:t>
            </w:r>
          </w:p>
        </w:tc>
        <w:tc>
          <w:tcPr>
            <w:tcW w:w="200" w:type="dxa"/>
            <w:vAlign w:val="bottom"/>
          </w:tcPr>
          <w:p>
            <w:pPr>
              <w:spacing w:after="0"/>
              <w:rPr>
                <w:sz w:val="23"/>
                <w:szCs w:val="23"/>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2,271</w:t>
            </w:r>
          </w:p>
        </w:tc>
        <w:tc>
          <w:tcPr>
            <w:tcW w:w="38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0.2 %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25"/>
                <w:szCs w:val="25"/>
                <w:color w:val="auto"/>
                <w:vertAlign w:val="superscript"/>
              </w:rPr>
              <w:t>(e)</w:t>
            </w:r>
          </w:p>
        </w:tc>
        <w:tc>
          <w:tcPr>
            <w:tcW w:w="2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5,263</w:t>
            </w: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0.4 %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(f)</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2,531</w:t>
            </w:r>
          </w:p>
        </w:tc>
        <w:tc>
          <w:tcPr>
            <w:tcW w:w="38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0.2 %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1,983</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(g)</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2,801</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1,919</w:t>
            </w: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5"/>
                <w:szCs w:val="25"/>
                <w:color w:val="auto"/>
                <w:vertAlign w:val="superscript"/>
              </w:rPr>
              <w:t>(h)</w:t>
            </w:r>
          </w:p>
        </w:tc>
        <w:tc>
          <w:tcPr>
            <w:tcW w:w="200" w:type="dxa"/>
            <w:vAlign w:val="bottom"/>
          </w:tcPr>
          <w:p>
            <w:pPr>
              <w:spacing w:after="0"/>
              <w:rPr>
                <w:sz w:val="23"/>
                <w:szCs w:val="23"/>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38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0.5 %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(i)</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2,451</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Long-term incentive plan</w:t>
            </w:r>
            <w:r>
              <w:rPr>
                <w:rFonts w:ascii="Times New Roman" w:cs="Times New Roman" w:eastAsia="Times New Roman" w:hAnsi="Times New Roman"/>
                <w:sz w:val="25"/>
                <w:szCs w:val="25"/>
                <w:color w:val="auto"/>
                <w:vertAlign w:val="superscript"/>
              </w:rPr>
              <w:t>(j)</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(k)</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4,585</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w:t>
            </w: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3,520</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 Adjusted EBITDA Margin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174,365</w:t>
            </w:r>
          </w:p>
        </w:tc>
        <w:tc>
          <w:tcPr>
            <w:tcW w:w="4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22"/>
                <w:szCs w:val="22"/>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158,442</w:t>
            </w: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136,770</w:t>
            </w:r>
          </w:p>
        </w:tc>
        <w:tc>
          <w:tcPr>
            <w:tcW w:w="3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Note: Percentages reflect line item as a percentage of net revenue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Fiscal Year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Fiscal Year</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6"/>
              </w:rPr>
              <w:t>Fiscal Year</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0"/>
        </w:trPr>
        <w:tc>
          <w:tcPr>
            <w:tcW w:w="4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20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2016</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23,653</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5,152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4,293</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Debt issuance costs </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4,527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(c)</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17,630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inventory write-offs </w:t>
            </w:r>
            <w:r>
              <w:rPr>
                <w:rFonts w:ascii="Times New Roman" w:cs="Times New Roman" w:eastAsia="Times New Roman" w:hAnsi="Times New Roman"/>
                <w:sz w:val="25"/>
                <w:szCs w:val="25"/>
                <w:color w:val="auto"/>
                <w:vertAlign w:val="superscript"/>
              </w:rPr>
              <w:t>(d)</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2,271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25"/>
                <w:szCs w:val="25"/>
                <w:color w:val="auto"/>
                <w:vertAlign w:val="superscript"/>
              </w:rPr>
              <w:t>(e)</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5,263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(f)</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2,531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(g)</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1,919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5"/>
                <w:szCs w:val="25"/>
                <w:color w:val="auto"/>
                <w:vertAlign w:val="superscript"/>
              </w:rPr>
              <w:t>(h)</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7,000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(i)</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Long-term incentive plan</w:t>
            </w:r>
            <w:r>
              <w:rPr>
                <w:rFonts w:ascii="Times New Roman" w:cs="Times New Roman" w:eastAsia="Times New Roman" w:hAnsi="Times New Roman"/>
                <w:sz w:val="25"/>
                <w:szCs w:val="25"/>
                <w:color w:val="auto"/>
                <w:vertAlign w:val="superscript"/>
              </w:rPr>
              <w:t>(j)</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4,585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3,924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3,520</w:t>
            </w:r>
          </w:p>
        </w:tc>
        <w:tc>
          <w:tcPr>
            <w:tcW w:w="0" w:type="dxa"/>
            <w:vAlign w:val="bottom"/>
          </w:tcPr>
          <w:p>
            <w:pPr>
              <w:spacing w:after="0"/>
              <w:rPr>
                <w:sz w:val="1"/>
                <w:szCs w:val="1"/>
                <w:color w:val="auto"/>
              </w:rPr>
            </w:pPr>
          </w:p>
        </w:tc>
      </w:tr>
      <w:tr>
        <w:trPr>
          <w:trHeight w:val="225"/>
        </w:trPr>
        <w:tc>
          <w:tcPr>
            <w:tcW w:w="5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acquisition intangibles and deferred financing costs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11,311</w:t>
            </w:r>
          </w:p>
        </w:tc>
        <w:tc>
          <w:tcPr>
            <w:tcW w:w="0" w:type="dxa"/>
            <w:vAlign w:val="bottom"/>
          </w:tcPr>
          <w:p>
            <w:pPr>
              <w:spacing w:after="0"/>
              <w:rPr>
                <w:sz w:val="1"/>
                <w:szCs w:val="1"/>
                <w:color w:val="auto"/>
              </w:rPr>
            </w:pPr>
          </w:p>
        </w:tc>
      </w:tr>
      <w:tr>
        <w:trPr>
          <w:trHeight w:val="174"/>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Tax benefit of stock option exercises</w:t>
            </w:r>
            <w:r>
              <w:rPr>
                <w:rFonts w:ascii="Times New Roman" w:cs="Times New Roman" w:eastAsia="Times New Roman" w:hAnsi="Times New Roman"/>
                <w:sz w:val="25"/>
                <w:szCs w:val="25"/>
                <w:color w:val="auto"/>
                <w:vertAlign w:val="superscript"/>
              </w:rPr>
              <w:t>(m)</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(25,544)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legislation adjustment </w:t>
            </w:r>
            <w:r>
              <w:rPr>
                <w:rFonts w:ascii="Times New Roman" w:cs="Times New Roman" w:eastAsia="Times New Roman" w:hAnsi="Times New Roman"/>
                <w:sz w:val="25"/>
                <w:szCs w:val="25"/>
                <w:color w:val="auto"/>
                <w:vertAlign w:val="superscript"/>
              </w:rPr>
              <w:t>(n)</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5"/>
                <w:szCs w:val="25"/>
                <w:color w:val="auto"/>
                <w:vertAlign w:val="superscript"/>
              </w:rPr>
              <w:t>(o)</w:t>
            </w:r>
          </w:p>
        </w:tc>
        <w:tc>
          <w:tcPr>
            <w:tcW w:w="2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(13,309)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51,928</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32,144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ectPr>
          <w:pgSz w:w="11900" w:h="16838" w:orient="portrait"/>
          <w:cols w:equalWidth="0" w:num="1">
            <w:col w:w="11420"/>
          </w:cols>
          <w:pgMar w:left="240" w:top="121"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20" w:hanging="412"/>
        <w:spacing w:after="0" w:line="253"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2018, fees associated with the issuance of new term loans during the fourth quarter of fiscal year 2018. For fiscal year 2017, includes $2.7 million of fees associated with the borrowing of $175.0 million in additional principal under our first lien credit agreement and $1.8 million of fees associated with the refinancing of our first lien credit agreement.</w:t>
      </w:r>
    </w:p>
    <w:p>
      <w:pPr>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impairment of long-lived assets, primarily goodwill in our Military and Fred Meyer brands during fiscal year 2018 and Fred Meyer and AC Lens brands during fiscal year 2016, write-off of a cost basis investment, and impairment of capitalized software and property and equipment for fiscal year 2017.</w:t>
      </w:r>
    </w:p>
    <w:p>
      <w:pPr>
        <w:ind w:left="420" w:hanging="4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write-offs of inventory relating to the expiration of a specific type of contact lens that could not be sold and required disposal.</w:t>
      </w:r>
    </w:p>
    <w:p>
      <w:pPr>
        <w:spacing w:after="0" w:line="1" w:lineRule="exact"/>
        <w:rPr>
          <w:rFonts w:ascii="Times New Roman" w:cs="Times New Roman" w:eastAsia="Times New Roman" w:hAnsi="Times New Roman"/>
          <w:sz w:val="14"/>
          <w:szCs w:val="14"/>
          <w:color w:val="auto"/>
        </w:rPr>
      </w:pPr>
    </w:p>
    <w:p>
      <w:pPr>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management fees paid to KKR Sponsor and Berkshire in accordance with our monitoring agreement with them. The monitoring agreement was terminated automatically in accordance with its terms upon the consummation of the IPO in October 2017.</w:t>
      </w:r>
    </w:p>
    <w:p>
      <w:pPr>
        <w:jc w:val="both"/>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are not indicative of ongoing core operating performance. We adjust for these costs to facilitate comparisons of store operating performance from period to period.</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non-cash portion of rent expense, which reflects the extent to which our straight-line rent expense recognized under GAAP exceeds or is less than our cash rent payments.</w:t>
      </w:r>
    </w:p>
    <w:p>
      <w:pPr>
        <w:spacing w:after="0" w:line="1" w:lineRule="exact"/>
        <w:rPr>
          <w:rFonts w:ascii="Times New Roman" w:cs="Times New Roman" w:eastAsia="Times New Roman" w:hAnsi="Times New Roman"/>
          <w:sz w:val="14"/>
          <w:szCs w:val="14"/>
          <w:color w:val="auto"/>
        </w:rPr>
      </w:pPr>
    </w:p>
    <w:p>
      <w:pPr>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litigation. See Part I. Item 3. “Legal Proceedings” and Note 12. “Commitments and Contingencies” in our consolidated financial statements included in Part II. Item 8. of this Form 10-K for further details.</w:t>
      </w:r>
    </w:p>
    <w:p>
      <w:pPr>
        <w:ind w:left="420" w:hanging="4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our secondary public offerings during fiscal year 2018. See Note 1 “Business and Significant Accounting Policies” for details.</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pursuant to a long-term incentive plan for non-executive employees who were not participants in the management equity plan for fiscal year 2018. This plan was effective in 2014 following the acquisition of the Company by KKR Sponsor. During the third quarter of fiscal year 2018, $4.6 million cash payout was triggered as a result of the second secondary offering of common stock by KKR Sponsor and other selling shareholders. The remaining $2.4 million relates to the third secondary offering and is accrued but not paid as of fiscal year end 2018.</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$1.3 million, $1.0 million and $1.4 million for the fiscal years 2018, 2017 and 2016, respectively; the amortization impact of the KKR Acquisition-related adjustments (e.g., fair value of leasehold interests) of $0.4 million, $(0.3) million and $(0.7) million for the fiscal years 2018, 2017 and 2016, respectively; expenses related to preparation for being an SEC registrant that were not directly attributable to our IPO and therefore not charged to equity of $1.8 million and $2.0 million for the fiscal years 2017 and 2016, respectively; differences between the timing of expense versus cash payments related to contributions to charitable organizations of $(1.0) million for each of the fiscal years 2018, 2017 and 2016; costs of severance and relocation of $1.0 million, $1.4 million and $1.1 million, for the fiscal years 2018, 2017 and 2016, respectively; excess payroll taxes related to stock option exercises of $1.8 million for fiscal year 2018; and other expenses and adjustments totaling $1.1 million, $1.0 million and $0.8 million for fiscal years 2018, 2017 and 2016, respectively.</w:t>
      </w:r>
    </w:p>
    <w:p>
      <w:pPr>
        <w:spacing w:after="0" w:line="164" w:lineRule="exact"/>
        <w:rPr>
          <w:rFonts w:ascii="Times New Roman" w:cs="Times New Roman" w:eastAsia="Times New Roman" w:hAnsi="Times New Roman"/>
          <w:sz w:val="14"/>
          <w:szCs w:val="14"/>
          <w:color w:val="auto"/>
        </w:rPr>
      </w:pPr>
    </w:p>
    <w:p>
      <w:pPr>
        <w:jc w:val="both"/>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definite-lived intangible assets resulting from the application of purchase accounting to the KKR Acquisition of $7.4 million for each of the fiscal years 2018, 2017 and 2016; and 2) Amortization of debt discounts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$1.9 million, $7.1 million and $3.9 million of additional expense for fiscal years 2018, 2017 and 2016, respectively. The $7.1 million additional expense for fiscal year 2017 includes a $3.3 million write-off of debt discounts associated with the repayment of the entire $125.0 million second lien term loan balance.</w:t>
      </w:r>
    </w:p>
    <w:p>
      <w:pPr>
        <w:spacing w:after="0" w:line="2" w:lineRule="exact"/>
        <w:rPr>
          <w:rFonts w:ascii="Times New Roman" w:cs="Times New Roman" w:eastAsia="Times New Roman" w:hAnsi="Times New Roman"/>
          <w:sz w:val="14"/>
          <w:szCs w:val="14"/>
          <w:color w:val="auto"/>
        </w:rPr>
      </w:pPr>
    </w:p>
    <w:p>
      <w:pPr>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ind w:left="420" w:hanging="412"/>
        <w:spacing w:after="0" w:line="241" w:lineRule="auto"/>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represents re-measuring and reassessing the net realizability of our deferred tax assets and liabilities during fiscal year 2017. See Note 6. “Income Taxes” in Part II. Item 8. of this Form 10-K for additional information regarding the Tax Legislation.</w:t>
      </w:r>
    </w:p>
    <w:p>
      <w:pPr>
        <w:ind w:left="420" w:hanging="4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$100.0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deferred revenue and other payables and accrued expenses. Due to the seasonality of when we recognize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fiscal year end 2018, we had $17.1 million in cash and cash equivalents and $94.5 million of availability under our revolving credit facility, which reflects $5.5 million in outstanding letters of credit.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purchased $104.5 million in capital items during fiscal year 2018, including $47.4 million in connection with new store growth and store improvement plans, $23.8 million for laboratories, distribution centers and optometric equipment and $33.3 million for betterments and infrastructure. Approximately 80% of our capital spend is related to our expected growth (i.e. new stores, optometric equipment, additional capacity in our optical laboratories and distribution centers, and our IT infrastructure). Our working capital requirements for inventory will increase as we continue to open additional stores. We primarily fund our working capital needs using cash provided by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106,628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and amortization, amortization of loan cost, asset impairment, deferred income taxes, non-cash stock option compensation, non-cash inventory adjustments, bad debt expense, debt issuance costs and changes in operating assets and liabilities.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$16.4 million, or 18.1%, during the fiscal year 2018 compared to fiscal year 2017. Net cash provided by operating activities was $106.6 million for the fiscal year 2018, as non-cash items of $109.0 million and $23.7 million of net income were partially offset by an increase in net working capital and other assets and liabilities of $26.1 million. Net cash provided by operating activities was $90.3 million for fiscal year 2017, which consisted of non-cash items of $57.6 million, $43.1 million of net income and an increase in net working capital and other assets and liabilities of $10.4 million.</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net working capital and other assets and liabilities during the fiscal year 2018 was primarily due to increases in inventories of $28.7 million, accounts receivable of $14.6 million, and other assets of $7.0 million. Increases in inventory are generally expected each period, and reflect our growth in sales of products, including product replenishment needs at existing stores and inventory needed to outfit new stores. The increase in inventory also reflects an opportunistic forward buy of approximately $10.0 million during the fourth quarter of 2018. Increases in accounts receivable generally reflect overall revenue growth, but primarily reflect an increase in credit card transactions the last week of fiscal year 2018. The increase in other assets is also reflective of overall store count growth such as prepaid advertising, prepaid rent, and prepaid store supplies. These changes were partially offset by increases in accounts payable of $7.9 million, deferred revenues of $3.8 million and accrued expenses and other liabilities of $12.6 million. Increases in accounts payable reflect the timing of payments to vendors. Increases in deferred revenues are consistent with increases in cash basis sales of product protection plans and eye-care club memberships. Increases in accrued expenses and other liabilities were primarily due to new store growth. We opened 74 new stores during fiscal year 2018, with five closures.</w:t>
      </w:r>
    </w:p>
    <w:p>
      <w:pPr>
        <w:spacing w:after="0" w:line="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 limited exception, due to overall store count growth and increases in the scale of our business, on an annual basis increases in working capital and other assets and liabilities are expected, with the net impact being overall use of cash. The only difference we observed over the three year period was a decrease in accounts payable in fiscal year 2016, which as noted above is primarily based on timing of when invoices from vendors come due.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opened 76 new stores during fiscal year 2017, with six closures. The increase in net working capital and other assets and liabilities during the fiscal year 2017 was primarily due to an increase in inventories of $9.6 million, accounts receivable of $16.9 million, other assets of $2.1 million and a decrease in accounts payable of $3.7 million. These changes were partially offset by an increase in accrued expenses and other liabilities of $15.0 million and deferred revenues of $6.8 million. Increases in accrued expenses and other liabilities included a $7.0 million litigation settlement discussed in Note 12. “Commitments and Contingencies” in in our consolidated financial statements included in Part II. Item 8. of this Form 10-K.</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$97.6 million for fiscal year 2016, as non-cash items of $85.1 million were combined with $13.3 million of net income and an increase in net working capital and other assets and liabilities of $0.8 million. We opened 86 new stores, with one closure during fiscal year 2016. Consistent with our expectations discussed above, the increase in net working capital and other assets and liabilities during fiscal year 2016 was due to an increase in inventories of $13.8 million, accounts receivable of $9.1 million and prepaid expenses and other assets of $4.1 million, offset by an increase in deferred revenues of $9.6 million, accounts payable of $5.6 million and accrued expenses and other liabilities of $11.0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increased by $9.6 million, to $104.2 million, during fiscal year 2018 from $94.6 million during fiscal year 2017. The change in cash used for investing activities included an increase of $11.3 million in purchases of property and equipment to support our store growth, including new stores, improvements to our optical laboratories and distribution centers and continued development of our IT infrastructure. During fiscal year 2017, we made an investment of $1.5 million in a secured convertible promissory note to our equity method investee as discussed in Note 9. “Equity in Net Assets of Non-Consolidated Investee” in our consolidated financial statements included in Part II. Item 8. of this Form 10-K. No investments were made during fiscal year 2018.</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increased by $3.6 million, to $94.6 million, during fiscal year ended 2017 from $91.0 million during fiscal year 2016. The change in cash used for investing activities included an increase of $3.2 million in purchases of property and equipment. Additionally, during fiscal year 2016, we made an investment for $1.0 million, which was subsequently impaired in fiscal year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$10.4 million and $3.8 million during fiscal years 2018 and 2017, respectively. The change in cash provided by financing activities was primarily due to an increase of $18.7 million in proceeds primarily related to exercise of stock options during fiscal year 2018. Other drivers were quarterly principal payments required under our long-term credit agreements.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Fiscal years 2018 and 2017 included material debt and equity transactions. In 2017, we used IPO proceeds of $370.9 million to pay down debt of $367.7 million. Prior to the IPO, we used debt proceeds of $174.9 million (net of debt issuance costs of $4.5 million) to pay a recapitalization dividend of $171.0 million. Additionally, proceeds from exercise of stock options of $1.1 million were offset by $0.9 million of payments on capital lease obligations. The net cash impact of all of these transactions was $3.8 million in cash proceeds. In fiscal year 2018, we refinanced our first lien credit agreement, resulting in debt issuance costs of $1.4 million and $200.0 million in proceeds which were used to make $200.0 million in principal payments. Principal payments of $4.3 million, purchases of treasury stock of $1.9 million and payments on capital lease obligations of $1.8 million were offset by $19.8 million in proceeds from exercises of stock options.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fiscal year 2016 was primarily the result of principal payments on our first lien credit agreement of $6.5 million. Purchases of treasury stock, payments on capital lease obligations and other items totaled $1.0 million, and were offset by $0.9 million in proceeds from exercise of stock options.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 Term Loan B</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31, 2017 and November 20, 2017 the credit agreement dated as of March 13, 2014, among Nautilus Acquisition Holdings, Inc., a wholly-owned subsidiary of the Company, NVI, as borrower, Goldman Sachs Bank USA, as administrative agent, collateral agent, and letter of credit issuer, and the lenders from time to time party thereto and the other parties thereto (as amended, restated, supplemented or otherwise modified from time to time, the “first lien credit agreement”), was amended pursuant to separate joinder and amendment agreements (collectively, the “Amendments”) to, among other things, (a) establish new first lien term loans (“First Lien - Term Loan B”) in an aggregate principal amount of $570.0 million to refinance all of the first lien term loans outstanding immediately prior to the amendment, (b) extend the maturity of such term loans to November 20, 2024 and (c) reprice the rates applicable to such term loans by amending the definition of Applicable Margin (as defined in the first lien credit agreement). The Amendments further provide that the Applicable Margins for for First Lien - Term Loan B will be based on NVI’s public corporate credit rating from Moody’s as follows: (i) if NVI’s rating is lower than Ba3 (stable), the Applicable Margin will be 2.75% for LIBOR Loans and 1.75% for ABR Loans and (ii) if NVI’s rating is Ba3 (stable) or better, the Applicable Margin will step down to 2.50% for LIBOR Loans and 1.50% for ABR Loans, as specified in the Amendments. We are required to prepay an amount equal to 50% of the preceding fiscal year’s excess cash flow, as defined in the agreement. The required prepayment is reduced to 25% of the preceding year’s excess cash flow if our consolidated earnings before interest, tax, depreciation and amortization (“Credit Agreement EBITDA”) ratio, as defined in the agreement, is less than or equal to 4.25 to 1.00. No prepayment is required if such ratio is less than or equal to 4.00 to 1.00. We have not been required to make a prepayment related to our first lien credit agreement.</w:t>
      </w:r>
    </w:p>
    <w:p>
      <w:pPr>
        <w:spacing w:after="0" w:line="9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first lien credit agreement contains covenants that, among other things, limit our ability to incur additional debt, create liens against our assets, make acquisitions, pay dividends or distributions on our stock, merge or consolidate with another entity and transfer or sell assets.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7, 2018, Moody’s announced that it had upgraded NVI’s public corporate credit rating from B1 to Ba3 (stable) and as a result, the Applicable Margin to LIBOR for this term loan decreased from 2.75% to 2.50%. Additionally, $200.0 million of the proceeds from issuance of new term loans in the current year as described below, was used to prepay a portion of First Lien - Term Loan B on October 9, 2018. As a result of the $200.0 million prepayment, no required principal payments are due until November 24,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 Term Loan 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9, 2018 (the “Closing Date”), our first lien credit agreement, dated as of March 13, 2014 (as amended, the “Credit Agreement”), was amended pursuant to a joinder and amendment agreement (the “October 2018 Joinder”) to, among other things, (i) establish new first lien term loans in an aggregate principal amount of $200.0 million (“First Lien - Term Loan A”) to prepay a portion of First Lien - Term Loan B outstanding immediately prior to the Closing Date, (ii) set the maturity of such term loans to October 9, 2023 and (iii) set the rates applicable to such term loans. Pursuant to the October 2018 Joinder, the initial new Applicable Margins are (i) 1.75% for the new first lien term loans that are LIBOR Loans (as defined in the Credit Agreement) and (ii) 0.75% for the new first lien term loans that are ABR Loans (as defined in the Credit Agreement).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October 2018 Joinder further provides that following the Closing Date, the above Applicable Margins for First Lien - Term Loan A will be based on either (x) NVI’s total leverage ratio or (y) NVI’s public corporate credit rating from Moody’s and/or NVI’s public corporate credit rating from S&amp;P as follows: (a) if NVI’s total leverage ratio is less than 2.00 to 1.00 or NVI’s rating is either Ba2 (stable) or better from Moody’s or BB (stable) or better from S&amp;P, the Applicable Margin will be 1.25% for LIBOR Loans and 0.25% for ABR Loans, (b) if NVI’s total leverage ratio is equal to or greater than 2.00 to 1.00, but less than 2.50 to 1.00, or NVI’s rating is BB- (stable) from S&amp;P, the Applicable Margin will be 1.50% for LIBOR Loans and 0.50% for ABR Loans and (c) if NVI’s total leverage ratio is equal to or greater than 2.50 to 1.00, the Applicable Margin will be 1.75% for LIBOR Loans and 0.75% for ABR Loans, as specified in the October 2018 Joinder. First Lien - Term Loan A will amortize in equal quarterly installments equal to 2.50% per annum in the first three years of the loan and 5.00% per annum thereafter.</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the October 2018 Joinder, solely with respect to the First Lien - Term Loan A, commencing on the fiscal quarter ending on December 29, 2018, the Company will not permit (i) the Consolidated Total Debt to Consolidated EBITDA Ratio (as defined in the Credit Agreement) as of the last day of any fiscal quarter of the Company to be greater than 4.75 to 1.00 or (ii) the Consolidated Interest Coverage Ratio (as defined in the Credit Agreement) of the Company as of the last day of any fiscal quarter to be less than 3.00 to 1.00.</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 Revolving Credit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lien credit agreement provides for a revolving credit facility which was amended in October 2017 pursuant to a joinder and amendment agreement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increase the size of the credit facility from $75.0 million to $100.0 million and (b) extend the maturity of such facility to October 15, 2022.</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Amounts borrowed under the revolving credit facility bear interest, at our election, at either 2.00% over ABR or 3.00% over LIBOR. These interest rate spreads will decline to 1.75% and 2.75%, respectively, if our Credit Agreement EBITDA ratio declines to 4.25 to 1.00 or less, and the spreads will further decline to 1.50% and 2.50%, respectively, if such ratio declines to 3.75 to 1.00 or less. We may use up to $20.0 million of the revolving credit facility to issue letters of credit. Letter of credit fees accrue at the same rate as the then-applicable LIBOR spread. Our credit agreement also provides that, if aggregate borrowings (inclusive of certain letters of credit) under our revolving credit facility exceed 30% of the total revolving commitment, the ratio of debt under our first lien credit agreement to Credit Agreement EBITDA may not, on the last day of the applicable measurement period, exceed 7.75 to 1.00.</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owed under our first lien credit agreement and the interest rate on such outstanding amounts, and the amount available for additional borrowing thereunder, as of the end of fiscal year 2018: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percentage data</w:t>
            </w:r>
          </w:p>
        </w:tc>
        <w:tc>
          <w:tcPr>
            <w:tcW w:w="1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 Available for</w:t>
            </w:r>
          </w:p>
        </w:tc>
        <w:tc>
          <w:tcPr>
            <w:tcW w:w="0" w:type="dxa"/>
            <w:vAlign w:val="bottom"/>
          </w:tcPr>
          <w:p>
            <w:pPr>
              <w:spacing w:after="0"/>
              <w:rPr>
                <w:sz w:val="1"/>
                <w:szCs w:val="1"/>
                <w:color w:val="auto"/>
              </w:rPr>
            </w:pPr>
          </w:p>
        </w:tc>
      </w:tr>
      <w:tr>
        <w:trPr>
          <w:trHeight w:val="261"/>
        </w:trPr>
        <w:tc>
          <w:tcPr>
            <w:tcW w:w="59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1700" w:type="dxa"/>
            <w:vAlign w:val="bottom"/>
            <w:tcBorders>
              <w:bottom w:val="single" w:sz="8" w:color="auto"/>
            </w:tcBorders>
          </w:tcPr>
          <w:p>
            <w:pPr>
              <w:jc w:val="center"/>
              <w:spacing w:after="0" w:line="262" w:lineRule="exact"/>
              <w:rPr>
                <w:sz w:val="20"/>
                <w:szCs w:val="20"/>
                <w:color w:val="auto"/>
              </w:rPr>
            </w:pPr>
            <w:r>
              <w:rPr>
                <w:rFonts w:ascii="Times New Roman" w:cs="Times New Roman" w:eastAsia="Times New Roman" w:hAnsi="Times New Roman"/>
                <w:sz w:val="18"/>
                <w:szCs w:val="18"/>
                <w:color w:val="auto"/>
                <w:w w:val="95"/>
              </w:rPr>
              <w:t xml:space="preserve">Interest Rate </w:t>
            </w:r>
            <w:r>
              <w:rPr>
                <w:rFonts w:ascii="Times New Roman" w:cs="Times New Roman" w:eastAsia="Times New Roman" w:hAnsi="Times New Roman"/>
                <w:sz w:val="25"/>
                <w:szCs w:val="25"/>
                <w:color w:val="auto"/>
                <w:w w:val="95"/>
                <w:vertAlign w:val="superscript"/>
              </w:rPr>
              <w:t>(2)</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Amount Outstanding</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Additional Borrowing</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Lien - Term Loan B</w:t>
            </w:r>
          </w:p>
        </w:tc>
        <w:tc>
          <w:tcPr>
            <w:tcW w:w="1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Variable</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364,300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First Lien - Term Loan A</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Variable</w:t>
            </w: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First Lien - Revolving Credit Facility</w:t>
            </w:r>
            <w:r>
              <w:rPr>
                <w:rFonts w:ascii="Times New Roman" w:cs="Times New Roman" w:eastAsia="Times New Roman" w:hAnsi="Times New Roman"/>
                <w:sz w:val="25"/>
                <w:szCs w:val="25"/>
                <w:color w:val="auto"/>
                <w:vertAlign w:val="superscript"/>
              </w:rPr>
              <w:t>(1)</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5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94,500</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564,300</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94,500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29, 2018, the amount available under our revolving credit facility reflected a reduction of $5.5 million of letters of credit outstanding.</w:t>
      </w:r>
    </w:p>
    <w:p>
      <w:pPr>
        <w:spacing w:after="0" w:line="163" w:lineRule="exact"/>
        <w:rPr>
          <w:rFonts w:ascii="Times New Roman" w:cs="Times New Roman" w:eastAsia="Times New Roman" w:hAnsi="Times New Roman"/>
          <w:sz w:val="14"/>
          <w:szCs w:val="14"/>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on the First Lien - Term Loan B is at LIBOR plus an Applicable Margin of 2.50% as of fiscal year end 2018. The interest rate on the First Lien - Term Loan A is at LIBOR plus an Applicable Margin of 1.75% as of fiscal year end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stores (owned brands)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41,509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Laboratories, distribution centers and optometric equipment</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Betterments and infrastructure</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30,521</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104,493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93,219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90,026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fiscal year end 2018, our lease commitments and contractual obligations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Term loans</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364,300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564,300</w:t>
            </w:r>
          </w:p>
        </w:tc>
        <w:tc>
          <w:tcPr>
            <w:tcW w:w="0" w:type="dxa"/>
            <w:vAlign w:val="bottom"/>
          </w:tcPr>
          <w:p>
            <w:pPr>
              <w:spacing w:after="0"/>
              <w:rPr>
                <w:sz w:val="1"/>
                <w:szCs w:val="1"/>
                <w:color w:val="auto"/>
              </w:rPr>
            </w:pPr>
          </w:p>
        </w:tc>
      </w:tr>
      <w:tr>
        <w:trPr>
          <w:trHeight w:val="270"/>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Revolving credit facility</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Estimated interest</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29,607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28,970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28,539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161,123</w:t>
            </w:r>
          </w:p>
        </w:tc>
        <w:tc>
          <w:tcPr>
            <w:tcW w:w="0" w:type="dxa"/>
            <w:vAlign w:val="bottom"/>
          </w:tcPr>
          <w:p>
            <w:pPr>
              <w:spacing w:after="0"/>
              <w:rPr>
                <w:sz w:val="1"/>
                <w:szCs w:val="1"/>
                <w:color w:val="auto"/>
              </w:rPr>
            </w:pPr>
          </w:p>
        </w:tc>
      </w:tr>
      <w:tr>
        <w:trPr>
          <w:trHeight w:val="270"/>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Non-cancelable operating leases</w:t>
            </w:r>
            <w:r>
              <w:rPr>
                <w:rFonts w:ascii="Times New Roman" w:cs="Times New Roman" w:eastAsia="Times New Roman" w:hAnsi="Times New Roman"/>
                <w:sz w:val="21"/>
                <w:szCs w:val="21"/>
                <w:color w:val="auto"/>
                <w:vertAlign w:val="superscript"/>
              </w:rPr>
              <w:t>(d)</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69,372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63,218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56,219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126,388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407,045</w:t>
            </w: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leases</w:t>
            </w:r>
            <w:r>
              <w:rPr>
                <w:rFonts w:ascii="Times New Roman" w:cs="Times New Roman" w:eastAsia="Times New Roman" w:hAnsi="Times New Roman"/>
                <w:sz w:val="21"/>
                <w:szCs w:val="21"/>
                <w:color w:val="auto"/>
                <w:vertAlign w:val="superscript"/>
              </w:rPr>
              <w:t>(e)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5,786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13,062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39,413</w:t>
            </w:r>
          </w:p>
        </w:tc>
        <w:tc>
          <w:tcPr>
            <w:tcW w:w="0" w:type="dxa"/>
            <w:vAlign w:val="bottom"/>
          </w:tcPr>
          <w:p>
            <w:pPr>
              <w:spacing w:after="0"/>
              <w:rPr>
                <w:sz w:val="1"/>
                <w:szCs w:val="1"/>
                <w:color w:val="auto"/>
              </w:rPr>
            </w:pPr>
          </w:p>
        </w:tc>
      </w:tr>
      <w:tr>
        <w:trPr>
          <w:trHeight w:val="270"/>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commitments</w:t>
            </w:r>
            <w:r>
              <w:rPr>
                <w:rFonts w:ascii="Times New Roman" w:cs="Times New Roman" w:eastAsia="Times New Roman" w:hAnsi="Times New Roman"/>
                <w:sz w:val="21"/>
                <w:szCs w:val="21"/>
                <w:color w:val="auto"/>
                <w:vertAlign w:val="superscript"/>
              </w:rPr>
              <w:t>(f)</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4,550</w:t>
            </w:r>
          </w:p>
        </w:tc>
        <w:tc>
          <w:tcPr>
            <w:tcW w:w="0" w:type="dxa"/>
            <w:vAlign w:val="bottom"/>
          </w:tcPr>
          <w:p>
            <w:pPr>
              <w:spacing w:after="0"/>
              <w:rPr>
                <w:sz w:val="1"/>
                <w:szCs w:val="1"/>
                <w:color w:val="auto"/>
              </w:rPr>
            </w:pPr>
          </w:p>
        </w:tc>
      </w:tr>
      <w:tr>
        <w:trPr>
          <w:trHeight w:val="244"/>
        </w:trPr>
        <w:tc>
          <w:tcPr>
            <w:tcW w:w="2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113,976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95,834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248,591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521,039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1,176,431</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jc w:val="both"/>
        <w:ind w:left="420" w:hanging="412"/>
        <w:spacing w:after="0" w:line="249" w:lineRule="auto"/>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under First Lien - Term Loan A loan is payable in equal quarterly installments of $1.25 million through the fourth quarter of 2021 and $2.5 million each quarter through the fourth quarter of 2023 when the outstanding principal balance of $167.5 million is due. No principal payments are required on First Lien - Term Loan B until fourth quarter of 2024 when the outstanding principal balance of $364.3 million is due.</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fiscal year 2018, we had no outstanding revolving loan obligation and had $5.5 million in outstanding letters of credit under our first lien revolving credit facility.</w:t>
      </w:r>
    </w:p>
    <w:p>
      <w:pPr>
        <w:spacing w:after="0" w:line="1" w:lineRule="exact"/>
        <w:rPr>
          <w:rFonts w:ascii="Times New Roman" w:cs="Times New Roman" w:eastAsia="Times New Roman" w:hAnsi="Times New Roman"/>
          <w:sz w:val="14"/>
          <w:szCs w:val="14"/>
          <w:color w:val="auto"/>
        </w:rPr>
      </w:pPr>
    </w:p>
    <w:p>
      <w:pPr>
        <w:jc w:val="both"/>
        <w:ind w:left="420" w:right="20" w:hanging="412"/>
        <w:spacing w:after="0" w:line="241" w:lineRule="auto"/>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estimated our interest payments on our term loans based on our current interest elections described in “Liquidity and Capital Resources.” Amounts and timing may be different from our estimated interest payments due to potential voluntary prepayments, borrowings and interest rate fluctuations. Expected obligations on our hedging instruments are excluded from estimated interest presented in the table above.</w:t>
      </w:r>
    </w:p>
    <w:p>
      <w:pPr>
        <w:spacing w:after="0" w:line="1" w:lineRule="exact"/>
        <w:rPr>
          <w:rFonts w:ascii="Times New Roman" w:cs="Times New Roman" w:eastAsia="Times New Roman" w:hAnsi="Times New Roman"/>
          <w:sz w:val="14"/>
          <w:szCs w:val="14"/>
          <w:color w:val="auto"/>
        </w:rPr>
      </w:pPr>
    </w:p>
    <w:p>
      <w:pPr>
        <w:jc w:val="both"/>
        <w:ind w:left="420" w:hanging="412"/>
        <w:spacing w:after="0" w:line="245" w:lineRule="auto"/>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leases also require us to pay executory costs such as insurance, real estate taxes and common area maintenance. These expenses are generally variable, not included above, and were approximately $13.5 million, $14.4 million and $17.5 million during fiscal years ended 2016, 2017 and 2018, respectively.</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left="420" w:hanging="412"/>
        <w:spacing w:after="0" w:line="247" w:lineRule="auto"/>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leases classified as capital leases, the capital lease asset is recorded as property and equipment and a corresponding amount is recorded as a long-term debt obligation in the consolidated balance sheets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 Capital lease amounts above represent required contractual cash payments in the periods presented.</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commitments include contributions made to our philanthropic endeavors and marketing and promotional agreements.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long-term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our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evaluated the accounting policies used in the preparation of the Company’s consolidated financial statements and related notes and believe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included in Part II. Item 8. of this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P&amp;E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long-lived tangible store assets at the store level, which is the lowest level at which independent cash flows can be identified, when events or conditions indicate the carrying value of such assets may not be recoverable. If the store's projected undiscounted net cash flows expected to be generated by the related assets over the shorter of the remaining useful life or the remaining term of the lease are less than the carrying value of the subject assets, we measure impairment based on a discounted cash flow model and record an impairment loss as the excess of carrying value over the estimated fair value.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assess non-store tangible assets, including capitalized software costs in use or under development, for impairment if events or changes in circumstances indicate that the carrying value of those assets may not be recoverable.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$355.1 million of property and equipment, net as of December 29, 2018. Changes in estimates and assumptions used in our impairment testing of property and equipment could result in future impairment losses, which could be material. Significant judgments and assumptions are required in our impairment evaluations.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and estimated fair value.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non-amortizing trademarks and trade names for impairment annually or whenever events or changes in circumstances indicate that those assets may be impaired.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impairment is present if a reporting unit’s carrying value exceeds its fair value, not to exceed the carrying value of goodwill. We consider each of our operating segments to be reporting units. We calculate the fair value of our reporting units using the income approach, which is based on a discounted cash flow analysis and calculates the fair value of reporting units by estimating after-tax cash flows discounted using the Company’s consolidated weighted average cost of capital. The cash flows used in the analysis are based on financial forecasts developed internally by management and require significant judgment. The significant unobservable inputs used in the fair value measurement of the reporting units are revenue growth rate, payroll expense growth rate and other store expenses growth rate. These assumptions are sensitive to future changes in the business profitability, changes in our business strategy and external market conditions, among other factors. See Note 1. “Business and Significant Accounting Policies” and Note 3. “Goodwill and Intangible Assets” to our consolidated financial statements included in Part II. Item 8. of this Form 10-K. for further detail on goodwill impairment.</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29, 2018, we had $778 million of goodwill and $240 million of non-amortizing intangible assets. Changes in estimates and assumptions used in our impairment testing could result in future impairment losses, which could be material. Significant judgments and assumptions are required in our impairment evaluations.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revenues include sales of prescription and non-prescription eyewear, contact lenses, related accessories to retail customers (including those covered by managed care) and sales of inventory in which our customer is another retail entity. Revenues from services and plans include eye exams, eye-care club membership fees, product protection plans (i.e. warranties), and HMO membership fees. Service revenue also includes fees we earn for managing certain Vision Centers and performing laboratory processing services for our legacy partner.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America’s Best brand, our signature offer is two pairs of eyeglasses and a free eye exam for one low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product protection plans for our eyeglasses and three- or five-year eyecare club memberships in our owned &amp; host segment to our contact lens customers. The unamortized portion of amounts we collect in advance for these services and plans are reported as deferred revenue (current and non-current portions).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and generally ranges from three to 10 days with most sales having an average processing versus delivery time difference of seven to eight days. All unearned revenue at the end of a reporting period is recognized in the next fiscal period</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net of sales taxes and returns. The returns allowance is based on historical return patterns. Provisions for estimated returns are established and the expected costs continue to be recognized as contra-revenue when the products are sold.</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Note 1. “Business and Significant Accounting Policies” and Note 7. “Revenue from Contracts With Customers” in our audited consolidated financial statements included in Part II. Item 8. of this Form 10-K for additional information.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our retail stores, optometric examination offices, distribution centers, vehicles, office space and optical laboratories, with the exception of our St. Cloud, Minnesota lab, which we own. Rent expense on operating leases is recorded in SG&amp;A on a straight-line basis over the term of the lease, commencing on the date the Company obtains the right to use the leased property. Generally, the Company is required to pay base rent, real estate taxes, maintenance and insurance. Certain of our lease agreements include rent holidays and rent escalation provisions and may include contingent rent provisions for percentage of sales in excess of specified levels. The Company recognizes rent holidays, including the time period during which the Company has control of the property prior to the opening of the store, as well as escalating rent provisions, as deferred rent expense and amortizes these balances on a straight-line basis over the term of the lease. Most leases include one or more options to renew, with renewal terms that can extend the lease term from one to 10 years or more. The lease term includes renewal option periods when the renewal is reasonably assured, and is consistent with the depreciable life of corresponding leasehold improvements.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capital leases, a lease asset is recorded as property &amp; equipment and corresponding amounts are recorded as debt obligations at an amount equal to the lesser of the net present value of minimum lease payments to be made over the lease term or the fair value of the property. The Company allocates capital lease payments to reductions in the lease obligation and interest expense using the effective interest method.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Tenant improvement allowances are contractual amounts received by a lessee from a lessor for improvements made to leased properties by the lessee, and are amortized as a reduction in rental expense over the life of the respective leases.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 leased store is closed before the expiration of the lease, the discounted remaining lease obligation less estimated sublease rental income, asset impairment charges related to improvements and fixtures, inventory write-downs and other miscellaneous expenses are recognized when the store closes.</w:t>
      </w:r>
    </w:p>
    <w:p>
      <w:pPr>
        <w:spacing w:after="0" w:line="54" w:lineRule="exact"/>
        <w:rPr>
          <w:sz w:val="20"/>
          <w:szCs w:val="20"/>
          <w:color w:val="auto"/>
        </w:rPr>
      </w:pPr>
    </w:p>
    <w:p>
      <w:pPr>
        <w:ind w:right="1040"/>
        <w:spacing w:after="0" w:line="375" w:lineRule="auto"/>
        <w:rPr>
          <w:sz w:val="20"/>
          <w:szCs w:val="20"/>
          <w:color w:val="auto"/>
        </w:rPr>
      </w:pPr>
      <w:r>
        <w:rPr>
          <w:rFonts w:ascii="Times New Roman" w:cs="Times New Roman" w:eastAsia="Times New Roman" w:hAnsi="Times New Roman"/>
          <w:sz w:val="18"/>
          <w:szCs w:val="18"/>
          <w:color w:val="auto"/>
        </w:rPr>
        <w:t xml:space="preserve">Capital and operating lease activity is material to our financial statements. Changes in lease assumptions or policy could have a material impact. </w:t>
      </w:r>
      <w:r>
        <w:rPr>
          <w:rFonts w:ascii="Times New Roman" w:cs="Times New Roman" w:eastAsia="Times New Roman" w:hAnsi="Times New Roman"/>
          <w:sz w:val="18"/>
          <w:szCs w:val="18"/>
          <w:i w:val="1"/>
          <w:iCs w:val="1"/>
          <w:color w:val="auto"/>
        </w:rPr>
        <w:t>Income Taxes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deferred income taxes based on the asset and liability method. The Company must make certain estimates and judgments in determining income tax expense. Judgment is required in determining our provision for income taxes.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establish a liability for tax positions for which there is uncertainty as to whether the position will ultimately be sustained. We assess our tax positions by determining whether it is more-likely-than-not that the position will be sustained upon examination by the appropriate taxing authorities, including resolution of any related appeals or litigation, based solely on the technical merits of the position. These calculations and assessments involve estimates and complex judgments because the ultimate tax outcomes are uncertain and future events are unpredictable. Our net deferred liability balance as of December 29, 2018 was $61.9 million. Changes in assumptions in our estimates could result in material changes to these balances. See Note 6. “Income Taxes” to our consolidated financial statements included in Part II. Item 8 of this Form 10-K.</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inventory is determined using the weighted average cost method. Inventories at retail stores are comprised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compliance with contact lens vendor return policies, and estimates of future retail sales prices. Shrinkage is estimated and recorded throughout the period as a percentage of cost of sales based on historical results and current inventory levels. Actual shrinkage is recorded throughout the year based upon periodic physical counts. As of December 29, 2018, our total inventory balance was $116 million. Changes in our assessment of the inventory carrying value could have a material impact.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Fair value represents estimated amounts we would receive or pay upon a termination of interest rate swaps prior to their scheduled expiration dates. The fair value was based on information that is model-driven and whose inputs were observable (Level 2 inputs). We do not hold or enter into financial instruments for trading or speculative purposes.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gain or loss resulting from fair value adjustments on cash flow hedges are recorded in accumulated other comprehensive loss in the accompanying consolidated balance sheets until the hedged item is recognized as interest expense in the consolidated statements of operations. We perform periodic assessments of the effectiveness of our derivative contracts designated as hedges, including the possibility of counterparty default.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The impact of credit risk, as well as the ability of each party to fulfill its obligations under our derivative financial instruments, is considered in determining the fair value of the contracts. Credit risk has not had a significant effect on the fair value of our derivative instruments. We do not have any credit risk-related contingent features or collateral requirements associated with our derivative contracts. As of December 29, 2018, the notional amount of our hedges was $465 million. Any potential changes in hedge designations assumptions on instrument fair values could have a material impact on our results and our balance sheet.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This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w:t>
      </w:r>
      <w:r>
        <w:rPr>
          <w:rFonts w:ascii="Times New Roman" w:cs="Times New Roman" w:eastAsia="Times New Roman" w:hAnsi="Times New Roman"/>
          <w:sz w:val="18"/>
          <w:szCs w:val="18"/>
          <w:color w:val="252525"/>
        </w:rPr>
        <w:t>Disclosure of key information about leasing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will also be required. This new guidance is effective for fiscal years beginning after December 15, 2018, and interim reporting periods within that fiscal year. </w:t>
      </w:r>
      <w:r>
        <w:rPr>
          <w:rFonts w:ascii="Times New Roman" w:cs="Times New Roman" w:eastAsia="Times New Roman" w:hAnsi="Times New Roman"/>
          <w:sz w:val="18"/>
          <w:szCs w:val="18"/>
          <w:color w:val="000000"/>
        </w:rPr>
        <w:t>In July 2018, the FASB issued ASU 2018-11, “</w:t>
      </w:r>
      <w:r>
        <w:rPr>
          <w:rFonts w:ascii="Times New Roman" w:cs="Times New Roman" w:eastAsia="Times New Roman" w:hAnsi="Times New Roman"/>
          <w:sz w:val="18"/>
          <w:szCs w:val="18"/>
          <w:i w:val="1"/>
          <w:iCs w:val="1"/>
          <w:color w:val="000000"/>
        </w:rPr>
        <w:t>Leases: Targeted Improvements</w:t>
      </w:r>
      <w:r>
        <w:rPr>
          <w:rFonts w:ascii="Times New Roman" w:cs="Times New Roman" w:eastAsia="Times New Roman" w:hAnsi="Times New Roman"/>
          <w:sz w:val="18"/>
          <w:szCs w:val="18"/>
          <w:color w:val="000000"/>
        </w:rPr>
        <w:t>,” as an amendment to ASU 2016-02, “</w:t>
      </w:r>
      <w:r>
        <w:rPr>
          <w:rFonts w:ascii="Times New Roman" w:cs="Times New Roman" w:eastAsia="Times New Roman" w:hAnsi="Times New Roman"/>
          <w:sz w:val="18"/>
          <w:szCs w:val="18"/>
          <w:i w:val="1"/>
          <w:iCs w:val="1"/>
          <w:color w:val="000000"/>
        </w:rPr>
        <w:t>Leases</w:t>
      </w:r>
      <w:r>
        <w:rPr>
          <w:rFonts w:ascii="Times New Roman" w:cs="Times New Roman" w:eastAsia="Times New Roman" w:hAnsi="Times New Roman"/>
          <w:sz w:val="18"/>
          <w:szCs w:val="18"/>
          <w:color w:val="000000"/>
        </w:rPr>
        <w:t>,” which provides entities with an additional transition method to recognize a cumulative-effect adjustment to the opening balance of retained earnings in the period of adoption. We will adopt the accounting standard using a prospective transition approach in the first quarter of 2019, which applies the provisions of the new guidance at the effective date without adjusting the comparative periods presented, and will elect the package of practical expedients, short-term practical expedient and the expedient to not separate lease components from non-lease components. We currently believe the most significant impact of adopting this ASU relates to recording operating lease liabilities and related ROU assets estimated to be between $325.0 million and $345.0 million on the consolidated balance sheet as of December 30, 2018. The Company does not expect the adoption of this new guidance to have a significant impact on the recognition, measurement or presentation of lease expenses within our consolidated statements of operations.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2018, the FASB issued Accounting Standards Update ASU 2018-02, </w:t>
      </w:r>
      <w:r>
        <w:rPr>
          <w:rFonts w:ascii="Times New Roman" w:cs="Times New Roman" w:eastAsia="Times New Roman" w:hAnsi="Times New Roman"/>
          <w:sz w:val="18"/>
          <w:szCs w:val="18"/>
          <w:i w:val="1"/>
          <w:iCs w:val="1"/>
          <w:color w:val="auto"/>
        </w:rPr>
        <w:t>Income Statement-Reporting Comprehensive Income (Topic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Reclassification of Certain Tax Effects from Accumulated Other Comprehensive Income ("ASU 2018-02")</w:t>
      </w:r>
      <w:r>
        <w:rPr>
          <w:rFonts w:ascii="Times New Roman" w:cs="Times New Roman" w:eastAsia="Times New Roman" w:hAnsi="Times New Roman"/>
          <w:sz w:val="18"/>
          <w:szCs w:val="18"/>
          <w:color w:val="auto"/>
        </w:rPr>
        <w:t>. This guidance allows for an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 from accumulated other comprehensive income or loss to retained earnings for stranded tax effects as a result of the newly enacted federal corporate income tax rate under the Tax Legislation. This guidance is effective for interim and annual periods beginning after December 15, 2018, with early adoption permitted. We will adopt the guidance during the first quarter of fiscal year 2019, and do not expect to reclassify the stranded income tax benefit resulting from adoption of the Tax Legislation from AOCL into earnings until the maturity of our interest rate derivative contracts. No other impact to the Company’s financial condition, results of operations, or cash flows is expected.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guidance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with early adoption permitted. The amendments in this new guidance may be applied either retrospectively or prospectively. The Company is in the process of assessing the new guidance, but does not expect adoption to have a material effect on the Company’s financial condition, results of operations, or cash flows.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recently issued accounting pronouncements, see Note 1. “Business and Significant Accounting Policies” to our consolidated financial statements included in Part II. Item 8 of this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10. “Fair Value Measurement of Financial Assets and Liabilities” to our consolidated financial statements included in Part II. Item 8 of this Form 10-K.</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consolidated balance sheets.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fiscal year 2018, all of our $564.3 million in term loan debt was subject to variable interest rates, with a weighted average borrowing rate of 4.6%. After inclusion of the notional amount of $465.0 million of interest rate swaps fixing a portion of the variable rate debt, $99.3 million, or 17.6% of our debt, is subject to variable rates. Assuming an increase to market rates of 1.0% as of December 29, 2018, we would incur an annual increase to interest expense of approximately $1.0 million related to debt subject to variable rates.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0640" w:type="dxa"/>
            <w:vAlign w:val="bottom"/>
            <w:gridSpan w:val="11"/>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80"/>
        </w:trPr>
        <w:tc>
          <w:tcPr>
            <w:tcW w:w="106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0"/>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20" w:type="dxa"/>
            <w:vAlign w:val="bottom"/>
            <w:gridSpan w:val="7"/>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94"/>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4240" w:type="dxa"/>
            <w:vAlign w:val="bottom"/>
            <w:gridSpan w:val="4"/>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Report of Independent Registered Public Accounting Firm</w:t>
              </w:r>
            </w:hyperlink>
          </w:p>
        </w:tc>
        <w:tc>
          <w:tcPr>
            <w:tcW w:w="6340" w:type="dxa"/>
            <w:vAlign w:val="bottom"/>
            <w:gridSpan w:val="6"/>
          </w:tcPr>
          <w:p>
            <w:pPr>
              <w:spacing w:after="0"/>
              <w:rPr>
                <w:sz w:val="19"/>
                <w:szCs w:val="19"/>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74</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5680" w:type="dxa"/>
            <w:vAlign w:val="bottom"/>
            <w:gridSpan w:val="6"/>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Consolidated Balance Sheets as of December 29, 2018 and December 30, 2017</w:t>
              </w:r>
            </w:hyperlink>
          </w:p>
        </w:tc>
        <w:tc>
          <w:tcPr>
            <w:tcW w:w="4900" w:type="dxa"/>
            <w:vAlign w:val="bottom"/>
            <w:gridSpan w:val="4"/>
          </w:tcPr>
          <w:p>
            <w:pPr>
              <w:spacing w:after="0"/>
              <w:rPr>
                <w:sz w:val="24"/>
                <w:szCs w:val="24"/>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580" w:type="dxa"/>
            <w:vAlign w:val="bottom"/>
            <w:gridSpan w:val="10"/>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Operations and Comprehensive Income for the Fiscal Years Ended December 29, 2018, December 30, 2017 and</w:t>
              </w:r>
            </w:hyperlink>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00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December 31, 2016</w:t>
              </w:r>
            </w:hyperlink>
          </w:p>
        </w:tc>
        <w:tc>
          <w:tcPr>
            <w:tcW w:w="520" w:type="dxa"/>
            <w:vAlign w:val="bottom"/>
            <w:gridSpan w:val="2"/>
          </w:tcPr>
          <w:p>
            <w:pPr>
              <w:spacing w:after="0"/>
              <w:rPr>
                <w:sz w:val="17"/>
                <w:szCs w:val="17"/>
                <w:color w:val="auto"/>
              </w:rPr>
            </w:pPr>
          </w:p>
        </w:tc>
        <w:tc>
          <w:tcPr>
            <w:tcW w:w="7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200" w:type="dxa"/>
            <w:vAlign w:val="bottom"/>
            <w:gridSpan w:val="9"/>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Consolidated Statements of Stockholders’ Equity for the Fiscal Years Ended December 29, 2018, December 30, 2017 and December 31, 2016</w:t>
              </w:r>
            </w:hyperlink>
          </w:p>
        </w:tc>
        <w:tc>
          <w:tcPr>
            <w:tcW w:w="380" w:type="dxa"/>
            <w:vAlign w:val="bottom"/>
          </w:tcPr>
          <w:p>
            <w:pPr>
              <w:spacing w:after="0"/>
              <w:rPr>
                <w:sz w:val="24"/>
                <w:szCs w:val="24"/>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200" w:type="dxa"/>
            <w:vAlign w:val="bottom"/>
            <w:gridSpan w:val="9"/>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Cash Flows for the Fiscal Years Ended December 29, 2018, December 30, 2017, and December 31, 2016</w:t>
              </w:r>
            </w:hyperlink>
          </w:p>
        </w:tc>
        <w:tc>
          <w:tcPr>
            <w:tcW w:w="380" w:type="dxa"/>
            <w:vAlign w:val="bottom"/>
          </w:tcPr>
          <w:p>
            <w:pPr>
              <w:spacing w:after="0"/>
              <w:rPr>
                <w:sz w:val="24"/>
                <w:szCs w:val="24"/>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77</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3160" w:type="dxa"/>
            <w:vAlign w:val="bottom"/>
            <w:gridSpan w:val="3"/>
          </w:tcPr>
          <w:p>
            <w:pPr>
              <w:spacing w:after="0"/>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Notes to Consolidated Financial Statements</w:t>
              </w:r>
            </w:hyperlink>
          </w:p>
        </w:tc>
        <w:tc>
          <w:tcPr>
            <w:tcW w:w="6400" w:type="dxa"/>
            <w:vAlign w:val="bottom"/>
            <w:gridSpan w:val="4"/>
          </w:tcPr>
          <w:p>
            <w:pPr>
              <w:spacing w:after="0"/>
              <w:rPr>
                <w:sz w:val="24"/>
                <w:szCs w:val="24"/>
                <w:color w:val="auto"/>
              </w:rPr>
            </w:pPr>
          </w:p>
        </w:tc>
        <w:tc>
          <w:tcPr>
            <w:tcW w:w="1020" w:type="dxa"/>
            <w:vAlign w:val="bottom"/>
            <w:gridSpan w:val="3"/>
          </w:tcPr>
          <w:p>
            <w:pPr>
              <w:spacing w:after="0"/>
              <w:rPr>
                <w:sz w:val="24"/>
                <w:szCs w:val="24"/>
                <w:color w:val="auto"/>
              </w:rPr>
            </w:pPr>
          </w:p>
        </w:tc>
        <w:tc>
          <w:tcPr>
            <w:tcW w:w="760" w:type="dxa"/>
            <w:vAlign w:val="bottom"/>
            <w:gridSpan w:val="3"/>
          </w:tcPr>
          <w:p>
            <w:pPr>
              <w:jc w:val="right"/>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78</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10580" w:type="dxa"/>
            <w:vAlign w:val="bottom"/>
            <w:gridSpan w:val="10"/>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Schedule I – Condensed Financial Information of Registrant</w:t>
              </w:r>
            </w:hyperlink>
          </w:p>
        </w:tc>
        <w:tc>
          <w:tcPr>
            <w:tcW w:w="760" w:type="dxa"/>
            <w:vAlign w:val="bottom"/>
            <w:gridSpan w:val="3"/>
          </w:tcPr>
          <w:p>
            <w:pPr>
              <w:jc w:val="right"/>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111</w:t>
              </w:r>
            </w:hyperlink>
          </w:p>
        </w:tc>
      </w:tr>
      <w:tr>
        <w:trPr>
          <w:trHeight w:val="723"/>
        </w:trPr>
        <w:tc>
          <w:tcPr>
            <w:tcW w:w="60" w:type="dxa"/>
            <w:vAlign w:val="bottom"/>
          </w:tcPr>
          <w:p>
            <w:pPr>
              <w:spacing w:after="0"/>
              <w:rPr>
                <w:sz w:val="24"/>
                <w:szCs w:val="24"/>
                <w:color w:val="auto"/>
              </w:rPr>
            </w:pPr>
          </w:p>
        </w:tc>
        <w:tc>
          <w:tcPr>
            <w:tcW w:w="4360" w:type="dxa"/>
            <w:vAlign w:val="bottom"/>
            <w:tcBorders>
              <w:top w:val="single" w:sz="8" w:color="0000EE"/>
            </w:tcBorders>
            <w:gridSpan w:val="5"/>
          </w:tcPr>
          <w:p>
            <w:pPr>
              <w:spacing w:after="0"/>
              <w:rPr>
                <w:sz w:val="24"/>
                <w:szCs w:val="24"/>
                <w:color w:val="auto"/>
              </w:rPr>
            </w:pPr>
          </w:p>
        </w:tc>
        <w:tc>
          <w:tcPr>
            <w:tcW w:w="5200" w:type="dxa"/>
            <w:vAlign w:val="bottom"/>
            <w:gridSpan w:val="2"/>
          </w:tcPr>
          <w:p>
            <w:pPr>
              <w:jc w:val="right"/>
              <w:ind w:right="3820"/>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National Vision Holdings, Inc. and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National Vision Holdings, Inc. and subsidiaries (the "Company") as of December 29, 2018 and December 30, 2017, the related consolidated statements of operations and comprehensive income, stockholders' equity, and cash flows, for each of the three years in the period ended December 29, 2018, and the related notes and the schedule listed in the Index at Item 15 (collectively referred to as the "financial statements"). In our opinion, the financial statements present fairly, in all material respects, the financial position of the Company as of December 29, 2018 and December 30, 2017, and the results of its operations and its cash flows for each of the three years in the period ended December 29, 2018, in conformity with accounting principles generally accepted in the United States of America.</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29,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2019, expressed an adverse opinion on the Company's internal control over financial reporting because of a material weakness.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1 to the financial statements, the Company has changed its method of accounting for revenue from contracts with customers for the year ended December 29, 2018 due to the adoption of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6440" w:type="dxa"/>
            <w:vAlign w:val="bottom"/>
            <w:gridSpan w:val="2"/>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70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44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As of December 29, 2018 and December 30, 2017</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5700" w:type="dxa"/>
            <w:vAlign w:val="bottom"/>
          </w:tcPr>
          <w:p>
            <w:pPr>
              <w:jc w:val="center"/>
              <w:ind w:left="3090"/>
              <w:spacing w:after="0"/>
              <w:rPr>
                <w:sz w:val="20"/>
                <w:szCs w:val="20"/>
                <w:color w:val="auto"/>
              </w:rPr>
            </w:pPr>
            <w:r>
              <w:rPr>
                <w:rFonts w:ascii="Times New Roman" w:cs="Times New Roman" w:eastAsia="Times New Roman" w:hAnsi="Times New Roman"/>
                <w:sz w:val="18"/>
                <w:szCs w:val="18"/>
                <w:i w:val="1"/>
                <w:iCs w:val="1"/>
                <w:color w:val="auto"/>
                <w:w w:val="99"/>
              </w:rPr>
              <w:t>In Thousands, Except Par Value</w:t>
            </w: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tcPr>
          <w:p>
            <w:pPr>
              <w:spacing w:after="0"/>
              <w:rPr>
                <w:sz w:val="24"/>
                <w:szCs w:val="24"/>
                <w:color w:val="auto"/>
              </w:rPr>
            </w:pPr>
          </w:p>
        </w:tc>
        <w:tc>
          <w:tcPr>
            <w:tcW w:w="15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126"/>
        </w:trPr>
        <w:tc>
          <w:tcPr>
            <w:tcW w:w="6980" w:type="dxa"/>
            <w:vAlign w:val="bottom"/>
            <w:gridSpan w:val="2"/>
            <w:vMerge w:val="continue"/>
          </w:tcPr>
          <w:p>
            <w:pPr>
              <w:spacing w:after="0"/>
              <w:rPr>
                <w:sz w:val="10"/>
                <w:szCs w:val="10"/>
                <w:color w:val="auto"/>
              </w:rPr>
            </w:pPr>
          </w:p>
        </w:tc>
        <w:tc>
          <w:tcPr>
            <w:tcW w:w="2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December 29, 2018</w:t>
            </w:r>
          </w:p>
        </w:tc>
        <w:tc>
          <w:tcPr>
            <w:tcW w:w="240" w:type="dxa"/>
            <w:vAlign w:val="bottom"/>
          </w:tcPr>
          <w:p>
            <w:pPr>
              <w:spacing w:after="0"/>
              <w:rPr>
                <w:sz w:val="10"/>
                <w:szCs w:val="10"/>
                <w:color w:val="auto"/>
              </w:rPr>
            </w:pPr>
          </w:p>
        </w:tc>
        <w:tc>
          <w:tcPr>
            <w:tcW w:w="1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2017</w:t>
            </w: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43,193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91,151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23,925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214,704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162,477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5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302,280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792,744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72,903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10,988</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1,446,685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1,419,462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1,661,389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1,581,939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5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35,708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77,611</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Unearned revenue</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62,993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211,309</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 less current portion and debt discount</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570,545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561,980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31,222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71,926</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136,038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154,050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12)</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Common stock, $0.01 par value; 200,000 shares authorized; 78,246 and 74,654 shares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issued as of December 29, 2018 and December 30, 2017, respectively; 78,167 and 74,654</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shares outstanding as of December 29, 2018 and December 30, 2017, respectively</w:t>
            </w:r>
          </w:p>
        </w:tc>
        <w:tc>
          <w:tcPr>
            <w:tcW w:w="7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631,798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7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32,157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79 and 28 shares as of December 29, 2018 and December 30, 2017,</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respectively</w:t>
            </w:r>
          </w:p>
        </w:tc>
        <w:tc>
          <w:tcPr>
            <w:tcW w:w="7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743,154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654,600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1,661,389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1,581,939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Operations and Comprehensive Income For the Years Ended December 29, 2018, December 30, 2017 and December 31, 2016 </w:t>
      </w:r>
      <w:r>
        <w:rPr>
          <w:rFonts w:ascii="Times New Roman" w:cs="Times New Roman" w:eastAsia="Times New Roman" w:hAnsi="Times New Roman"/>
          <w:sz w:val="18"/>
          <w:szCs w:val="18"/>
          <w:i w:val="1"/>
          <w:iCs w:val="1"/>
          <w:color w:val="auto"/>
        </w:rPr>
        <w:t>In Thousands, Except Earnings Per Share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1,269,612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1,129,313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980,953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267,242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245,995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215,242</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1,536,854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1,375,308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1,196,195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bl>
    <w:p>
      <w:pPr>
        <w:sectPr>
          <w:pgSz w:w="11900" w:h="16900" w:orient="portrait"/>
          <w:cols w:equalWidth="0" w:num="1">
            <w:col w:w="11420"/>
          </w:cols>
          <w:pgMar w:left="240" w:top="108" w:right="239" w:bottom="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Products</w:t>
            </w:r>
          </w:p>
        </w:tc>
        <w:tc>
          <w:tcPr>
            <w:tcW w:w="5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511,406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456,078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390,369</w:t>
            </w: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 and plans</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202,165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180,888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154,412</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713,571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636,966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544,781</w:t>
            </w: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687,476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525,869</w:t>
            </w: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52,677</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Litigation settlement</w:t>
            </w: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r>
      <w:tr>
        <w:trPr>
          <w:trHeight w:val="27"/>
        </w:trPr>
        <w:tc>
          <w:tcPr>
            <w:tcW w:w="60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780,932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674,051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587,345</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42,351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64,291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64,069</w:t>
            </w: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39,092</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issuance costs</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24,977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11,634</w:t>
            </w:r>
          </w:p>
        </w:tc>
      </w:tr>
      <w:tr>
        <w:trPr>
          <w:trHeight w:val="27"/>
        </w:trPr>
        <w:tc>
          <w:tcPr>
            <w:tcW w:w="60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r>
      <w:tr>
        <w:trPr>
          <w:trHeight w:val="20"/>
        </w:trPr>
        <w:tc>
          <w:tcPr>
            <w:tcW w:w="6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84"/>
        </w:trPr>
        <w:tc>
          <w:tcPr>
            <w:tcW w:w="60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56,185</w:t>
            </w: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79,041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57,001</w:t>
            </w:r>
          </w:p>
        </w:tc>
      </w:tr>
      <w:tr>
        <w:trPr>
          <w:trHeight w:val="284"/>
        </w:trPr>
        <w:tc>
          <w:tcPr>
            <w:tcW w:w="6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43,138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r>
      <w:tr>
        <w:trPr>
          <w:trHeight w:val="27"/>
        </w:trPr>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provision (benefit) of unrealized gain (loss) on hedge instruments</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7"/>
        </w:trPr>
        <w:tc>
          <w:tcPr>
            <w:tcW w:w="60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30,711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47,826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10,071</w:t>
            </w:r>
          </w:p>
        </w:tc>
      </w:tr>
      <w:tr>
        <w:trPr>
          <w:trHeight w:val="20"/>
        </w:trPr>
        <w:tc>
          <w:tcPr>
            <w:tcW w:w="6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31"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422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20" w:type="dxa"/>
            <w:vAlign w:val="bottom"/>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7960" w:type="dxa"/>
            <w:vAlign w:val="bottom"/>
            <w:gridSpan w:val="10"/>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29, 2018, December 30, 2017 and December 31, 2016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Retained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Additional</w:t>
            </w:r>
          </w:p>
        </w:tc>
        <w:tc>
          <w:tcPr>
            <w:tcW w:w="14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19"/>
                <w:szCs w:val="19"/>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Earnings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Paid-In</w:t>
            </w:r>
          </w:p>
        </w:tc>
        <w:tc>
          <w:tcPr>
            <w:tcW w:w="140" w:type="dxa"/>
            <w:vAlign w:val="bottom"/>
          </w:tcPr>
          <w:p>
            <w:pPr>
              <w:spacing w:after="0"/>
              <w:rPr>
                <w:sz w:val="16"/>
                <w:szCs w:val="16"/>
                <w:color w:val="auto"/>
              </w:rPr>
            </w:pPr>
          </w:p>
        </w:tc>
        <w:tc>
          <w:tcPr>
            <w:tcW w:w="13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Comprehensive</w:t>
            </w:r>
          </w:p>
        </w:tc>
        <w:tc>
          <w:tcPr>
            <w:tcW w:w="160" w:type="dxa"/>
            <w:vAlign w:val="bottom"/>
          </w:tcPr>
          <w:p>
            <w:pPr>
              <w:spacing w:after="0"/>
              <w:rPr>
                <w:sz w:val="16"/>
                <w:szCs w:val="16"/>
                <w:color w:val="auto"/>
              </w:rPr>
            </w:pPr>
          </w:p>
        </w:tc>
        <w:tc>
          <w:tcPr>
            <w:tcW w:w="12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6"/>
                <w:szCs w:val="16"/>
                <w:color w:val="auto"/>
              </w:rPr>
            </w:pPr>
          </w:p>
        </w:tc>
        <w:tc>
          <w:tcPr>
            <w:tcW w:w="78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6"/>
              </w:rPr>
              <w:t>Treasury</w:t>
            </w:r>
          </w:p>
        </w:tc>
        <w:tc>
          <w:tcPr>
            <w:tcW w:w="12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Capital</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Deficit)</w:t>
            </w:r>
          </w:p>
        </w:tc>
        <w:tc>
          <w:tcPr>
            <w:tcW w:w="14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January 2, 2016</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56,088</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420,386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385,339</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impact of stock option exercises</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issuances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4,293</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stock options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Unrealized loss on hedge instruments, net of tax</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31, 2016</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56,202</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424,789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399,581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(170,983)</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18,452</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372,840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373,024</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5,152</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hedge instruments, net of</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43,138</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43,138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30, 2017</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74,654</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631,798</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654,600</w:t>
            </w:r>
          </w:p>
        </w:tc>
        <w:tc>
          <w:tcPr>
            <w:tcW w:w="0" w:type="dxa"/>
            <w:vAlign w:val="bottom"/>
          </w:tcPr>
          <w:p>
            <w:pPr>
              <w:spacing w:after="0"/>
              <w:rPr>
                <w:sz w:val="1"/>
                <w:szCs w:val="1"/>
                <w:color w:val="auto"/>
              </w:rPr>
            </w:pPr>
          </w:p>
        </w:tc>
      </w:tr>
      <w:tr>
        <w:trPr>
          <w:trHeight w:val="225"/>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principle</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1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31, 2017 - As adjusted</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74,654</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631,798</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673,630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3,564</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19,766</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20,939</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hedge instruments, net of</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23,653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29, 2018</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78,167</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743,154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08"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29, 2018, December 30, 2017 and December 31,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Fiscal Year</w:t>
            </w: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Fiscal Year</w:t>
            </w:r>
          </w:p>
        </w:tc>
        <w:tc>
          <w:tcPr>
            <w:tcW w:w="26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Fiscal Year</w:t>
            </w:r>
          </w:p>
        </w:tc>
      </w:tr>
      <w:tr>
        <w:trPr>
          <w:trHeight w:val="210"/>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2016</w:t>
            </w:r>
          </w:p>
        </w:tc>
      </w:tr>
      <w:tr>
        <w:trPr>
          <w:trHeight w:val="3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60"/>
        </w:trPr>
        <w:tc>
          <w:tcPr>
            <w:tcW w:w="6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24"/>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23,653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43,138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13,343</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52,677</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loan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3,906</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Asset impairment</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7,132</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10,281</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Non-cash stock option compensation</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4,293</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inventory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1,728</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Bad debt expense</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4,052</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1,028</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(9,075)</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(13,827)</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5,616</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9,550</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12,597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11,037</w:t>
            </w:r>
          </w:p>
        </w:tc>
      </w:tr>
      <w:tr>
        <w:trPr>
          <w:trHeight w:val="21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106,628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90,252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97,588</w:t>
            </w:r>
          </w:p>
        </w:tc>
      </w:tr>
      <w:tr>
        <w:trPr>
          <w:trHeight w:val="3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60"/>
        </w:trPr>
        <w:tc>
          <w:tcPr>
            <w:tcW w:w="6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(90,026)</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r>
      <w:tr>
        <w:trPr>
          <w:trHeight w:val="47"/>
        </w:trPr>
        <w:tc>
          <w:tcPr>
            <w:tcW w:w="63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(90,972)</w:t>
            </w:r>
          </w:p>
        </w:tc>
      </w:tr>
      <w:tr>
        <w:trPr>
          <w:trHeight w:val="204"/>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60"/>
        </w:trPr>
        <w:tc>
          <w:tcPr>
            <w:tcW w:w="6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174,924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373,024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915</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on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Dividend to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47"/>
        </w:trPr>
        <w:tc>
          <w:tcPr>
            <w:tcW w:w="63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w:t>
            </w:r>
          </w:p>
        </w:tc>
      </w:tr>
      <w:tr>
        <w:trPr>
          <w:trHeight w:val="21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12,804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6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5,645</w:t>
            </w:r>
          </w:p>
        </w:tc>
      </w:tr>
      <w:tr>
        <w:trPr>
          <w:trHeight w:val="21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end of year</w:t>
            </w: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17,998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5,194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5,687</w:t>
            </w:r>
          </w:p>
        </w:tc>
      </w:tr>
      <w:tr>
        <w:trPr>
          <w:trHeight w:val="73"/>
        </w:trPr>
        <w:tc>
          <w:tcPr>
            <w:tcW w:w="63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10"/>
        </w:trPr>
        <w:tc>
          <w:tcPr>
            <w:tcW w:w="6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4"/>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47,090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34,873</w:t>
            </w:r>
          </w:p>
        </w:tc>
      </w:tr>
      <w:tr>
        <w:trPr>
          <w:trHeight w:val="224"/>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(received) for taxes</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accrued at the end of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9,202</w:t>
            </w:r>
          </w:p>
        </w:tc>
      </w:tr>
      <w:tr>
        <w:trPr>
          <w:trHeight w:val="224"/>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Fixed assets acquired under capital lease obligations</w:t>
            </w: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1,004</w:t>
            </w:r>
          </w:p>
        </w:tc>
      </w:tr>
      <w:tr>
        <w:trPr>
          <w:trHeight w:val="47"/>
        </w:trPr>
        <w:tc>
          <w:tcPr>
            <w:tcW w:w="6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Non-cash issuance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224"/>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purchase of treasury stock</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bl>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consolidated balance sheets to the total of cash, cash equivalents and restricted cash shown above:</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Fiscal Year</w:t>
            </w: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Fiscal Year</w:t>
            </w:r>
          </w:p>
        </w:tc>
        <w:tc>
          <w:tcPr>
            <w:tcW w:w="26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Fiscal Year</w:t>
            </w:r>
          </w:p>
        </w:tc>
      </w:tr>
      <w:tr>
        <w:trPr>
          <w:trHeight w:val="210"/>
        </w:trPr>
        <w:tc>
          <w:tcPr>
            <w:tcW w:w="6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2016</w:t>
            </w:r>
          </w:p>
        </w:tc>
      </w:tr>
      <w:tr>
        <w:trPr>
          <w:trHeight w:val="33"/>
        </w:trPr>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17,132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4,945</w:t>
            </w:r>
          </w:p>
        </w:tc>
      </w:tr>
      <w:tr>
        <w:trPr>
          <w:trHeight w:val="224"/>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742</w:t>
            </w:r>
          </w:p>
        </w:tc>
      </w:tr>
      <w:tr>
        <w:trPr>
          <w:trHeight w:val="47"/>
        </w:trPr>
        <w:tc>
          <w:tcPr>
            <w:tcW w:w="63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5"/>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17,998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5,687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9019"/>
          </w:cols>
          <w:pgMar w:left="1440" w:top="335"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9019"/>
          </w:cols>
          <w:pgMar w:left="1440" w:top="335" w:right="1440"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 owned subsidiary, National Vision, Inc. (“NVI”) and NVI’s direct wholly owned subsidiaries.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value retailer of eyeglasses and contact lenses in the United States. We operated 1,082 and 1,013 retail optical locations in the United States and its territories as of the fiscal years ended December 29, 2018 and December 30, 2017, respectively, through our five store brands, including America’s Best Contacts and Eyeglasses (“America’s Best”), Eyeglass World, Vista Optical locations on U.S. Army/Air Force military bases (“Military”) and within Fred Meyer (“Fred Meyer”) stores, and our management and services arrangement with Walmart (“legacy”).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contact lenses and optical accessory products to retail customers through our wholly owned e-commerce subsidiary, Arlington Contact Lens Service, Inc. (“AC Lens”). AC Lens operates several of its own proprietary retail web sites and web sites on behalf of certain independent retailers and insurance companies. AC Lens also distributes contact lenses at its cost to Walmart and Sam's Club store locations and earns a fulfillment fee per order shipped.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wholly-owned subsidiary is a specialized health maintenance organization (“HMO”), FirstSight Vision Services, Inc. (“FirstSight”) that is licensed as a single-service health plan under California law. FirstSight issues individual vision care benefit plans in connection with our America’s Best operations in California, and provides or arranges for the provision of optometric services at the offices next to certain Walmart stores throughout California.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herein to “fiscal year 2018,” “fiscal year 2017,” and “fiscal year 2016,” relate to the 52 weeks ended December 29, 2018, December 30, 2017 and December 31, 2016, respectively. Unless otherwise stated, references to years in this report relate to fiscal years rather than calendar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and Secondary Public Offerings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30, 2017, we completed an initial public offering of our common stock (“IPO”) in which we issued and sold 18,170,000 shares, including 2,370,000 shares pursuant to the exercise in full of the underwriters’ option to purchase additional shares. The shares sold in the offering were registered under the Securities Act pursuant to our Registration Statement on Form S-1 (File No. 333-220719), which was declared effective by the Securities and Exchange Commission on October 25, 2017. The shares were sold at an initial offering price of $22.00 per share, which generated net proceeds of approximately $375.8 million to the Company, after deducting underwriting discounts and commissions of approximately $24.0 million which included $0.7 million paid to KKR Capital Markets LLC (“KCM”), an affiliate of Kohlberg Kravis Roberts &amp; Co. (“KKR Sponsor”), for underwriting services in connection with the IPO.</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primarily used the proceeds from the IPO to repay $125.0 million in outstanding aggregate principal amount of our second lien term loans and approximately $235.0 million of the outstanding principal amount of our Term Loan B under our first lien credit agreement and accrued and unpaid interest thereon. The repayment resulted in a retirement of debt in the amount of $353.3 million. Additionally, we paid $4.8 million of transaction related costs which are recorded as a charge against additional paid-in capital included in the consolidated balance sheets. The remaining $11.0 million of the proceeds was used for general corporate purposes, and payment of the termination fees described below.</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NVI was party to a Monitoring Agreement, dated as of March 14, 2014, with KKR Sponsor and Berkshire Partners LLC (“Berkshire”), which was terminated automatically in accordance with its terms upon the completion of the IPO. The Company paid termination fees of approximately $3.6 million and $0.8 million to KKR Sponsor and Berkshire, respectively, recorded in selling, general and administrative expenses (“SG&amp;A”) in the consolidated statements of operations. Affiliates of KKR Sponsor and Berkshire retained 58.2% and 13.6% ownership interest, respectively, in the Company after the IPO.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year 2018, we completed three underwritten public offerings in which KKR Sponsor, Berkshire and certain management stockholders (“selling stockholders”) sold an aggregate of 42,914,852 shares of the Company’s common stock. The Company did not receive any proceeds from the offerings. However, the second and third offerings resulted in certain incentive compensation expenses relating to vesting of performance-based stock options and a payout under a non-executive long-term incentive plan. See Note 5. “Stock Incentive Plan” for details. Affiliates of KKR Sponsor and Berkshire retained 11.7% and 2.7% ownership interest, respectively, as of fiscal year end 2018.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Amended and Restated Certificate of Incorporation and Bylaws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Second Amended and Restated Certificate of Incorporation became effective in connection with the completion of the IPO on October 30, 2017, which among other things, provides that the Company’s authorized capital stock consists of 200,000,000 shares of common stock and 50,000,000 shares of preferred stock, par value $0.01 per share. The Company’s bylaws were also amended and restated as of October 30, 2017.</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Split</w:t>
      </w:r>
    </w:p>
    <w:p>
      <w:pPr>
        <w:spacing w:after="0" w:line="1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October 12, 2017, the Company’s Board of Directors approved a 1.96627-for-one reverse stock split of the Company’s common stock, effective October 24, 2017. The accompanying consolidated financial statements and notes thereto give retroactive effect to the reverse stock split for all periods presented.</w:t>
      </w:r>
    </w:p>
    <w:p>
      <w:pPr>
        <w:sectPr>
          <w:pgSz w:w="11900" w:h="16838" w:orient="portrait"/>
          <w:cols w:equalWidth="0" w:num="1">
            <w:col w:w="11420"/>
          </w:cols>
          <w:pgMar w:left="240" w:top="121" w:right="239" w:bottom="0" w:gutter="0" w:footer="0" w:header="0"/>
        </w:sect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ectPr>
          <w:pgSz w:w="11900" w:h="16838" w:orient="portrait"/>
          <w:cols w:equalWidth="0" w:num="1">
            <w:col w:w="11420"/>
          </w:cols>
          <w:pgMar w:left="240" w:top="121" w:right="239" w:bottom="0" w:gutter="0" w:footer="0" w:header="0"/>
          <w:type w:val="continuous"/>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8"/>
          <w:szCs w:val="18"/>
          <w:color w:val="auto"/>
        </w:rPr>
        <w:t>Cash consists of currency and demand deposits with financial institutions. We consider all highly liquid investments with an original maturity of three months or less at the date of purchase to be cash equivalents. We maintain the majority of our cash and cash equivalents in one large national banking institution. Such amounts are in excess of federally insured limits. We also review cash balances on a bank by bank basis to identify book overdrafts. Book overdrafts occur when the amount of outstanding checks exceed the cash deposited at a bank. We reclassify book overdrafts, if any, to accounts payable in the accompanying consolidated balance sheets.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Trade receivables and credit card receivables are included in accounts receivable, net, on our consolidated balance sheets, and are presented separately in Note 2. “Details of Certain Balance Sheet Accounts.” Accounts receivable are reduced by allowances for amounts that may become uncollectible. Estimates of our allowance for uncollectible accounts are based on our historical and current operating, billing and collection trends. Bad debt expense recognized on our receivables were approximately $7.1 million, $8.0 million and $4.1 million for the fiscal years 2018, 2017 and 2016,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inventory is determined using the weighted average cost method. Inventories at retail stores are comprised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contact lens vendor return acceptance activity, and estimates of future retail sales prices. Shrinkage is estimated and recorded throughout the period as a percentage of cost of sales based on historical results and current inventory levels. Actual shrinkage is recorded throughout the year based upon periodic physical counts. See Note 2. “Details of Certain Balance Sheet Accounts” for further details.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inventory consists primarily of contact lenses, eyeglass frames and unprocessed eyeglass lenses. A significant portion of our inventory is supplied by a small number of key vendors. During fiscal year 2018, 93% of contact lens expenditures were with three vendors, 52% of frame expenditures were with two vendors and 90% of lens expenditures were with one vendor. This exposes us to concentration of vendor risk.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primarily include prepaid software maintenance and licensing fees, prepaid rent, prepaid advertising, prepaid insurance, supplies inventory and income taxes receivable.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the cost and related accumulated depreciation are removed from the accounts and any gain or loss on sale of such assets is included in SG&amp;A in the consolidated statements of operations. Major replacements, remodeling, or betterments are capitalized. Expenditures for maintenance and repairs are charged to SG&amp;A.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P&amp;E is depreciated for financial accounting purposes using the straight-line method over the following estimated useful lives: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5 - 7 years</w:t>
            </w:r>
          </w:p>
        </w:tc>
      </w:tr>
      <w:tr>
        <w:trPr>
          <w:trHeight w:val="27"/>
        </w:trPr>
        <w:tc>
          <w:tcPr>
            <w:tcW w:w="700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Information systems hardware and software </w:t>
            </w:r>
            <w:r>
              <w:rPr>
                <w:rFonts w:ascii="Times New Roman" w:cs="Times New Roman" w:eastAsia="Times New Roman" w:hAnsi="Times New Roman"/>
                <w:sz w:val="25"/>
                <w:szCs w:val="25"/>
                <w:color w:val="auto"/>
                <w:vertAlign w:val="superscript"/>
              </w:rPr>
              <w:t>(a)</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2 - 5 years</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7"/>
        </w:trPr>
        <w:tc>
          <w:tcPr>
            <w:tcW w:w="7000" w:type="dxa"/>
            <w:vAlign w:val="bottom"/>
          </w:tcPr>
          <w:p>
            <w:pPr>
              <w:spacing w:after="0"/>
              <w:rPr>
                <w:sz w:val="2"/>
                <w:szCs w:val="2"/>
                <w:color w:val="auto"/>
              </w:rPr>
            </w:pPr>
          </w:p>
        </w:tc>
        <w:tc>
          <w:tcPr>
            <w:tcW w:w="442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Leasehold improvements</w:t>
            </w:r>
            <w:r>
              <w:rPr>
                <w:rFonts w:ascii="Times New Roman" w:cs="Times New Roman" w:eastAsia="Times New Roman" w:hAnsi="Times New Roman"/>
                <w:sz w:val="25"/>
                <w:szCs w:val="25"/>
                <w:color w:val="auto"/>
                <w:vertAlign w:val="superscript"/>
              </w:rPr>
              <w:t>(b)</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74"/>
        </w:trPr>
        <w:tc>
          <w:tcPr>
            <w:tcW w:w="7000" w:type="dxa"/>
            <w:vAlign w:val="bottom"/>
          </w:tcPr>
          <w:p>
            <w:pPr>
              <w:ind w:left="40"/>
              <w:spacing w:after="0" w:line="275" w:lineRule="exact"/>
              <w:rPr>
                <w:sz w:val="20"/>
                <w:szCs w:val="20"/>
                <w:color w:val="auto"/>
              </w:rPr>
            </w:pPr>
            <w:r>
              <w:rPr>
                <w:rFonts w:ascii="Times New Roman" w:cs="Times New Roman" w:eastAsia="Times New Roman" w:hAnsi="Times New Roman"/>
                <w:sz w:val="18"/>
                <w:szCs w:val="18"/>
                <w:color w:val="auto"/>
              </w:rPr>
              <w:t xml:space="preserve">P&amp;E under capital leases </w:t>
            </w:r>
            <w:r>
              <w:rPr>
                <w:rFonts w:ascii="Times New Roman" w:cs="Times New Roman" w:eastAsia="Times New Roman" w:hAnsi="Times New Roman"/>
                <w:sz w:val="25"/>
                <w:szCs w:val="25"/>
                <w:color w:val="auto"/>
                <w:vertAlign w:val="superscript"/>
              </w:rPr>
              <w:t>(b)</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188"/>
        </w:trPr>
        <w:tc>
          <w:tcPr>
            <w:tcW w:w="7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____________</w:t>
            </w:r>
          </w:p>
        </w:tc>
        <w:tc>
          <w:tcPr>
            <w:tcW w:w="4420" w:type="dxa"/>
            <w:vAlign w:val="bottom"/>
          </w:tcPr>
          <w:p>
            <w:pPr>
              <w:spacing w:after="0"/>
              <w:rPr>
                <w:sz w:val="16"/>
                <w:szCs w:val="16"/>
                <w:color w:val="auto"/>
              </w:rPr>
            </w:pPr>
          </w:p>
        </w:tc>
      </w:tr>
    </w:tbl>
    <w:p>
      <w:pPr>
        <w:spacing w:after="0" w:line="68" w:lineRule="exact"/>
        <w:rPr>
          <w:sz w:val="20"/>
          <w:szCs w:val="20"/>
          <w:color w:val="auto"/>
        </w:rPr>
      </w:pPr>
    </w:p>
    <w:p>
      <w:pPr>
        <w:ind w:left="40" w:right="60" w:hanging="5"/>
        <w:spacing w:after="0" w:line="261" w:lineRule="auto"/>
        <w:tabs>
          <w:tab w:leader="none" w:pos="36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developing or obtaining software for internal use, such as direct costs of materials or services and internal payroll costs related to the software development projects, are capitalized to information systems hardware and software.</w:t>
      </w:r>
    </w:p>
    <w:p>
      <w:pPr>
        <w:ind w:left="40" w:right="420" w:hanging="5"/>
        <w:spacing w:after="0" w:line="262" w:lineRule="auto"/>
        <w:tabs>
          <w:tab w:leader="none" w:pos="36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Indefinite-lived, non-amortizing intangible assets include goodwill and our trademarks and tradenames and are evaluated annually for impairment. Our annual testing date for impairment of goodwill and indefinite-lived intangible assets is the first day of the fourth fiscal quarter, which for fiscal years 2018 and 2017 was September 30, 2018, and October 1, 2017,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amortizing intangible assets primarily consist of our contracts and relationships with certain retailers and our customer database tool. We amortize definite-lived intangible assets on a straight-line basis over their estimated useful lives, ranging from four to 23 years. Amortization expense associated with definite-lived intangible assets is included in depreciation and amortization in the accompanying consolidated statements of operations.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impairment is present if a reporting unit’s carrying value exceeds its fair value, not to exceed the carrying value of goodwill. We consider each of our operating segments to be reporting units. We estimate the fair value of our reporting units using the income approach, which is based on a discounted cash flow analysis and calculate the fair value of reporting units by estimating after-tax cash flows discounted using the Company’s consolidated weighted average cost of capital. The cash flows used in the analysis are based on financial forecasts developed internally by management and require significant judgment. The significant unobservable inputs used in the fair value measurement of the reporting units are revenue growth rate, cost of sales, payroll expense growth rate and other store expenses growth rate. These assumptions are sensitive to future changes in the business profitability, changes in our business strategy and external market conditions, among other factors. A decrease to the long term revenue growth rate assumption or an increase to the expense growth rate assumptions could require us to record additional impairment charges for goodwill, which could lead to decreased assets and reduced net income.</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and estimated fair value.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non-amortizing trademarks and trade names for impairment annually or whenever events or changes in circumstances indicate that those assets may be impaired.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“Goodwill and Intangible Assets” for further detail on impairment of goodwill and intangible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non-current assets consist primarily of our investment in and loans to our equity method investee, below market leases, self-insurance recoveries and technology support service contracts.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an investment in a private start-up company whose principal business is licensing software to eyeglass retailers. We evaluate the recoverability of our investment by first reviewing the investment for any indicators of impairment. If indicators are present, we estimate the fair value of the investment. If the carrying value of the investment exceeds the estimated fair value, we make an assessment of whether the impairment is other-than-temporary (“OTTI”). In making this assessment, we consider the length of time and the extent to which fair value has been less than cost and our intent and ability to retain our interest long enough for a recovery in market value. Based on our current year assessment, we did not identify OTTI in our equity method investment. See Note 9. “Equity in Net Assets of Non-Consolidated Investee,” for further discussion relating to this investment.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Assets and Liabilities (Non-Recurring Basis)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or a significant negative industry or economic trend.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 and Loan Discounts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long-term debt which are paid directly to the Company’s lenders and to third parties are treated as debt discounts. Loan discounts are amortized over the term of the related financing agreement and included in interest expense in the accompanying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Accruals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periodically update our estimates and record such adjustments in the period in which such determination is made. Self-insurance reserves are recorded in other payables and accrued expenses (current portion) and other non-current liabilities on an undiscounted basis in the accompanying consolidated balance sheets.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reinsure worker’s compensation and medical claims above our retention levels of $0.3 million per claim and $0.2 million per individual, respectively. Estimated recoveries from reinsurance are included in prepaid expenses and other current assets in the amounts of $0.8 million and $0.6 million (current portion) as of fiscal year end 2018 and fiscal year end 2017, respectively, and other assets in the amounts of $1.1 million and $1.0 million (non-current portion) as of fiscal year end 2018 and fiscal year end 2017, respectively, in the accompanying consolidated balance sheets. The accrued obligation for self-insurance programs was $8.1 million and $6.9 million (current portion) and $5.1 million and $4.6 million (non-current portion) as of fiscal year end 2018 and fiscal year end 2017,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Fair value represents estimated amounts we would receive or pay upon a termination of interest rate swaps prior to their scheduled expiration dates. The fair value was based on information that is model-driven and whose inputs were observable (Level 2 inputs). We do not hold or enter into financial instruments for trading or speculative purposes.</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gain or loss resulting from fair value adjustments on cash flow hedges are recorded in accumulated other comprehensive loss (“AOCL”) in the accompanying consolidated balance sheets until the hedged item is recognized as interest expense in the consolidated statements of operations. We perform periodic assessments of the effectiveness of our derivative contracts designated as hedges, including the possibility of counterparty default.</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The impact of credit risk, as well as the ability of each party to fulfill its obligations under our derivative financial instruments, is considered in determining the fair value of the contracts. Credit risk has not had a significant effect on the fair value of our derivative instruments. We do not have any credit risk-related contingent features or collateral requirements associated with our derivative contracts. See Note 13. “Interest Rate Derivatives” for further details.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AOCL is defined as the change in equity of a business enterprise during a period from transactions and other events and circumstances from non-owner sources. Accumulated other comprehensive loss, net of income tax, is entirely comprised of the cumulative unrealized loss on our hedging instruments. See Note 16. “Accumulated Other Comprehensive Loss” for details of reclassifications out of AOCL.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revenues include sales of prescription and non-prescription eyewear, contact lenses, related accessories to retail customers (including those covered by managed care) and sales of inventory in which our customer is another retail entity. Revenues from services and plans include eye exams, eye-care club membership fees, product protection plans (i.e. warranties) and HMO membership fees. Service revenue also includes fees we earn for managing certain Vision Centers and performing laboratory processing services for our legacy partner.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America’s Best brand, our signature offer is two pairs of eyeglasses and a free eye exam for one low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and generally ranges from four to 10 days with most sales having an average processing versus delivery time difference of seven to eight days. All unearned revenue at the end of a reporting period is recognized in the next fiscal period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net of sales taxes and returns. The returns allowance is based on historical return patterns. Provisions for estimated returns are established and the expected costs continue to be recognized as contra-revenue when the products are sold.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“Revenue from Contracts With Customers” for further details of our revenues.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eye-care club memberships, HMO memberships, eye-care practitioner and eye exam technician payroll, taxes and benefits and optometric and other service costs. Depreciation and amortization are excluded from costs applicable to revenue and are presented as separate items on the accompanying consolidated statements of operations.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component of the Company's procurement program, the Company frequently enters into contracts with its vendors that provide for payments of rebates or other allowances. These vendor payments are reflected in the carrying value of the inventory when earned or as progress is made toward earning the rebate or allowance and as a component of cost of products as the inventory is sold.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includes store associate payroll, taxes and benefits, occupancy and other store expenses, advertising and promotion, field supervision, and corporate support. Advertising and promotion costs, including online marketing arrangements, newspaper,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store remodels, marketing expenses, travel and relocation costs, and training costs, are recorded in SG&amp;A as incurred.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$107.5 million, $93.2 million and $85.4 million for fiscal years 2018, 2017 and 2016,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our retail stores, optometric examination offices, distribution centers, vehicles, office space and optical laboratories, with the exception of our St. Cloud, Minnesota lab, which we own. Rent expense on operating leases is recorded in SG&amp;A on a straight-line basis over the term of the lease, commencing on the date the Company obtains the right to use the leased property. Generally, the Company is required to pay base rent, real estate taxes, maintenance and insurance. Certain of our lease agreements include rent holidays and rent escalation provisions and may include contingent rent provisions for sales in excess of specified levels. The Company recognizes rent holidays, including the time period during which the Company has control of the property prior to the opening of the store, as well as escalating rent provisions, as deferred rent expense and amortizes these balances on a straight-line basis over the term of the lease. Most leases include one or more options to renew, with renewal terms that can extend the lease term from one to 10 years or more. The lease term includes renewal option periods when the renewal is reasonably assured, and is consistent with the depreciable life of corresponding leasehold improvements. Deferred rent is included in non-current other liabilities on the accompanying consolidated balance sheets.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capital leases, a lease asset is recorded as P&amp;E and corresponding amounts are recorded as debt obligations at an amount equal to the lesser of the net present value of minimum lease payments to be made over the lease term or the fair value of the property. The Company allocates capital lease payments to reductions in the lease obligation and interest expense using the effective interest method.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4. “Long-term Debt” for further details related to our capital lease commitments and Note 12. “Commitments and Contingencies” for further details related to our operating lease commitments.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Tenant improvement allowances (“TIAs”) are contractual amounts received by a lessee from a lessor for improvements made to leased properties by the lessee. TIAs are recorded in other non-current liabilities in the accompanying consolidated balance sheets, and are amortized as a reduction in rental expense over the life of the respective leases. Receivables for TIA’s are recorded in accounts receivable in the accompanying consolidated balance sheets.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a leased store is closed before the expiration of the lease, the discounted remaining lease obligation (less estimated sublease rental income), asset impairment charges related to improvements and fixtures, inventory write-downs and other miscellaneous expenses are recognized when the store closes. Accruals for store closure costs are recorded in current and non-current other liabilities in the accompanying consolidated balance sheets and are not 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stock-based compensation cost, which consists of grants of stock options, restricted stock units and restricted shares to employees, consultants and non-employee directors, based on the estimated grant date fair value of the awards. We recognize compensation expense for service-based vesting awards over the requisite service period. For awards that are subject to performance conditions, we recognize compensation expense once achievement of the conditions is considered to be probable. See Note 5. “Stock Incentive Plan” for further details related to our stock-based compensation plans.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P&amp;E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impairment of long-lived tangible store assets at the store level, which is the lowest level at which independent cash flows can be identified, when events or conditions indicate the carrying value of such assets may not be recoverable. If the store's projected undiscounted net cash flows expected to be generated by the related assets over the shorter of the remaining useful life or the remaining term of the lease are less than the carrying value of the subject assets, we then measure impairment based on a discounted cash flow model and record an impairment charge as the excess of carrying value and estimated fair value using Level 3 fair valuation inputs.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tests for impairment of our long-lived tangible store assets classified as held and used, an impairment of $2.5 million, $1.6 million and $1.2 million was recorded for fiscal years 2018, 2017 and 2016, respectively. There was $0.1 million remaining fair value of the assets that were impaired during fiscal year 2018 and no remaining fair value of the assets that were impaired during fiscal year 2017.</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non-store tangible assets, including capitalized software costs in use or under development, for impairment if events or changes in circumstances indicate that the carrying value of those assets may not be recoverable. During fiscal years 2018 and 2016 there was no impairment of capitalized software. There was $1.5 million in impairment of capitalized software during fiscal year 2017.</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establish a liability for tax positions for which there is uncertainty as to whether the position will ultimately be sustained. We assess our tax positions by determining whether it is more-likely-than-not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6. “Income Taxes” for further details.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2017, the 2017 Tax Cuts and Jobs Act (the “Tax Legislation”) was enacted into law. We are required to recognize the effect of tax law changes in the period of enactment, such as re-measuring and reassessing the net realizability of our deferred tax assets and liabilities. Pursuant to SEC Staff Accounting Bulletin No. 118, Income Tax Accounting Implications of the Tax Legislation, the Company recognized provisional effects of the enactment of the Tax Legislation for which measurement could be reasonably estimated as of fiscal year end 2017. For fiscal year 2018, the Company recorded adjustments to the provisional estimates related to depreciation expense. The adjustments to the provisional estimates of fiscal year end 2017 did not materially impact the effective tax rate of the Company during fiscal year 2018. See Note 6. “Income Taxes”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In May 2014, the Financial Accounting Standards Board (“FASB”) issued ASU No. 2014-09,</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ASU No. 2014-09 provides new guidance related to the core principle that an entity recognizes revenue to depict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promised goods or services to customers in an amount that reflects the consideration to which the entity expects to be entitled in exchange for those goods or services. It also requires additional disclosure about the nature, amount, timing and uncertainty of revenue and cash flows arising from customer contracts, including significant judgments and changes in judgments.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new guidance, there is a five-step model to apply to revenue recognition, consisting of: (1) determination of whether a contract, an agreement between two or more parties that creates legally enforceable rights and obligations, exists; (2) identification of the performance obligations in the contract; (3) determination of the transaction price; (4) allocation of the transaction price to the performance obligations in the contract; and (5) recognition of revenue when (or as) the performance obligation is satisfied.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adopted this new guidance in the first quarter of 2018 using the modified retrospective transition method. The adoption resulted in a $14.0 million and $11.8 million decrease in current and non-current deferred revenue, respectively, for certain contracts where we satisfy performance obligations over time and a related $6.8 million increase in deferred income tax liability, resulting in a net $19.0 million increase to retained earnings on the consolidated balance sheet as of December 30, 2017. Under previous guidance, we recognized revenue for eyecare club memberships on a ratable basis over the service period. Currently, we have selected the portfolio approach because our historical club membership data demonstrated that our club customers behave similarly, such that the difference between the portfolio approach and applying ASC 606 to each contract is not material. This change did not have a significant impact on our ongoing consolidated results of operations and the cumulative effect and the impact on revenues is described in Note 7. “Revenue From Contracts with Customers”.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results of operations for the reported periods after December 30, 2017 are presented under this amended guidance, while prior period amounts are not adjusted and continue to be reported in accordance with historical accounting guidance. Adoption of this new guidance did not result in significant changes to our business processes, systems or controls, or have a material impact on our results of operations and cash flows. The impact of adopting the amended guidance primarily relates to the timing of revenue recognition for our eyecare club memberships, which comprised approximately 3% of our consolidated net revenue during each of the most recent three fiscal years. See Note 7. “Revenue From Contracts with Customers” for additional information.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cumulative effect of adoption of ASC 606 on the Company’s consolidated balance sheet as of December 29, 2018, which reflects the change in timing of revenue recognition relating to eyecare club memberships.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Without ASC 606</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ASC 606 Adoption</w:t>
            </w:r>
          </w:p>
        </w:tc>
        <w:tc>
          <w:tcPr>
            <w:tcW w:w="26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Adoption</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Impact of Adoption</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20,145</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743,154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723,009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adoption on the Company’s consolidated statement of operations for the year ended December 29,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Without ASC 606</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ASC 606 Adoption</w:t>
            </w:r>
          </w:p>
        </w:tc>
        <w:tc>
          <w:tcPr>
            <w:tcW w:w="26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Adoption</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Impact of Adoption</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267,242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265,935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1,536,854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material impacts on our consolidated financial statements as a result of our adoption of this new guidance.</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In November 2016, the FASB issued ASU No. 2016-18,</w:t>
      </w:r>
      <w:r>
        <w:rPr>
          <w:rFonts w:ascii="Times New Roman" w:cs="Times New Roman" w:eastAsia="Times New Roman" w:hAnsi="Times New Roman"/>
          <w:sz w:val="18"/>
          <w:szCs w:val="18"/>
          <w:i w:val="1"/>
          <w:iCs w:val="1"/>
          <w:color w:val="auto"/>
        </w:rPr>
        <w:t xml:space="preserve"> Restricted Cash</w:t>
      </w:r>
      <w:r>
        <w:rPr>
          <w:rFonts w:ascii="Times New Roman" w:cs="Times New Roman" w:eastAsia="Times New Roman" w:hAnsi="Times New Roman"/>
          <w:sz w:val="18"/>
          <w:szCs w:val="18"/>
          <w:color w:val="auto"/>
        </w:rPr>
        <w:t>. This new guidance requires that a statement of cash flows explain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change during the period in the total of cash, cash equivalents and amounts generally described as restricted cash or restricted cash equivalents. The Company adopted this new guidance during the first quarter of 2018 using full retrospective application to each period presented. The adoption of this new guidance did not have a material impact on the Company’s financial condition, results of operations, or cash flows.</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Share Based Payment Accounting. </w:t>
      </w:r>
      <w:r>
        <w:rPr>
          <w:rFonts w:ascii="Times New Roman" w:cs="Times New Roman" w:eastAsia="Times New Roman" w:hAnsi="Times New Roman"/>
          <w:sz w:val="18"/>
          <w:szCs w:val="18"/>
          <w:color w:val="auto"/>
        </w:rPr>
        <w:t>In June 2018, the FASB issued ASU No. 2018-07,</w:t>
      </w:r>
      <w:r>
        <w:rPr>
          <w:rFonts w:ascii="Times New Roman" w:cs="Times New Roman" w:eastAsia="Times New Roman" w:hAnsi="Times New Roman"/>
          <w:sz w:val="18"/>
          <w:szCs w:val="18"/>
          <w:i w:val="1"/>
          <w:iCs w:val="1"/>
          <w:color w:val="auto"/>
        </w:rPr>
        <w:t xml:space="preserve"> Compensation - Stock Compensation (Topic 718): Improvements to Nonemployee Share-Based Payment Accounting</w:t>
      </w:r>
      <w:r>
        <w:rPr>
          <w:rFonts w:ascii="Times New Roman" w:cs="Times New Roman" w:eastAsia="Times New Roman" w:hAnsi="Times New Roman"/>
          <w:sz w:val="18"/>
          <w:szCs w:val="18"/>
          <w:color w:val="auto"/>
        </w:rPr>
        <w:t>. This new guidance expands the scope of Topic 718 to include share-based payments issued to nonemployees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goods or services. Consequently, the accounting for share-based payments to nonemployees and employees will be substantially aligned. The Company adopted this new guidance effective beginning of fiscal year 2018. The adoption of this new guidance did not have a material impact on Company’s financial condition, results of operations, or cash flows.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Lease. </w:t>
      </w:r>
      <w:r>
        <w:rPr>
          <w:rFonts w:ascii="Times New Roman" w:cs="Times New Roman" w:eastAsia="Times New Roman" w:hAnsi="Times New Roman"/>
          <w:sz w:val="18"/>
          <w:szCs w:val="18"/>
          <w:color w:val="auto"/>
        </w:rPr>
        <w:t>In February 2016, the FASB issued ASU No. 2016-02,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This new guidance establishes a right-of-use (“ROU”) model that requires a lessee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 a ROU asset and a lease liability on the balance sheet for all leases with terms longer than 12 months. Leases will be classified as either financing or operating, with such classification affecting the pattern of expense recognition in the statement of operations. </w:t>
      </w:r>
      <w:r>
        <w:rPr>
          <w:rFonts w:ascii="Times New Roman" w:cs="Times New Roman" w:eastAsia="Times New Roman" w:hAnsi="Times New Roman"/>
          <w:sz w:val="18"/>
          <w:szCs w:val="18"/>
          <w:color w:val="252525"/>
        </w:rPr>
        <w:t>Disclosure of key information about leasing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arrangements will also be required. This new guidance is effective for fiscal years beginning after December 15, 2018, and interim reporting periods within that fiscal year. </w:t>
      </w:r>
      <w:r>
        <w:rPr>
          <w:rFonts w:ascii="Times New Roman" w:cs="Times New Roman" w:eastAsia="Times New Roman" w:hAnsi="Times New Roman"/>
          <w:sz w:val="18"/>
          <w:szCs w:val="18"/>
          <w:color w:val="000000"/>
        </w:rPr>
        <w:t>In July 2018, the FASB issued ASU 2018-11, “</w:t>
      </w:r>
      <w:r>
        <w:rPr>
          <w:rFonts w:ascii="Times New Roman" w:cs="Times New Roman" w:eastAsia="Times New Roman" w:hAnsi="Times New Roman"/>
          <w:sz w:val="18"/>
          <w:szCs w:val="18"/>
          <w:i w:val="1"/>
          <w:iCs w:val="1"/>
          <w:color w:val="000000"/>
        </w:rPr>
        <w:t>Leases: Targeted Improvements</w:t>
      </w:r>
      <w:r>
        <w:rPr>
          <w:rFonts w:ascii="Times New Roman" w:cs="Times New Roman" w:eastAsia="Times New Roman" w:hAnsi="Times New Roman"/>
          <w:sz w:val="18"/>
          <w:szCs w:val="18"/>
          <w:color w:val="000000"/>
        </w:rPr>
        <w:t>,” as an amendment to ASU 2016-02, “</w:t>
      </w:r>
      <w:r>
        <w:rPr>
          <w:rFonts w:ascii="Times New Roman" w:cs="Times New Roman" w:eastAsia="Times New Roman" w:hAnsi="Times New Roman"/>
          <w:sz w:val="18"/>
          <w:szCs w:val="18"/>
          <w:i w:val="1"/>
          <w:iCs w:val="1"/>
          <w:color w:val="000000"/>
        </w:rPr>
        <w:t>Leases</w:t>
      </w:r>
      <w:r>
        <w:rPr>
          <w:rFonts w:ascii="Times New Roman" w:cs="Times New Roman" w:eastAsia="Times New Roman" w:hAnsi="Times New Roman"/>
          <w:sz w:val="18"/>
          <w:szCs w:val="18"/>
          <w:color w:val="000000"/>
        </w:rPr>
        <w:t>,” which provides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entities with an additional transition method to recognize a cumulative-effect adjustment to the opening balance of retained earnings in the period of adoption. We will adopt the accounting standard using a modified retrospective transition approach in the first quarter of 2019, which applies the provisions of the new guidance at the effective date without adjusting the comparative periods presented, and will elect the package of practical expedients, short-term practical expedient and the expedient to not separate lease components from non-lease components. We currently believe the most significant impact of adopting this ASU relates to recording operating lease liabilities and related ROU assets estimated to be between $325.0 million and $345.0 million on the consolidated balance sheet as of December 30, 2018. The Company does not expect the adoption of this new guidance to have a significant impact on the recognition, measurement or presentation of lease expenses within our consolidated statements of operations.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In February 2018, the FASB issued Accounting Standards Update ASU 2018-02,</w:t>
      </w:r>
      <w:r>
        <w:rPr>
          <w:rFonts w:ascii="Times New Roman" w:cs="Times New Roman" w:eastAsia="Times New Roman" w:hAnsi="Times New Roman"/>
          <w:sz w:val="18"/>
          <w:szCs w:val="18"/>
          <w:i w:val="1"/>
          <w:iCs w:val="1"/>
          <w:color w:val="auto"/>
        </w:rPr>
        <w:t xml:space="preserve"> Income Statement–Reporting Comprehensive Income (Topic 220): Reclassification of Certain Tax Effects from Accumulated Other Comprehensive Income ("ASU 2018-02")</w:t>
      </w:r>
      <w:r>
        <w:rPr>
          <w:rFonts w:ascii="Times New Roman" w:cs="Times New Roman" w:eastAsia="Times New Roman" w:hAnsi="Times New Roman"/>
          <w:sz w:val="18"/>
          <w:szCs w:val="18"/>
          <w:color w:val="auto"/>
        </w:rPr>
        <w:t>. This guidance allows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optional reclassification from accumulated other comprehensive income or loss to retained earnings for stranded tax effects as a result of the newly enacted federal corporate income tax rate under the Tax Legislation. This guidance is effective for interim and annual periods beginning after December 15, 2018, with early adoption permitted. We will adopt the guidance during the first quarter of fiscal year 2019, and do not expect to reclassify the stranded income tax benefit resulting from adoption of the Tax Legislation from AOCL into earnings until the maturity of our interest rate derivative contracts. No other impact to the Company’s financial condition, result of operations, or cash flows is expected.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252525"/>
        </w:rPr>
        <w:t xml:space="preserve">Cloud Computing. </w:t>
      </w:r>
      <w:r>
        <w:rPr>
          <w:rFonts w:ascii="Times New Roman" w:cs="Times New Roman" w:eastAsia="Times New Roman" w:hAnsi="Times New Roman"/>
          <w:sz w:val="18"/>
          <w:szCs w:val="18"/>
          <w:color w:val="000000"/>
        </w:rPr>
        <w:t>In August 2018, the FASB issued ASU No. 2018-15,</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i w:val="1"/>
          <w:iCs w:val="1"/>
          <w:color w:val="000000"/>
        </w:rPr>
        <w:t>Intangibles – Goodwill and Other – Internal-Use Software (Subtopic 350-40):</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i w:val="1"/>
          <w:iCs w:val="1"/>
          <w:color w:val="000000"/>
        </w:rPr>
        <w:t xml:space="preserve">Customer’s Accounting 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000000"/>
        </w:rPr>
        <w:t>This new guidance aligns the requirements for capitalizing implementation costs incurred in a hosting arrangement that is a</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with early adoption permitted. The amendments in this new guidance may be applied either retrospectively or prospectively. The Company is in the process of assessing the new guidance.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Correction of Errors in Previously Issued Financial Statements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fiscal 2018 year end financial reporting process, the Company identified errors in its previously issued consolidated financial statements related to lease accounting, specifically the accounting for tenant improvement allowances, straight-line rent and leasehold improvements. For certain leases, we depreciated leasehold improvements over a period longer than the remaining lease term. In addition, rent expense was understated as a result of amortizing tenant improvement allowances and recording straight-line rent adjustments over a period that differed from the lease term, which was determined giving consideration to those renewal periods that were reasonably assured of being exercised.</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SEC Staff Accounting Bulletin 108, </w:t>
      </w:r>
      <w:r>
        <w:rPr>
          <w:rFonts w:ascii="Times New Roman" w:cs="Times New Roman" w:eastAsia="Times New Roman" w:hAnsi="Times New Roman"/>
          <w:sz w:val="18"/>
          <w:szCs w:val="18"/>
          <w:i w:val="1"/>
          <w:iCs w:val="1"/>
          <w:color w:val="auto"/>
        </w:rPr>
        <w:t>Considering the Effects of Prior Year Misstatements When Quantifying Misstatements in Current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(codified as Topic 1-N)</w:t>
      </w:r>
      <w:r>
        <w:rPr>
          <w:rFonts w:ascii="Times New Roman" w:cs="Times New Roman" w:eastAsia="Times New Roman" w:hAnsi="Times New Roman"/>
          <w:sz w:val="18"/>
          <w:szCs w:val="18"/>
          <w:color w:val="auto"/>
        </w:rPr>
        <w:t>, the Company concluded that the correction of the errors was not material to any of its previously issued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interim financial statements. The Company has revised its previously issued consolidated financial statements contained in this Annual Report on Form 10-K to correct the effect of these immaterial errors for the corresponding periods. Accordingly, for these prior periods we revised the affected line items of our consolidated balance sheets, consolidated statements of operations and comprehensive income, consolidated statements of stockholders’ equity, and consolidated statements of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correction of the errors resulted in a $0.9 million increase in accumulated deficit as of January 2, 2016.</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these corrections on affected consolidated statements of operations and comprehensive income line items for the years ended December 30, 2017 and December 31,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Fiscal Year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Fiscal Year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As Previously</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Previously</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Reported</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Adjustments</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Corrected</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Reported</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Adjustments</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As Corrected</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597,924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524,238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525,869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52,677</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671,106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674,051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585,030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587,345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64,069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24,977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impact of these corrections on affected consolidated balance sheet line items as of December 30,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30, 2017</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vMerge w:val="continue"/>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As Corrected</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302,280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1,421,314</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1,419,462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1,583,791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1,581,939</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46,044</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50,902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71,926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non-current liabilities</w:t>
            </w:r>
          </w:p>
        </w:tc>
        <w:tc>
          <w:tcPr>
            <w:tcW w:w="2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150,914</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154,050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32,157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659,588</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654,600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1,583,791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1,581,939</w:t>
            </w:r>
          </w:p>
        </w:tc>
        <w:tc>
          <w:tcPr>
            <w:tcW w:w="0" w:type="dxa"/>
            <w:vAlign w:val="bottom"/>
          </w:tcPr>
          <w:p>
            <w:pPr>
              <w:spacing w:after="0"/>
              <w:rPr>
                <w:sz w:val="1"/>
                <w:szCs w:val="1"/>
                <w:color w:val="auto"/>
              </w:rPr>
            </w:pPr>
          </w:p>
        </w:tc>
      </w:tr>
      <w:tr>
        <w:trPr>
          <w:trHeight w:val="567"/>
        </w:trPr>
        <w:tc>
          <w:tcPr>
            <w:tcW w:w="4360" w:type="dxa"/>
            <w:vAlign w:val="bottom"/>
          </w:tcPr>
          <w:p>
            <w:pPr>
              <w:spacing w:after="0"/>
              <w:rPr>
                <w:sz w:val="24"/>
                <w:szCs w:val="24"/>
                <w:color w:val="auto"/>
              </w:rPr>
            </w:pPr>
          </w:p>
        </w:tc>
        <w:tc>
          <w:tcPr>
            <w:tcW w:w="23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Significant Accounting Policies (continued)</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of these corrections on affected consolidated statements of cash flows line items for fiscal years ended December 30, 2017 and December 31,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Fiscal Year</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6"/>
              </w:rPr>
              <w:t>Fiscal Year</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As Previously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As Previously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Reported</w:t>
            </w: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Adjustments</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 Corrected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Reported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8"/>
              </w:rPr>
              <w:t>Adjustments</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As Corrected</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43,138</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6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61,974</w:t>
            </w:r>
          </w:p>
        </w:tc>
        <w:tc>
          <w:tcPr>
            <w:tcW w:w="2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51,993</w:t>
            </w:r>
          </w:p>
        </w:tc>
        <w:tc>
          <w:tcPr>
            <w:tcW w:w="6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52,677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(39,997)</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6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10,281</w:t>
            </w:r>
          </w:p>
        </w:tc>
        <w:tc>
          <w:tcPr>
            <w:tcW w:w="0" w:type="dxa"/>
            <w:vAlign w:val="bottom"/>
          </w:tcPr>
          <w:p>
            <w:pPr>
              <w:spacing w:after="0"/>
              <w:rPr>
                <w:sz w:val="1"/>
                <w:szCs w:val="1"/>
                <w:color w:val="auto"/>
              </w:rPr>
            </w:pPr>
          </w:p>
        </w:tc>
      </w:tr>
      <w:tr>
        <w:trPr>
          <w:trHeight w:val="225"/>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Other liabilities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12,879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2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6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459"/>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 Details of Certain Balance Sheet Accounts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As of</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of</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rPr>
              <w:t>December 29,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8"/>
              </w:rPr>
              <w:t>December 30,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28,862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43"/>
        </w:trPr>
        <w:tc>
          <w:tcPr>
            <w:tcW w:w="40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Tenant improvement allowances receivable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Allowance for uncollectible accounts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43,193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As of</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of</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rPr>
              <w:t>December 29,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8"/>
              </w:rPr>
              <w:t>December 30, 2017</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w w:val="96"/>
              </w:rPr>
              <w:t xml:space="preserve">Raw materials and work in process </w:t>
            </w:r>
            <w:r>
              <w:rPr>
                <w:rFonts w:ascii="Times New Roman" w:cs="Times New Roman" w:eastAsia="Times New Roman" w:hAnsi="Times New Roman"/>
                <w:sz w:val="25"/>
                <w:szCs w:val="25"/>
                <w:color w:val="auto"/>
                <w:w w:val="96"/>
                <w:vertAlign w:val="superscript"/>
              </w:rPr>
              <w:t>(1)</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59,946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43,953</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47,198</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116,022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17145</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 w:lineRule="exact"/>
        <w:rPr>
          <w:sz w:val="20"/>
          <w:szCs w:val="20"/>
          <w:color w:val="auto"/>
        </w:rPr>
      </w:pPr>
    </w:p>
    <w:p>
      <w:pPr>
        <w:ind w:left="40" w:right="40" w:hanging="5"/>
        <w:spacing w:after="0" w:line="262" w:lineRule="auto"/>
        <w:tabs>
          <w:tab w:leader="none" w:pos="24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-216535</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Details of Certain Balance Sheet Accounts (continued)</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December 29, 2018</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December 30, 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and building</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160,958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136,876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systems hardware and software</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83,212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42,708</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155,369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18,375</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under capital leases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451,904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149,624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302,280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December 29, 2018</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December 30, 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Self-insurance reserves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management and services agreement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11,451</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81,004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77,611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December 29, 2018</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December 30, 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Tenant improvements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25,854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rental expenses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Self-insurance reserves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50,902</w:t>
            </w:r>
          </w:p>
        </w:tc>
        <w:tc>
          <w:tcPr>
            <w:tcW w:w="0" w:type="dxa"/>
            <w:vAlign w:val="bottom"/>
          </w:tcPr>
          <w:p>
            <w:pPr>
              <w:spacing w:after="0"/>
              <w:rPr>
                <w:sz w:val="1"/>
                <w:szCs w:val="1"/>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40" w:hanging="205"/>
        <w:spacing w:after="0"/>
        <w:tabs>
          <w:tab w:leader="none" w:pos="2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for tenant improvements are amortized as a reduction of rental expense over the life of the respective leases.</w:t>
      </w:r>
    </w:p>
    <w:p>
      <w:pPr>
        <w:spacing w:after="0" w:line="231"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-374015</wp:posOffset>
            </wp:positionV>
            <wp:extent cx="282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2018, as a result of our annual goodwill impairment test, we fully impaired the remaining carrying value of goodwill at Fred Meyer and Military of $11.4 million and $3.7 million, respectively. Management lowered the revenue growth rate assumptions at Fred Meyer and Military resulting in the fair values at these reporting units to be lower than their carrying values. The lower revenue growth rate assumptions at Fred Meyer and Military were primarily the result of recent sales underperformance resulting from decreases in projected customer transaction volume.</w:t>
      </w:r>
    </w:p>
    <w:p>
      <w:pPr>
        <w:sectPr>
          <w:pgSz w:w="11900" w:h="16838" w:orient="portrait"/>
          <w:cols w:equalWidth="0" w:num="1">
            <w:col w:w="11420"/>
          </w:cols>
          <w:pgMar w:left="240" w:top="12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exceeded carrying value by a substantial margin (in excess of 75%) for America’s Best and Eyeglass World. Legacy fair value exceeded carrying value by 21% and represents 8% of consolidated goodwill. No goodwill impairment was identified during fiscal year 2017. A goodwill impairment of $3.3 million was identified at the AC Lens reporting unit for fiscal year 2016.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impairment of Company’s goodwill balances for 2018 and 2017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As of</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As of</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29, 2018</w:t>
            </w:r>
          </w:p>
        </w:tc>
        <w:tc>
          <w:tcPr>
            <w:tcW w:w="140" w:type="dxa"/>
            <w:vAlign w:val="bottom"/>
          </w:tcPr>
          <w:p>
            <w:pPr>
              <w:spacing w:after="0"/>
              <w:rPr>
                <w:sz w:val="20"/>
                <w:szCs w:val="20"/>
                <w:color w:val="auto"/>
              </w:rPr>
            </w:pPr>
          </w:p>
        </w:tc>
        <w:tc>
          <w:tcPr>
            <w:tcW w:w="29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December 30, 2017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Gross Carrying</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Gross Carrying</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Accumulated</w:t>
            </w:r>
          </w:p>
        </w:tc>
        <w:tc>
          <w:tcPr>
            <w:tcW w:w="0" w:type="dxa"/>
            <w:vAlign w:val="bottom"/>
          </w:tcPr>
          <w:p>
            <w:pPr>
              <w:spacing w:after="0"/>
              <w:rPr>
                <w:sz w:val="1"/>
                <w:szCs w:val="1"/>
                <w:color w:val="auto"/>
              </w:rPr>
            </w:pPr>
          </w:p>
        </w:tc>
      </w:tr>
      <w:tr>
        <w:trPr>
          <w:trHeight w:val="234"/>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Impairment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Impairment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 &amp; Host Segment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Segment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805,077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805,077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impairment of indefinite-lived or definite-lived intangible assets was identified during fiscal years 2018 and 2017. We recorded impairment of $1.3 million in definite-lived intangible assets during fiscal year 2016 at AC Lens.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Indefinite-lived, non-amortizing intangible assets by major asset class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2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December 29, 2018</w:t>
            </w:r>
          </w:p>
        </w:tc>
        <w:tc>
          <w:tcPr>
            <w:tcW w:w="21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2017</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America's Best</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200,547</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200,547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Eyeglass World</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7"/>
        </w:trPr>
        <w:tc>
          <w:tcPr>
            <w:tcW w:w="69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Definite-lived, amortizing intangible assets by major asset class are as follows:</w:t>
            </w: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gridSpan w:val="9"/>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980" w:type="dxa"/>
            <w:vAlign w:val="bottom"/>
            <w:gridSpan w:val="9"/>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29, 2018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December 30, 2017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Gross Carrying</w:t>
            </w:r>
          </w:p>
        </w:tc>
        <w:tc>
          <w:tcPr>
            <w:tcW w:w="18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Remaining Life</w:t>
            </w:r>
          </w:p>
        </w:tc>
        <w:tc>
          <w:tcPr>
            <w:tcW w:w="2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Gross Carrying</w:t>
            </w:r>
          </w:p>
        </w:tc>
        <w:tc>
          <w:tcPr>
            <w:tcW w:w="120" w:type="dxa"/>
            <w:vAlign w:val="bottom"/>
          </w:tcPr>
          <w:p>
            <w:pPr>
              <w:spacing w:after="0"/>
              <w:rPr>
                <w:sz w:val="18"/>
                <w:szCs w:val="18"/>
                <w:color w:val="auto"/>
              </w:rPr>
            </w:pPr>
          </w:p>
        </w:tc>
        <w:tc>
          <w:tcPr>
            <w:tcW w:w="14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Remaining Life</w:t>
            </w:r>
          </w:p>
        </w:tc>
        <w:tc>
          <w:tcPr>
            <w:tcW w:w="0" w:type="dxa"/>
            <w:vAlign w:val="bottom"/>
          </w:tcPr>
          <w:p>
            <w:pPr>
              <w:spacing w:after="0"/>
              <w:rPr>
                <w:sz w:val="1"/>
                <w:szCs w:val="1"/>
                <w:color w:val="auto"/>
              </w:rPr>
            </w:pPr>
          </w:p>
        </w:tc>
      </w:tr>
      <w:tr>
        <w:trPr>
          <w:trHeight w:val="234"/>
        </w:trPr>
        <w:tc>
          <w:tcPr>
            <w:tcW w:w="2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0"/>
                <w:szCs w:val="20"/>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(Years)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Contracts and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Legacy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28,359</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65,000</w:t>
            </w:r>
          </w:p>
        </w:tc>
        <w:tc>
          <w:tcPr>
            <w:tcW w:w="8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22,470</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Fred Meyer</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7,303</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5,787</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database</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4,224</w:t>
            </w:r>
          </w:p>
        </w:tc>
        <w:tc>
          <w:tcPr>
            <w:tcW w:w="1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3,347</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105,138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40,606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105,138</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32,235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 (continued)</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 amortization expense is included in depreciation and amortization in the accompanying consolidated statements of operations. Aggregate future estimated amortization expense is shown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27,172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64,532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9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29, 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Lien - Term Loan B, due November 20, 2024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364,300</w:t>
            </w: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568,575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Lien - Term Loan A, due October 9, 2023</w:t>
            </w:r>
          </w:p>
        </w:tc>
        <w:tc>
          <w:tcPr>
            <w:tcW w:w="240" w:type="dxa"/>
            <w:vAlign w:val="bottom"/>
          </w:tcPr>
          <w:p>
            <w:pPr>
              <w:spacing w:after="0"/>
              <w:rPr>
                <w:sz w:val="21"/>
                <w:szCs w:val="21"/>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 loans before unamortized discount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564,300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568,575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discount</w:t>
            </w:r>
          </w:p>
        </w:tc>
        <w:tc>
          <w:tcPr>
            <w:tcW w:w="240" w:type="dxa"/>
            <w:vAlign w:val="bottom"/>
          </w:tcPr>
          <w:p>
            <w:pPr>
              <w:spacing w:after="0"/>
              <w:rPr>
                <w:sz w:val="21"/>
                <w:szCs w:val="21"/>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 loans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553,627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557,253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Pr>
          <w:p>
            <w:pPr>
              <w:spacing w:after="0"/>
              <w:rPr>
                <w:sz w:val="21"/>
                <w:szCs w:val="21"/>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loans - non-current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548,627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551,553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lease obligations</w:t>
            </w:r>
          </w:p>
        </w:tc>
        <w:tc>
          <w:tcPr>
            <w:tcW w:w="240" w:type="dxa"/>
            <w:vAlign w:val="bottom"/>
          </w:tcPr>
          <w:p>
            <w:pPr>
              <w:spacing w:after="0"/>
              <w:rPr>
                <w:sz w:val="21"/>
                <w:szCs w:val="21"/>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11,985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 and unamortized debt discount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570,545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561,980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dividend discussed in Note 8. “Related Party Transactions” was funded with $175.0 million in borrowed funds under the Company’s first lien credit agreement, which was then repaid with IPO proceeds, as discussed in Note 1. "Business and Significant Accounting Policies".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annual maturities of debt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5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364,300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4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564,300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24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Debt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 Term Loan B</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31, 2017 and November 20, 2017, the credit agreement dated as of March 13, 2014, among Nautilus Acquisition Holdings, Inc., a wholly-owned subsidiary of the Company, NVI, as borrower, Goldman Sachs Bank USA, as administrative agent, collateral agent, and letter of credit issuer, and the lenders from time to time party thereto and the other parties thereto (as amended, restated, supplemented or otherwise modified from time to time, the “first lien credit agreement”) was amended pursuant to separate joinder and amendment agreements (collectively, the “Amendments”) to, among other things, (a) establish new first lien term loans (“First Lien - Term Loan B”) in an aggregate principal amount of $570.0 million to refinance all of the first lien term loans outstanding immediately prior to the amendment, (b) extend the maturity of such term loans to November 20, 2024 and (c) reprice the rates applicable to such term loans by amending the definition of Applicable Margin (as defined in the first lien credit agreement). The Amendments further provide that the Applicable Margins for First Lien - Term Loan B will be based on NVI’s public corporate credit rating from Moody’s as follows: (i) if NVI’s rating is lower than Ba3 (stable), the Applicable Margin will be 2.75% for LIBOR Loans and 1.75% for ABR Loans and (ii) if NVI’s rating is Ba3 (stable) or better, the Applicable Margin will step down to 2.50% for LIBOR Loans and 1.50% for ABR Loans, as specified in the Amendments. We are required to prepay an amount equal to 50% of the preceding fiscal year’s excess cash flow, as defined in the agreement. The required prepayment is reduced to 25% of the preceding year’s excess cash flow if our consolidated earnings before interest, tax, depreciation and amortization (“Credit Agreement EBITDA”) ratio, as defined in the agreement, is less than or equal to 4.25 to 1.00. No prepayment is required if such ratio is less than or equal to 4.00 to 1.00. We have not been required to make a prepayment related to our first lien credit agreement.</w:t>
      </w:r>
    </w:p>
    <w:p>
      <w:pPr>
        <w:spacing w:after="0" w:line="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 Lien - Term Loan B contains covenants that, among other things, limit our ability to incur additional debt, create liens against our assets, make acquisitions, pay dividends or distributions on our stock, merge or consolidate with another entity and transfer or sell assets.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7, 2018, Moody’s announced that it had upgraded NVI’s public corporate credit rating from B1 to Ba3 (stable) and as a result, the Applicable Margin to LIBOR for this term loan decreased from 2.75% to 2.50%. Additionally, $200.0 million of the proceeds from the issuance of new term loans in the current year as described below, was used to prepay a portion of First Lien - Term Loan B on October 9, 2018. As a result of the $200.0 million prepayment, no required principal payments are due until November 24,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 Term Loan 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9, 2018 (the “Closing Date”), our first lien credit agreement, dated as of March 13, 2014 (as amended, the “Credit Agreement”), was amended pursuant to a joinder and amendment agreement (the “October 2018 Joinder”) to, among other things, (i) establish new first lien term loans in an aggregate principal amount of $200.0 million (“First Lien - Term Loan A”) to prepay a portion of First Lien - Term Loan B outstanding immediately prior to the Closing Date, (ii) set the maturity of such term loans to October 9, 2023 and (iii) set the rates applicable to such term loans. Pursuant to the October 2018 Joinder, the initial new Applicable Margins are (i) 1.75% for the new first lien term loans that are LIBOR Loans (as defined in the Credit Agreement) and (ii) 0.75% for the new first lien term loans that are ABR Loans (as defined in the Credit Agreement).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October 2018 Joinder further provides that following the Closing Date, the above Applicable Margins for First Lien - Term Loan A will be based on either (x) NVI’s total leverage ratio or (y) NVI’s public corporate credit rating from Moody’s and/or NVI’s public corporate credit rating from S&amp;P as follows: (a) if NVI’s total leverage ratio is less than 2.00 to 1.00 or NVI’s rating is either Ba2 (stable) or better from Moody’s or BB (stable) or better from S&amp;P, the Applicable Margin will be 1.25% for LIBOR Loans and 0.25% for ABR Loans, (b) if NVI’s total leverage ratio is equal to or greater than 2.00 to 1.00, but less than 2.50 to 1.00, or NVI’s rating is BB- (stable) from S&amp;P, the Applicable Margin will be 1.50% for LIBOR Loans and 0.50% for ABR Loans and (c) if NVI’s total leverage ratio is equal to or greater than 2.50 to 1.00, the Applicable Margin will be 1.75% for LIBOR Loans and 0.75% for ABR Loans, as specified in the October 2018 Joinder. First Lien - Term Loan A will amortize in equal quarterly installments equal to 2.50% per annum in the first three years of the loan and 5.00% per annum thereafter.</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pursuant to the October 2018 Joinder, solely with respect to the First Lien - Term Loan A, commencing on the fiscal quarter ending on December 29, 2018, the Company will not permit (i) the Consolidated Total Debt to Consolidated EBITDA Ratio (as defined in the Credit Agreement) as of the last day of any fiscal quarter of the Company to be greater than 4.75 to 1.00 or (ii) the Consolidated Interest Coverage Ratio (as defined in the Credit Agreement) of the Company as of the last day of any fiscal quarter of the Company to be less than 3.00 to 1.00.</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Debt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 Revolving Credit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lien credit agreement provides for a revolving credit facility which was amended in October 2017 pursuant to a joinder and amendment agreement to</w:t>
      </w:r>
    </w:p>
    <w:p>
      <w:pPr>
        <w:spacing w:after="0" w:line="27" w:lineRule="exact"/>
        <w:rPr>
          <w:sz w:val="20"/>
          <w:szCs w:val="20"/>
          <w:color w:val="auto"/>
        </w:rPr>
      </w:pPr>
    </w:p>
    <w:p>
      <w:pPr>
        <w:jc w:val="both"/>
        <w:ind w:firstLine="8"/>
        <w:spacing w:after="0" w:line="252" w:lineRule="auto"/>
        <w:tabs>
          <w:tab w:leader="none" w:pos="2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size of the credit facility from $75.0 million to $100.0 million and (b) extend the maturity of such facility to October 15, 2022. Amounts borrowed under the revolving credit facility bear interest, at our election, at either 2.00% over ABR or 3.00% over LIBOR. These interest rate spreads will decline to 1.75% and 2.75%, respectively, if our Credit Agreement EBITDA ratio declines to 4.25 to 1.00 or less, and the spreads will further decline to 1.50% and 2.50%, respectively, if such ratio declines to 3.75 to 1.00 or less. We may use up to $20.0 million of the revolving credit facility to issue letters of credit. Letter of credit fees accrue at the same rate as the then-applicable LIBOR spread. Our credit agreement also provides that, if aggregate borrowings (inclusive of certain letters of credit) under our revolving credit facility exceed 30% of the total revolving commitment, the ratio of debt under our first lien credit agreement to Credit Agreement EBITDA may not, on the last day of the applicable measurement period, exceed 7.75 to 1.00.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Leases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obligations under capital leases are included in the consolidated balance sheets as long-term debt, less current portion and debt discount (non-current portion) and current maturities of long-term debt (current portion). Future minimum lease payments required under our capital leases as of fiscal year end 2018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68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516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518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5,786</w:t>
            </w:r>
          </w:p>
        </w:tc>
      </w:tr>
      <w:tr>
        <w:trPr>
          <w:trHeight w:val="243"/>
        </w:trPr>
        <w:tc>
          <w:tcPr>
            <w:tcW w:w="9020" w:type="dxa"/>
            <w:vAlign w:val="bottom"/>
            <w:gridSpan w:val="2"/>
          </w:tcPr>
          <w:p>
            <w:pPr>
              <w:ind w:left="518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5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51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5,395</w:t>
            </w:r>
          </w:p>
        </w:tc>
      </w:tr>
      <w:tr>
        <w:trPr>
          <w:trHeight w:val="243"/>
        </w:trPr>
        <w:tc>
          <w:tcPr>
            <w:tcW w:w="9020" w:type="dxa"/>
            <w:vAlign w:val="bottom"/>
            <w:gridSpan w:val="2"/>
          </w:tcPr>
          <w:p>
            <w:pPr>
              <w:ind w:left="51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5,324</w:t>
            </w:r>
          </w:p>
        </w:tc>
      </w:tr>
      <w:tr>
        <w:trPr>
          <w:trHeight w:val="27"/>
        </w:trPr>
        <w:tc>
          <w:tcPr>
            <w:tcW w:w="5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51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4,346</w:t>
            </w:r>
          </w:p>
        </w:tc>
      </w:tr>
      <w:tr>
        <w:trPr>
          <w:trHeight w:val="243"/>
        </w:trPr>
        <w:tc>
          <w:tcPr>
            <w:tcW w:w="5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13,062</w:t>
            </w:r>
          </w:p>
        </w:tc>
      </w:tr>
      <w:tr>
        <w:trPr>
          <w:trHeight w:val="27"/>
        </w:trPr>
        <w:tc>
          <w:tcPr>
            <w:tcW w:w="51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39,413</w:t>
            </w:r>
          </w:p>
        </w:tc>
      </w:tr>
      <w:tr>
        <w:trPr>
          <w:trHeight w:val="243"/>
        </w:trPr>
        <w:tc>
          <w:tcPr>
            <w:tcW w:w="9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6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w:t>
            </w:r>
          </w:p>
        </w:tc>
      </w:tr>
      <w:tr>
        <w:trPr>
          <w:trHeight w:val="27"/>
        </w:trPr>
        <w:tc>
          <w:tcPr>
            <w:tcW w:w="51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24,485</w:t>
            </w:r>
          </w:p>
        </w:tc>
      </w:tr>
      <w:tr>
        <w:trPr>
          <w:trHeight w:val="243"/>
        </w:trPr>
        <w:tc>
          <w:tcPr>
            <w:tcW w:w="9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Current maturities of capital lease obligations</w:t>
            </w:r>
          </w:p>
        </w:tc>
        <w:tc>
          <w:tcPr>
            <w:tcW w:w="6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7"/>
        </w:trPr>
        <w:tc>
          <w:tcPr>
            <w:tcW w:w="51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 - non-current portion</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21,918</w:t>
            </w:r>
          </w:p>
        </w:tc>
      </w:tr>
      <w:tr>
        <w:trPr>
          <w:trHeight w:val="20"/>
        </w:trPr>
        <w:tc>
          <w:tcPr>
            <w:tcW w:w="5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Incentive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2014, our Board of Directors and stockholders of the Company approved the 2014 Stock Incentive Plan for Key Employees of National Vision Holdings, Inc. (formerly known as Nautilus Parent, Inc.) and its Subsidiaries (the “2014 Stock Incentive Plan”). Only stock options to purchase common stock of NVHI have been granted under the 2014 Stock Incentive Plan. The Board of Directors determined the exercise price of service-based and performance-based options on the basis of the fair value of the common stock as of the grant date. Due to the limited number of participants in the plan and high levels of retention among participants, forfeitures of outstanding service-based options are not expected to be material. Therefore, all service-based options outstanding at fiscal year end 2018 are expected to vest. Service-based and performance-based options have a contractual maturity of 10 years.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10,988,827 stock options authorized for issuance pursuant to the 2014 Stock Incentive Plan, of which 6,618,288 are issued and outstanding, and 468,975 are authorized but unissued as of fiscal year end 2018.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awards under the 2014 Stock Incentive Plan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Vesting of performance-based options is conditional upon the achievement by KKR Sponsor, with respect to its investment in the Company, of both a minimum internal rate of return and a minimum multiple of invested capital and then increases proportionally as the multiple of invested capital increases up to a defined target. Compensation expense of $16.1 million and $0.4 million was recorded during fiscal years 2018 and 2017, respectively, from the achievement of vesting conditions resulting from secondary offerings previously discussed in Note 1. “Business and Significant Accounting Policies.” No compensation expense was recorded relating to performance-based options for fiscal year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Incentive Plans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2016 since achievement of vesting conditions was not considered probable. Secondary offerings also resulted in $7.0 million of cash compensation expense associated with a non-executive long-term incentive plan for fiscal year 2018, which is included in SG&amp;A in the accompanying statement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performance-based stock option activity: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Number of Options</w:t>
            </w:r>
          </w:p>
        </w:tc>
        <w:tc>
          <w:tcPr>
            <w:tcW w:w="12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Weighted Average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 Contractual</w:t>
            </w:r>
          </w:p>
        </w:tc>
        <w:tc>
          <w:tcPr>
            <w:tcW w:w="120" w:type="dxa"/>
            <w:vAlign w:val="bottom"/>
          </w:tcPr>
          <w:p>
            <w:pPr>
              <w:spacing w:after="0"/>
              <w:rPr>
                <w:sz w:val="18"/>
                <w:szCs w:val="18"/>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 Intrinsic</w:t>
            </w:r>
          </w:p>
        </w:tc>
      </w:tr>
      <w:tr>
        <w:trPr>
          <w:trHeight w:val="234"/>
        </w:trPr>
        <w:tc>
          <w:tcPr>
            <w:tcW w:w="378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0"/>
                <w:szCs w:val="20"/>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Exercise Price ($)</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Life (Years)</w:t>
            </w:r>
          </w:p>
        </w:tc>
        <w:tc>
          <w:tcPr>
            <w:tcW w:w="12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Value (In Thousands)</w:t>
            </w: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options at December 30, 2017</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6,524,152</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(2,051,033)</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(329,338)</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options at December 29, 2018</w:t>
            </w:r>
          </w:p>
        </w:tc>
        <w:tc>
          <w:tcPr>
            <w:tcW w:w="1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4,143,781</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94,291</w:t>
            </w: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exercisable at December 29, 2018</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1,737,952</w:t>
            </w:r>
          </w:p>
        </w:tc>
        <w:tc>
          <w:tcPr>
            <w:tcW w:w="1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40,172</w:t>
            </w:r>
          </w:p>
        </w:tc>
      </w:tr>
      <w:tr>
        <w:trPr>
          <w:trHeight w:val="27"/>
        </w:trPr>
        <w:tc>
          <w:tcPr>
            <w:tcW w:w="37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grants of performance-based options during fiscal year 2018. The weighted average grant date fair value of performance-based options granted during fiscal years 2017 and 2016 was $3.68 and $3.49, respectively. The fair value of performance-based options vested during fiscal years 2018 and 2017 was $16.1 million and $0.4 million, respectively. No vesting of performance-based options occurred during fiscal year 2016. The aggregate intrinsic value of performance-based options exercised during fiscal year 2018 was $70.2 million. No performance-based options were exercised during fiscal years 2017 and 2016.</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grant date fair value of performance-based shares was estimated using Monte Carlo simulation assuming expected term range of 2.37 to 5.00 years, expected volatility range of 46.9% to 65.8% and expected risk free interest rate of 1.19% to 1.51%.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awards under the 2014 Stock Incentive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service-based options vest in 20% annual increments on each of the first five anniversaries of the grant date. The Company has selected an accelerated method of recording compensation expense associated with service-based options, whereby the total grant date fair value of the awards is amortized 46%, 25%, 16%, 9%, and 4% for years one through five,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$3.1 million, $4.4 million and $4.3 million of compensation expense associated with service-based stock options in SG&amp;A in the accompanying consolidated statements of operations during fiscal years 2018, 2017 and 2016,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Incentive Plans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service-based stock option activity (amounts reflect the effects of modifications to exercise prices resulting from the recapitalization dividend discussed in Note 8. “Related Party Transactions”):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Number of Options</w:t>
            </w:r>
          </w:p>
        </w:tc>
        <w:tc>
          <w:tcPr>
            <w:tcW w:w="12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Weighted Average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 Contractual</w:t>
            </w:r>
          </w:p>
        </w:tc>
        <w:tc>
          <w:tcPr>
            <w:tcW w:w="120" w:type="dxa"/>
            <w:vAlign w:val="bottom"/>
          </w:tcPr>
          <w:p>
            <w:pPr>
              <w:spacing w:after="0"/>
              <w:rPr>
                <w:sz w:val="18"/>
                <w:szCs w:val="18"/>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 Intrinsic</w:t>
            </w:r>
          </w:p>
        </w:tc>
      </w:tr>
      <w:tr>
        <w:trPr>
          <w:trHeight w:val="234"/>
        </w:trPr>
        <w:tc>
          <w:tcPr>
            <w:tcW w:w="378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0"/>
                <w:szCs w:val="20"/>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Exercise Price ($)</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Life (Years)</w:t>
            </w:r>
          </w:p>
        </w:tc>
        <w:tc>
          <w:tcPr>
            <w:tcW w:w="12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Value (In Thousands)</w:t>
            </w: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options at December 30, 2017</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3,822,915</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(1,278,223)</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(70,185)</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options at December 29, 2018</w:t>
            </w:r>
          </w:p>
        </w:tc>
        <w:tc>
          <w:tcPr>
            <w:tcW w:w="1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2,474,507</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51,877</w:t>
            </w: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exercisable at December 29, 2018</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1,212,053</w:t>
            </w:r>
          </w:p>
        </w:tc>
        <w:tc>
          <w:tcPr>
            <w:tcW w:w="1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26,219</w:t>
            </w:r>
          </w:p>
        </w:tc>
      </w:tr>
      <w:tr>
        <w:trPr>
          <w:trHeight w:val="27"/>
        </w:trPr>
        <w:tc>
          <w:tcPr>
            <w:tcW w:w="37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grants of service-based options during fiscal year 2018. The weighted average grant date fair value of service-based options granted during fiscal years 2017 and 2016 was $9.01 and $8.58, respectively. The fair value of service-based options vested during fiscal years 2018, 2017 and 2016 was $5.6 million, $4.6 million and $4.3 million, respectively. The aggregate intrinsic value of service-based options exercised during fiscal years 2018, 2017 and 2016 was $39.6 million, $1.5 million and $0.3 million,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29, 2018, unrecognized compensation cost related to nonvested shares is $2.7 million expected to be recognized over 1.70 years.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service-based stock option grants was estimated at the grant date using the Black-Scholes-Merton option pricing model with assumed expected term of 6.5 years, expected volatility of 60.4% and risk free interest rate of 1.6% to 2%.</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expected term was based on the mid-point between the weighted average time to vesting and the contractual time to maturity. Since all options granted in the 2014 Stock Incentive Plan were issued prior to the IPO, expected volatility was based on the volatility of comparable publicly traded companies. The risk free interest rate was based on the U.S. Treasury yield curve. The dividend yield was based on our expectation of not paying dividends on the common stock of NVHI for the foreseeable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Vision Holding Corp. Amended and Restated 2013 Equity Incentive Plan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30, 2017 there were 169,049 options outstanding with a maximum contractual life of 10 years. During fiscal year ended December 29, 2018, there were 152,619 options exercised under the Vision Holding Corp. Amended and Restated 2013 Equity Incentive Plan at a weighted average exercise price of $1.66 and an intrinsic value of $6.1 million. As of fiscal year end 2018, there were 16,430 options remaining that are vested and outstanding at a weighted average exercise price of $1.66, a weighted average remaining contractual life of 5.20 years and an intrinsic value of $0.5 million. There was no expense associated with these options for fiscal years 2018, 2017 and 2016 since the options were fully vested prior to fiscal year 2016.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Omnibus Incentive Plan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IPO, on October 23, 2017 the Company’s Board of Directors adopted, and its stockholders approved, the National Vision Holdings, Inc. 2017 Omnibus Incentive Plan (the “2017 Omnibus Incentive Plan”) in October 2017. The total number of shares of common stock that may be issued under the plan is 4,000,000. The plan authorizes the grant of stock options, stock appreciation rights, restricted stock, restricted stock units, other equity-based awards and other cash-based awards to our employees, directors, officers, consultants and advisers. The maximum contractual period of shares granted under the plan is 10 years.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2017, we granted stock options to purchase 92,443 shares of our common stock at an exercise price of $22.00 per share to a named executive officer. The grant date fair value of the award was $0.8 million, with three year vesting. Fair value of the awards is calculated on a straight-line basis. The expense associated with this grant is recorded in SG&amp;A in the consolidated statements of operations and was $0.3 million and $0.1 million for fiscal years 2018 and 2017, respectively. As of fiscal year end 2018, the options have a remaining contractual life of 8.82 years, 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Incentive Plans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intrinsic value of $0.6 million, and remaining unrecognized service cost of $0.5 million. The remaining requisite service period is 1.82 years. All of the options remain outstanding and the intrinsic value of the 30,814 options that have vested is $0.2 million.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year 2017, we granted an aggregate of 182,138 restricted stock units, net of forfeitures, at a weighted average exercise price of $22.00, to certain employees. These restricted stock units include 59,800 restricted stock units that vest in two equal installments on the first and second anniversaries of the grant date, and 122,338 restricted stock units that vest in three equal installments on the first, second and third anniversaries of the grant date. The aggregate grant date fair value of the awards was $4.0 million. During fiscal year 2018, 63,872 and 20,190 restricted stock units had vested and forfeited, respectively. The expense associated with restricted stock units is recorded in SG&amp;A in the consolidated statements of operations and was $1.4 million and $0.3 million for fiscal years 2018 and 2017, respectively. The remaining weighted average requisite service period of outstanding restricted stock units was 1.51 years, and the remaining unrecognized service cost was $2.3 million.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2018, we granted an aggregate of 7,193 restricted stock awards, to certain directors under the 2017 Omnibus Incentive Plan. The awards vest proportionally over three years. The aggregate grant date fair value of the awards, based on the stock price on the date of grant, was $0.3 million for fiscal year 2018. As of fiscal year end 2018, the intrinsic value of the awards was $0.1 million, the remaining unrecognized service cost was $0.2 million and the remaining requisite service period was 2.40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Associate Stock Purchase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6, 2018, the Company’s Board of Directors adopted, and its stockholders approved, the National Vision Holdings, Inc. 2018 Associate Stock Purchase Plan (the “ASPP”). The ASPP provides that up to 850,000 shares of common stock, at par value of $0.01 per share, may be offered and issued under the ASPP. During fiscal year 2018, the compensation cost related to the plan was not material.</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2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provision (benefit) consists of:</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0"/>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r>
      <w:tr>
        <w:trPr>
          <w:trHeight w:val="234"/>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1,302</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9,243</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income tax provision (benefit) differs from the amounts computed by multiplying earnings before income taxes by the statutory federal income tax rate as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32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18"/>
                <w:szCs w:val="18"/>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476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income tax provision at statutory rate</w:t>
            </w:r>
          </w:p>
        </w:tc>
        <w:tc>
          <w:tcPr>
            <w:tcW w:w="1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 provision, net of federal income tax</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deferred tax asset valuation allowance</w:t>
            </w: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of tax legislation</w:t>
            </w: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 of equity-based compensation deductions</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97"/>
        </w:trPr>
        <w:tc>
          <w:tcPr>
            <w:tcW w:w="4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tax provision (benefit)</w:t>
            </w:r>
          </w:p>
        </w:tc>
        <w:tc>
          <w:tcPr>
            <w:tcW w:w="10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(38,910)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11,634</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567"/>
        </w:trPr>
        <w:tc>
          <w:tcPr>
            <w:tcW w:w="4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 (continued)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Legislation signed into law on December 22, 2017 makes broad and complex changes to the U.S. tax code including, but not limited to: (1) reducing the U.S. federal rate from 35% to 21%, effective January 1, 2018; (2) eliminating the corporate alternative minimum tax (“AMT”) and changing how the credits can be realized; (3) creating new limitations on deductions for interest expense; (4) changing rules related to limitations of net operating loss (“NOL”) carryforwards, and (5) enhancing and extending through 2026 the option to claim accelerated depreciation deductions on qualified property.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effects of new legislation are required to be recognized upon enactment. Accordingly, recognition of the tax effects of the legislation is required in the annual period that includes December 22, 2017. The Company recorded a tax benefit of $42.1 million due to a re-measurement of deferred tax assets and liabilities in fiscal year 2017.</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 Staff Accounting Bulletin No. 118, Income Tax Accounting Implications of the Tax Legislation, the Company recognized provisional effects of the enactment of the 2017 Tax Legislation for which measurement could be reasonably estimated as of fiscal year end 2017. As of fiscal year end 2018, the Company recorded adjustments to the provisional estimates related to depreciation expense. The adjustments to the provisional estimates of December 30, 2017 did not materially impact the effective tax rate of the Company during fiscal year 2018.</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8"/>
                <w:szCs w:val="18"/>
                <w:color w:val="auto"/>
              </w:rPr>
            </w:pPr>
          </w:p>
        </w:tc>
        <w:tc>
          <w:tcPr>
            <w:tcW w:w="2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As of</w:t>
            </w:r>
          </w:p>
        </w:tc>
        <w:tc>
          <w:tcPr>
            <w:tcW w:w="360" w:type="dxa"/>
            <w:vAlign w:val="bottom"/>
          </w:tcPr>
          <w:p>
            <w:pPr>
              <w:spacing w:after="0"/>
              <w:rPr>
                <w:sz w:val="18"/>
                <w:szCs w:val="18"/>
                <w:color w:val="auto"/>
              </w:rPr>
            </w:pPr>
          </w:p>
        </w:tc>
        <w:tc>
          <w:tcPr>
            <w:tcW w:w="22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December 29, 2018</w:t>
            </w:r>
          </w:p>
        </w:tc>
        <w:tc>
          <w:tcPr>
            <w:tcW w:w="360" w:type="dxa"/>
            <w:vAlign w:val="bottom"/>
          </w:tcPr>
          <w:p>
            <w:pPr>
              <w:spacing w:after="0"/>
              <w:rPr>
                <w:sz w:val="20"/>
                <w:szCs w:val="20"/>
                <w:color w:val="auto"/>
              </w:rPr>
            </w:pPr>
          </w:p>
        </w:tc>
        <w:tc>
          <w:tcPr>
            <w:tcW w:w="2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December 30, 2017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 carry-forwards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interest expense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AMT payment and employment credits</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equity and 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compensation</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hedging instruments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47,973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allowances</w:t>
            </w:r>
          </w:p>
        </w:tc>
        <w:tc>
          <w:tcPr>
            <w:tcW w:w="36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46,677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fiscal year end 2018, we had available U.S. federal NOL carry-forwards aggregating to $55.8 million that can be utilized to reduce future federal income taxes. The Company has $37.7 million of carry-forward losses that do not expire and $5.1 million, $3.3 million and $9.7 million of carry-forward losses expiring at the end of fiscal year 2019, fiscal year 2033 and fiscal year 2037 respectively. In addition, we have NOL carry-forwards in varying amounts and with varying expiration dates in various states in which we operate. We believe it is more-likely-than-not that we will realize a tax benefit for these NOL’s in the future.</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fiscal year end 2018, we also have non-expiring federal and state AMT carry-forward credits and employment credits totaling $4.7 million available to offset certain future taxes.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$1.3 million deferred income tax asset on losses associated with our equity method non-consolidated investee and a $0.2 million deferred income tax asset for capital losses associated with the impairment of an investment recorded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 (continued)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2017. We do not expect to generate significant capital gains from these investments, or other sources, in the near future. Therefore, we believe it is more-likely-than-not that we will not realize a tax benefit for these deferred income tax assets, and accordingly we have established a full valuation allowance for those amounts.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utilization of NOL carry-forwards to reduce or eliminate subsequent years’ tax obligations, our federal and a substantial number of our state income tax returns for fiscal years 2001 through 2018 remain open for examination by the tax authorities. We had no uncertain tax positions or unrecognized tax benefits as of fiscal years 2018 and 2017.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from Contracts With Customers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annual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eyecare club memberships and management fees earned from our legacy partner.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at a Point in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Owned &amp; Host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our owned &amp; host segment, product revenues include sales of prescription and non-prescription eyewear, contact lenses and related accessories to retail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 Within our owned &amp; host segment services and plans revenues, eye exam services sold on a stand-alone basis are also recognized at the point of sale which occurs immediately after the exam is performed.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our legacy segment, product revenues include sales of prescription and non-prescription eyewear, contact lenses and related accessories to retail customers in transactions where the retail customer uses a managed-care payor; and wholesale sales of the same inventory types to the legacy partner.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recognition for the retail sales are identical to similar sales in the owned &amp; host segment.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and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our legacy segment services and plans revenues, eye exam services sold to retail customers are recognized at the point of sale which occurs immediately after the exam is performed.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Corporate/Other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non-reportable Corporate/Other segment are attributable to wholly owned subsidiaries AC Lens and FirstSight. AC Lens sells contact lenses and optical accessory products to retail customers through e-commerce. AC Lens also distributes contact lenses at its cost to Walmart and Sam’s Club under fee for services arrangements, reports revenue on a gross basis and is the principal in the arrangement since AC Lens controls the products in those transactions before the products are transferred to the customer.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FirstSight issues individual vision care benefit plans in connection with our America’s Best operations in California, and provides or arranges for the provision of optometric services at certain optometric offices next to Walmart and Sam’s Club stores in California.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From Contracts With Customers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Recognized Over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Owned &amp; Host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Within our owned &amp; host segment, services and plans revenues include revenues from product protection plans (i.e. warranties), eyecare club memberships and HMO membership fees. We offer extended warranty plans in our owned &amp; host segment that generally provide for repair and replacement of eyeglasses for primarily a one-year term after purchase. We recognize service revenue under these programs on a straight-line basis over the warranty or service period which is consistent with our efforts expended to satisfy the obligation. We offer three- or five-year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because our right to payment corresponds directly with the value of the management services provided to our legacy partner.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disaggregation of revenues depicts our revenues based on the timing of revenue recognition:</w:t>
            </w: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Pr>
          <w:p>
            <w:pPr>
              <w:spacing w:after="0"/>
              <w:rPr>
                <w:sz w:val="24"/>
                <w:szCs w:val="24"/>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91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1,397,801</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4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139,053</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1,536,854</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Refer to Note 15."Segment Reporting" for the Company’s disaggregation of net revenue by reportable segment and product type.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KKR Sponsor and Berkshire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2018, KCM acted as a lead arranger with respect to the joinder and amendment agreement, dated as of October 9, 2018, relating to the first lien credit agreement, and received $1.2 million in fees in connection therewith.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certain agreements we have entered into with KKR Sponsor and Berkshire, we recorded the following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Fiscal Year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KKR Sponsor</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Berkshire</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Fees paid to KKR Sponsor and Berkshire include retainer fees and certain other on-going project-oriented initiatives and are presented in SG&amp;A in the accompanying consolidated statements of operations, except KKR Sponsor fees during the fiscal year 2017 include $2.3 million presented in debt issuance costs. Fiscal year 2017 expenses also include the monitoring agreement termination fee discussed in Note 1. “Business and Significant Accounting Policies.”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&amp; Stockholders’ Equity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 2017, the Company declared a recapitalization dividend to its stockholders. Common stockholders received a dividend per common share of $1.51. There were 110.5 million common shares outstanding and eligible for the dividend. Vested and roll-over option holders received an additional cash payment of $1.51 per option, for an aggregate payment of $3.7 million. The income tax benefit of the additional cash payment was $1.4 million. The exercise price of unvested options was reduced by $1.51 per option. Since the Company was in an accumulated deficit position on the date of declaration, according to our accounting policy the combined total cash payment of $171.0 million was recorded as a reduction to additional paid-in capital in the accompanying consolidated balance sheet.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 Net Assets of Non-Consolidated Investee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invests in technological innovators across the optical retail industry. One of these investments is a nonconsolidated investee (the “investee”) in which an equity ownership interest is maintained and for which the equity method of accounting is used due to our ability to exert significant influence over decisions relating to our investee’s operations and financial affairs. We hold a 28% equity interest in our investee as of fiscal year end 2018.</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and expenses of the investee are not consolidated into our financial statements; rather, our proportionate share of the earnings or losses of the investee is reflected as equity income or loss in other expense, net in our consolidated statements of operations. We have determined that we should not consolidate our investee because, although it is a variable interest entity, we are not the primary beneficiary. After adjusting the carrying value of our interest in the investee’s reported net losses, our investment balance in the business was $1.0 million and $2.3 million at the end of fiscal years 2018 and 2017, respectively, which is included in other assets in the accompanying consolidated balance sheets.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 for 2018 was December 29, 2018, while our investee’s year end date was December 31, 2018. The Company’s fiscal year end for 2017 was December 30, 2017. Our investee’s year end date was December 31, 2017. No material transactions occurred from December 29, 2018 to December 31, 2018 or on December 31, 2017, requiring adjustment to our investee's or our results as presented in the tables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balance sheet information for our investee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As of</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December 29, 2018</w:t>
            </w:r>
          </w:p>
        </w:tc>
        <w:tc>
          <w:tcPr>
            <w:tcW w:w="360" w:type="dxa"/>
            <w:vAlign w:val="bottom"/>
          </w:tcPr>
          <w:p>
            <w:pPr>
              <w:spacing w:after="0"/>
              <w:rPr>
                <w:sz w:val="20"/>
                <w:szCs w:val="20"/>
                <w:color w:val="auto"/>
              </w:rPr>
            </w:pPr>
          </w:p>
        </w:tc>
        <w:tc>
          <w:tcPr>
            <w:tcW w:w="18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8"/>
              </w:rPr>
              <w:t>December 30, 2017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324"/>
        </w:trPr>
        <w:tc>
          <w:tcPr>
            <w:tcW w:w="60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assets</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Summarized income statement information for our investee is as follows:</w:t>
            </w: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Fiscal Year</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Vision’s share of 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a licensee of our investee. Additionally, on August 29, 2017, the investee issued a secured convertible promissory note to the Company, in the principal amount of $1.5 million, due on August 29, 2020. The note bears interest at a fixed rate of 5.00% with an additional variable interest component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 Net Assets of Non-Consolidated Investee (continued)</w:t>
      </w:r>
    </w:p>
    <w:p>
      <w:pPr>
        <w:spacing w:after="0" w:line="3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the base rate of the Bank of England, as published each calendar year, which is 0.75% as of December 29, 2018 and is included in other assets in the accompanying consolidated balance sheets.</w:t>
      </w:r>
    </w:p>
    <w:p>
      <w:pPr>
        <w:spacing w:after="0"/>
        <w:rPr>
          <w:sz w:val="20"/>
          <w:szCs w:val="20"/>
          <w:color w:val="auto"/>
        </w:rPr>
      </w:pPr>
      <w:r>
        <w:rPr>
          <w:rFonts w:ascii="Times New Roman" w:cs="Times New Roman" w:eastAsia="Times New Roman" w:hAnsi="Times New Roman"/>
          <w:sz w:val="18"/>
          <w:szCs w:val="18"/>
          <w:color w:val="auto"/>
        </w:rPr>
        <w:t>Transactions with our non-consolidated investee included in our consolidated balance sheets and statements of operations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December 29, 2018</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 Other assets include loan receivable of $1.5 million as of December 29, 2018 and December 30,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Fiscal Year</w:t>
            </w: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Fiscal Year</w:t>
            </w: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Fiscal Year</w:t>
            </w:r>
          </w:p>
        </w:tc>
        <w:tc>
          <w:tcPr>
            <w:tcW w:w="0" w:type="dxa"/>
            <w:vAlign w:val="bottom"/>
          </w:tcPr>
          <w:p>
            <w:pPr>
              <w:spacing w:after="0"/>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Licensing fees (SG&amp;A)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 of Financial Assets and Liabilities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inputs are based upon unadjusted quoted prices for identical instruments traded in active markets.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 of cash and cash equivalents approximates fair value due to the short term maturity of the instruments. All cash and cash equivalents are denominated in U.S. currency.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 of accounts receivable approximates fair value due to the short-term nature of those items and the effect of related allowances for doubtful accounts.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 of Financial Assets and Liabilities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Other Payables and Accrued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other payables and accrued expenses approximate fair value due to the short-term nature of those items.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 First Lien Credit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traded in private markets on a less-than-daily basis. Fair value is based on the average of trading prices and bid/ask quotes around period end (Level 2 inputs). The estimated fair values of our long term debt was $556.1 million and $570.2 million as of fiscal year end 2018 and 2017, respectively, compared to carrying values of $553.6 million and $557.3 million, respectively, which includes the current portion, and is net of unamortized discounts and deferred debt issuance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 Capital Leases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capital lease obligations is based on estimated future contractual cash flows discounted at an appropriate market rate of interest (Level 2 inputs). The estimated fair values of our capital leases were $30.7 million and $14.0 million as of fiscal year end 2018 and 2017, respectively, compared to carrying values of $24.5 million and $12.0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swaps prior to their scheduled expiration dates. The fair value was based on information that is model-driven and whose inputs were observable (Level 2 inputs). See Note 13. “Interest Rate Derivatives” for further details.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Deferred Revenue</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depicts a roll-forward of deferred revenue: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00" w:type="dxa"/>
            <w:vAlign w:val="bottom"/>
            <w:gridSpan w:val="7"/>
          </w:tcPr>
          <w:p>
            <w:pPr>
              <w:ind w:left="1000"/>
              <w:spacing w:after="0"/>
              <w:rPr>
                <w:sz w:val="20"/>
                <w:szCs w:val="20"/>
                <w:color w:val="auto"/>
              </w:rPr>
            </w:pPr>
            <w:r>
              <w:rPr>
                <w:rFonts w:ascii="Times New Roman" w:cs="Times New Roman" w:eastAsia="Times New Roman" w:hAnsi="Times New Roman"/>
                <w:sz w:val="18"/>
                <w:szCs w:val="18"/>
                <w:color w:val="auto"/>
              </w:rPr>
              <w:t>Fiscal Year 2018</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Eye Care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vMerge w:val="continue"/>
          </w:tcPr>
          <w:p>
            <w:pPr>
              <w:spacing w:after="0"/>
              <w:rPr>
                <w:sz w:val="20"/>
                <w:szCs w:val="20"/>
                <w:color w:val="auto"/>
              </w:rPr>
            </w:pPr>
          </w:p>
        </w:tc>
        <w:tc>
          <w:tcPr>
            <w:tcW w:w="2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Product Protection Plans</w:t>
            </w:r>
          </w:p>
        </w:tc>
        <w:tc>
          <w:tcPr>
            <w:tcW w:w="36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Clubs</w:t>
            </w:r>
          </w:p>
        </w:tc>
        <w:tc>
          <w:tcPr>
            <w:tcW w:w="180" w:type="dxa"/>
            <w:vAlign w:val="bottom"/>
          </w:tcPr>
          <w:p>
            <w:pPr>
              <w:spacing w:after="0"/>
              <w:rPr>
                <w:sz w:val="20"/>
                <w:szCs w:val="20"/>
                <w:color w:val="auto"/>
              </w:rPr>
            </w:pP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HMO Memberships</w:t>
            </w: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the year</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94,215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adoption of ASU 2014-09</w:t>
            </w:r>
          </w:p>
        </w:tc>
        <w:tc>
          <w:tcPr>
            <w:tcW w:w="10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the year - As Adjusted</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68,439</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Sold</w:t>
            </w:r>
          </w:p>
        </w:tc>
        <w:tc>
          <w:tcPr>
            <w:tcW w:w="10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108,167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(104,328)</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End of year</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28,775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43,488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72,278</w:t>
            </w:r>
          </w:p>
        </w:tc>
        <w:tc>
          <w:tcPr>
            <w:tcW w:w="0" w:type="dxa"/>
            <w:vAlign w:val="bottom"/>
          </w:tcPr>
          <w:p>
            <w:pPr>
              <w:spacing w:after="0"/>
              <w:rPr>
                <w:sz w:val="1"/>
                <w:szCs w:val="1"/>
                <w:color w:val="auto"/>
              </w:rPr>
            </w:pPr>
          </w:p>
        </w:tc>
      </w:tr>
      <w:tr>
        <w:trPr>
          <w:trHeight w:val="311"/>
        </w:trPr>
        <w:tc>
          <w:tcPr>
            <w:tcW w:w="3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28,775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72,278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00" w:type="dxa"/>
            <w:vAlign w:val="bottom"/>
            <w:gridSpan w:val="7"/>
          </w:tcPr>
          <w:p>
            <w:pPr>
              <w:ind w:left="1000"/>
              <w:spacing w:after="0"/>
              <w:rPr>
                <w:sz w:val="20"/>
                <w:szCs w:val="20"/>
                <w:color w:val="auto"/>
              </w:rPr>
            </w:pPr>
            <w:r>
              <w:rPr>
                <w:rFonts w:ascii="Times New Roman" w:cs="Times New Roman" w:eastAsia="Times New Roman" w:hAnsi="Times New Roman"/>
                <w:sz w:val="18"/>
                <w:szCs w:val="18"/>
                <w:color w:val="auto"/>
              </w:rPr>
              <w:t>Fiscal Year 2017</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Eye Care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vMerge w:val="continue"/>
          </w:tcPr>
          <w:p>
            <w:pPr>
              <w:spacing w:after="0"/>
              <w:rPr>
                <w:sz w:val="20"/>
                <w:szCs w:val="20"/>
                <w:color w:val="auto"/>
              </w:rPr>
            </w:pPr>
          </w:p>
        </w:tc>
        <w:tc>
          <w:tcPr>
            <w:tcW w:w="2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Product Protection Plans</w:t>
            </w:r>
          </w:p>
        </w:tc>
        <w:tc>
          <w:tcPr>
            <w:tcW w:w="36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Clubs</w:t>
            </w:r>
          </w:p>
        </w:tc>
        <w:tc>
          <w:tcPr>
            <w:tcW w:w="180" w:type="dxa"/>
            <w:vAlign w:val="bottom"/>
          </w:tcPr>
          <w:p>
            <w:pPr>
              <w:spacing w:after="0"/>
              <w:rPr>
                <w:sz w:val="20"/>
                <w:szCs w:val="20"/>
                <w:color w:val="auto"/>
              </w:rPr>
            </w:pP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HMO Memberships</w:t>
            </w: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the year</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87,428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Sold</w:t>
            </w:r>
          </w:p>
        </w:tc>
        <w:tc>
          <w:tcPr>
            <w:tcW w:w="10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7,926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108,397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End of year</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26,731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67,430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94,215</w:t>
            </w:r>
          </w:p>
        </w:tc>
        <w:tc>
          <w:tcPr>
            <w:tcW w:w="0" w:type="dxa"/>
            <w:vAlign w:val="bottom"/>
          </w:tcPr>
          <w:p>
            <w:pPr>
              <w:spacing w:after="0"/>
              <w:rPr>
                <w:sz w:val="1"/>
                <w:szCs w:val="1"/>
                <w:color w:val="auto"/>
              </w:rPr>
            </w:pPr>
          </w:p>
        </w:tc>
      </w:tr>
      <w:tr>
        <w:trPr>
          <w:trHeight w:val="311"/>
        </w:trPr>
        <w:tc>
          <w:tcPr>
            <w:tcW w:w="3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26,312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62,993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31,222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26,731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67,430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Deferred revenue recorded as of fiscal year end 2018 is expected to be reflected in future operating results as follows: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52,144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72,278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rental expenses related to operating leases were approximately $89.6 million, $79.2 million and $71.3 million in the fiscal years ended 2018, 2017 and 2016, respectively. Total rental expense includes percentage rent of approximately $5.8 million, $6.1 million and $6.3 million during the fiscal years ended 2018, 2017 and 2016, respectively.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gridSpan w:val="2"/>
          </w:tcPr>
          <w:p>
            <w:pPr>
              <w:ind w:left="390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8"/>
        </w:trPr>
        <w:tc>
          <w:tcPr>
            <w:tcW w:w="9140" w:type="dxa"/>
            <w:vAlign w:val="bottom"/>
            <w:gridSpan w:val="2"/>
          </w:tcPr>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9"/>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fiscal year end 2018, aggregate future minimum rental payments under our operating leases are as follows:</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6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69,372</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63,218</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56,219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49,303</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42,545</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126,388</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407,045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future minimal rental payments above do not include amounts for variable executory costs such as insurance, real estate taxes and common area maintenance. These costs were approximately $18.0 million, $14.9 million and $13.9 million during fiscal years ended 2018, 2017 and 2016,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a multi-year marketing agreement with a term from January 2017 through December 2019, with no renewal provision. As of fiscal year end 2018, $3.3 million of fees remain unpaid over the remaining term of the agreement. Minimum purchase commitments with our trade vendors represent a small portion of our costs applicable to revenue at approximately $8.0 million annually through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Costs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Fiscal Year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6980" w:type="dxa"/>
            <w:vAlign w:val="bottom"/>
            <w:vMerge w:val="continue"/>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year balance</w:t>
            </w:r>
          </w:p>
        </w:tc>
        <w:tc>
          <w:tcPr>
            <w:tcW w:w="1500" w:type="dxa"/>
            <w:vAlign w:val="bottom"/>
            <w:tcBorders>
              <w:bottom w:val="single" w:sz="8" w:color="CCEEFF"/>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obligation</w:t>
            </w:r>
          </w:p>
        </w:tc>
        <w:tc>
          <w:tcPr>
            <w:tcW w:w="15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26,806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paid</w:t>
            </w:r>
          </w:p>
        </w:tc>
        <w:tc>
          <w:tcPr>
            <w:tcW w:w="15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(29,794)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(26,556)</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 of year balance</w:t>
            </w:r>
          </w:p>
        </w:tc>
        <w:tc>
          <w:tcPr>
            <w:tcW w:w="150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into which employees may defer a portion of their wages. We match a portion of such deferred wages. The expense for the plan was $4.2 million, $3.1 million and $2.6 million in the fiscal years ended 2018, 2017 and 2016, respectively. Expense associated with our 401(k) plan is presented in SG&amp;A in the accompanying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29, 2016, FirstSight,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FirstSight participated in arrangements that caused the illegal delivery of eye examinations to the plaintiffs, and that FirstSight thereby violated, among other statutes, the Unfair Competition and False Advertising laws of California. In March 2017, the Court granted a motion to dismiss previously filed by FirstSight. The plaintiffs filed an appeal to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The Company believes that the claims are without merit and intends to continue to vigorously defend the litigation.</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2017, a complaint (the “1-800 Contacts Matter”) was filed against the Company and other defendants alleging, on behalf of a proposed class of consumers who purchased contact lenses online, that 1-800 Contacts, Inc. entered into a series of agreements with the other defendants, including AC Lens, the Company’s subsidiary, to suppress certain online advertising and that each defendant thereby engaged in anticompetitive conduct in violation of the Sherman Antitrust Act. The Company has settled the 1-800 Contacts Matter for $7.0 million, without admitting liability. Accordingly, the Company recorded a charge for this amount in litigation settlement in the accompanying consolidated statement of operations during the second quarter of fiscal year 2017.</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with the terms of the settlement agreement and any further order of the court.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Interest Rate Derivatives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party to three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agreements. During the first quarter of 2018, in accordance with the original agreements with the counterparties, the notional amount of the first derivative decreased from $175 million to $140 million. There were no other changes in the terms of the arrangements. The fixed rates associated with the first derivative (“Derivative 1”) notional amount of $140.0 million and the second derivative (“Derivative 2”) notional amount of $225.0 million were 3.4063% and 3.5125%, respectively. The fixed rate associated with the third derivative (“Derivative 3”) notional amount of $100.0 million was 2.6000%. Derivative 1 will hedge the first amount of LIBOR-based interest payments up to its applicable notional amount and Derivative 2 will hedge the next amount (i.e., the first amount not already hedged by Derivative 1) up to its applicable notional amount. Derivative 3 will hedge interest payments not already hedged by Derivatives 1 and 2.</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cash flows of each derivative are expected to be highly effective in offsetting the changes in interest payments on a principal balance equal to the derivative’s notional amount, attributable to the hedged risk. Our hedges have been deemed effective since inception as a result of our quarterly hedge effectiveness testing.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Payables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AOCL, Net of Tax</w:t>
            </w:r>
          </w:p>
        </w:tc>
        <w:tc>
          <w:tcPr>
            <w:tcW w:w="0" w:type="dxa"/>
            <w:vAlign w:val="bottom"/>
          </w:tcPr>
          <w:p>
            <w:pPr>
              <w:spacing w:after="0"/>
              <w:rPr>
                <w:sz w:val="1"/>
                <w:szCs w:val="1"/>
                <w:color w:val="auto"/>
              </w:rPr>
            </w:pPr>
          </w:p>
        </w:tc>
      </w:tr>
      <w:tr>
        <w:trPr>
          <w:trHeight w:val="68"/>
        </w:trPr>
        <w:tc>
          <w:tcPr>
            <w:tcW w:w="3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w w:val="99"/>
              </w:rPr>
              <w:t>Notional Amount</w:t>
            </w: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Final Maturity Date</w:t>
            </w: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5"/>
                <w:szCs w:val="5"/>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579"/>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As of</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30,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2021</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9,868</w:t>
            </w:r>
          </w:p>
        </w:tc>
        <w:tc>
          <w:tcPr>
            <w:tcW w:w="0" w:type="dxa"/>
            <w:vAlign w:val="bottom"/>
          </w:tcPr>
          <w:p>
            <w:pPr>
              <w:spacing w:after="0"/>
              <w:rPr>
                <w:sz w:val="1"/>
                <w:szCs w:val="1"/>
                <w:color w:val="auto"/>
              </w:rPr>
            </w:pPr>
          </w:p>
        </w:tc>
      </w:tr>
      <w:tr>
        <w:trPr>
          <w:trHeight w:val="225"/>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465,000</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Includes stranded income tax benefit of $2.1 million within AOCL from adopting provisions of the Tax Legislation of 2017 during the year ended December 30, 2017.</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29, 2018, the Company expects to reclassify $2.3 million of AOCL into earnings in the next 12 months. See Note 16. “Accumulated Other Comprehensive Loss” for further detail regarding AOCL.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and vesting of restricted stock units. Potentially dilutive securities are excluded from the computation of diluted EPS if their effect is anti-dilutive. A reconciliation of the numerators and denominators of the basic and diluted EPS calculations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for basic EPS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for diluted EPS</w:t>
            </w: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Anti-dilutive options outstanding excluded from EPS</w:t>
            </w:r>
          </w:p>
        </w:tc>
        <w:tc>
          <w:tcPr>
            <w:tcW w:w="3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54" w:lineRule="exact"/>
        <w:rPr>
          <w:sz w:val="20"/>
          <w:szCs w:val="20"/>
          <w:color w:val="auto"/>
        </w:rPr>
      </w:pPr>
    </w:p>
    <w:p>
      <w:pPr>
        <w:jc w:val="both"/>
        <w:ind w:left="66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primarily feature independent optometrists to perform eye exams and on-site laboratories. Our two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8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 The Company manages the operations of, and supplies inventory and lab processing services to, 227 legacy retail Vision Centers.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for the finished eyeglasses and frames expected to be sold to our legacy partner’s customers. We lease space from our legacy partner within or adjacent to each of the locations we manage and use this space for providing optometric examination services. During fiscal year 2018, sales associated with our legacy partner arrangement represented 10.0% of consolidated net revenue. This exposes us to concentration of customer risk.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for our managed care customers. Revenues associated with managing operations of our legacy partner were $34.7 million, $36.7 million and $38.3 million for fiscal years ended 2018, 2017 and 2016, respectively. Our management &amp; services agreement also allows our legacy partner to collect penalties if the Vision Centers do not generate a requisite amount of revenues. No such penalties have been assessed under our current arrangement.</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operating segments identified above are the business activities of the Company for which discrete financial information is available and for which operating results are regularly reviewed by our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Strategic initiatives and financial objectives for each reportable segment are determined at the corporate level. Each operating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the Corporate/Other segments are attributable to the AC Lens and FirstSight operating segments. AC Lens primarily sells contact lenses and optical accessory products to retail customers through e-commerce. AC Lens also distributes contact lenses to certain Walmart and Sam’s Club under fee for services arrangements. FirstSight sells single service health plans in connection with the operations of America’s Best operations in California, and arranges for the provision of optometric services at the offices next to Walmart and Sam’s Club stores throughout California. None of those segments met the quantitative thresholds for determining reportable segments for any of the periods presented.</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reportable segment profit measure is earnings before interest, tax, depreciation and amortization (“EBITDA”), or net revenue, less costs applicable to revenue, less selling, general and administrative costs. Depreciation and amortization, asset impairment, litigation settlement and other corporate costs that are not allocated to the reportable segments, including interest expense and debt issuance costs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financial data for each of our segments. Reportable segment information is presented on the same basis as our consolidated financial statements, except for net revenue, which is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Fiscal Year 2018</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Legacy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956,355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1,269,612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267,242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1,536,854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280,720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511,406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178,362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202,165</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459,082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186,990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713,571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687,476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256,702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116,490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74,339</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37,283</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Fiscal Year 2017</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20"/>
                <w:szCs w:val="20"/>
                <w:color w:val="auto"/>
              </w:rPr>
            </w:pP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Legacy</w:t>
            </w:r>
          </w:p>
        </w:tc>
        <w:tc>
          <w:tcPr>
            <w:tcW w:w="120" w:type="dxa"/>
            <w:vAlign w:val="bottom"/>
          </w:tcPr>
          <w:p>
            <w:pPr>
              <w:spacing w:after="0"/>
              <w:rPr>
                <w:sz w:val="20"/>
                <w:szCs w:val="20"/>
                <w:color w:val="auto"/>
              </w:rPr>
            </w:pPr>
          </w:p>
        </w:tc>
        <w:tc>
          <w:tcPr>
            <w:tcW w:w="14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847,866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103,887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1,129,313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190,701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49,955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(6,833)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245,995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1,038,567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1,375,308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248,548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159,789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(534)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456,078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153,691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180,888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402,239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64,899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170,362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(534)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636,966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 settlement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232,480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36,238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(138,523)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(8,457)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121,738</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61,974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55,536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Fiscal Year 2016</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20"/>
                <w:szCs w:val="20"/>
                <w:color w:val="auto"/>
              </w:rPr>
            </w:pP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Legacy</w:t>
            </w:r>
          </w:p>
        </w:tc>
        <w:tc>
          <w:tcPr>
            <w:tcW w:w="120" w:type="dxa"/>
            <w:vAlign w:val="bottom"/>
          </w:tcPr>
          <w:p>
            <w:pPr>
              <w:spacing w:after="0"/>
              <w:rPr>
                <w:sz w:val="20"/>
                <w:szCs w:val="20"/>
                <w:color w:val="auto"/>
              </w:rPr>
            </w:pPr>
          </w:p>
        </w:tc>
        <w:tc>
          <w:tcPr>
            <w:tcW w:w="14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730,741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980,953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158,667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215,242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889,408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1,196,195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48,097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131,257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390,369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127,904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154,412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340,112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59,607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146,255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544,781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525,869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203,827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39,678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(113,913)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(12,846)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116,746</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52,677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39,092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24,977</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Consolidated Net Product Revenue Information</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our consolidated net product revenue information: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Fiscal Year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Fiscal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Product Sales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Eyeglasses and sunglasses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851,328</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763,268</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663,253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Contact lenses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410,839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310,322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Accessories and other</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product revenues</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1,269,612</w:t>
            </w: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1,129,313</w:t>
            </w: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980,953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1420"/>
          </w:cols>
          <w:pgMar w:left="240" w:top="121" w:right="239" w:bottom="1440" w:gutter="0" w:footer="0" w:header="0"/>
          <w:type w:val="continuous"/>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Cash flow hedge derivative instruments are recorded in AOCL. Amounts reclassified from AOCL to earnings are included in interest expense, net in the accompanying consolidated statements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AOCL, net of tax during the fiscal years 2018, 2017 and 2016, respectively: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18"/>
                <w:szCs w:val="18"/>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c>
          <w:tcPr>
            <w:tcW w:w="0" w:type="dxa"/>
            <w:vAlign w:val="bottom"/>
          </w:tcPr>
          <w:p>
            <w:pPr>
              <w:spacing w:after="0"/>
              <w:rPr>
                <w:sz w:val="1"/>
                <w:szCs w:val="1"/>
                <w:color w:val="auto"/>
              </w:rPr>
            </w:pPr>
          </w:p>
        </w:tc>
      </w:tr>
      <w:tr>
        <w:trPr>
          <w:trHeight w:val="234"/>
        </w:trPr>
        <w:tc>
          <w:tcPr>
            <w:tcW w:w="54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 hedging activity</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of other comprehensive income (loss) before reclassification</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 reclassified from AOCL</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of amount reclassified from AOCL</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current period other comprehensive income (loss), net of tax</w:t>
            </w:r>
          </w:p>
        </w:tc>
        <w:tc>
          <w:tcPr>
            <w:tcW w:w="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57"/>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fiscal year</w:t>
            </w:r>
          </w:p>
        </w:tc>
        <w:tc>
          <w:tcPr>
            <w:tcW w:w="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4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Quarterly Financial Information (Unaudited)</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quarterly financial information reflects all normal and recurring accruals and adjustments necessary for a fair presentation of net income for interim periods including, the result of the correction of immaterial errors discussed in Note 1. “Business and Significant Accounting Policies.” The corrections were dilutive in all periods either decreasing income or increasing losses. The corrections decreased income (increased loss) from operations by $0.9 million for quarter ended September 29, 2018 and $0.8 million for each of the quarters ended June 30, 2018, March 31, 2018 and December 30, 2017 and $0.7 million for each of the quarters ended September 30, 2017, July 1, 2017 and April 1, 2017. The corrections decreased net income (increased loss) by $0.6 million for each of the quarters ended September 29, 2018, June 30, 2018 and March 31, 2018, and $1.4 million and $0.5 million for quarters ended December 30, 2017 and September 30, 2017, respectively and $0.4 million for each of the quarters ended July 1, 2017 and April 1, 2017. Basic EPS decreased $0.01 for quarters ended September 29, 2018, March 31, 2018 and September 30, 2017, and $0.02 for quarter ended December 30, 2017. Diluted EPS decreased $0.01 for quarters ended September 29, 2018, June 30, 2018, March 31, 2018 and September 30, 2017 and $0.02 for quarter ended December 30, 2017. Quarterly results are not necessarily indicative of a full year’s operations because of various factors. The following tables present unaudited quarterly financial information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Fiscal Year 2018</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Third Quarter</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Second Quarter</w:t>
            </w: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First Quarter</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Ended</w:t>
            </w:r>
          </w:p>
        </w:tc>
        <w:tc>
          <w:tcPr>
            <w:tcW w:w="2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16"/>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2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December 29,</w:t>
            </w:r>
          </w:p>
        </w:tc>
        <w:tc>
          <w:tcPr>
            <w:tcW w:w="2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29,</w:t>
            </w: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June 30,</w:t>
            </w:r>
          </w:p>
        </w:tc>
        <w:tc>
          <w:tcPr>
            <w:tcW w:w="2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March 31,</w:t>
            </w:r>
          </w:p>
        </w:tc>
        <w:tc>
          <w:tcPr>
            <w:tcW w:w="0" w:type="dxa"/>
            <w:vAlign w:val="bottom"/>
          </w:tcPr>
          <w:p>
            <w:pPr>
              <w:spacing w:after="0"/>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407,975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173,470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182,588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177,059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180,454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38,848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basic EPS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74,714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diluted EPS</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77,837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Anti-dilutive options outstanding excluded from EPS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Fiscal Year 2017</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Third Quarter</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Second Quarter</w:t>
            </w: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First Quarter</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Ended</w:t>
            </w:r>
          </w:p>
        </w:tc>
        <w:tc>
          <w:tcPr>
            <w:tcW w:w="2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16"/>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22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December 30,</w:t>
            </w:r>
          </w:p>
        </w:tc>
        <w:tc>
          <w:tcPr>
            <w:tcW w:w="22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July 1,</w:t>
            </w:r>
          </w:p>
        </w:tc>
        <w:tc>
          <w:tcPr>
            <w:tcW w:w="26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April 1,</w:t>
            </w:r>
          </w:p>
        </w:tc>
        <w:tc>
          <w:tcPr>
            <w:tcW w:w="0" w:type="dxa"/>
            <w:vAlign w:val="bottom"/>
          </w:tcPr>
          <w:p>
            <w:pPr>
              <w:spacing w:after="0"/>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369,859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152,393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162,358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156,408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39,022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basic EPS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56,261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diluted EPS</w:t>
            </w: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Anti-dilutive options outstanding excluded from EPS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567"/>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798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98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570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5700" w:type="dxa"/>
            <w:vAlign w:val="bottom"/>
          </w:tcPr>
          <w:p>
            <w:pPr>
              <w:jc w:val="center"/>
              <w:ind w:left="3090"/>
              <w:spacing w:after="0"/>
              <w:rPr>
                <w:sz w:val="20"/>
                <w:szCs w:val="20"/>
                <w:color w:val="auto"/>
              </w:rPr>
            </w:pPr>
            <w:r>
              <w:rPr>
                <w:rFonts w:ascii="Times New Roman" w:cs="Times New Roman" w:eastAsia="Times New Roman" w:hAnsi="Times New Roman"/>
                <w:sz w:val="18"/>
                <w:szCs w:val="18"/>
                <w:i w:val="1"/>
                <w:iCs w:val="1"/>
                <w:color w:val="auto"/>
                <w:w w:val="99"/>
              </w:rPr>
              <w:t>In Thousands, Except Par Value</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0"/>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r>
      <w:tr>
        <w:trPr>
          <w:trHeight w:val="234"/>
        </w:trPr>
        <w:tc>
          <w:tcPr>
            <w:tcW w:w="12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December 29, 2018</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30, 2017</w:t>
            </w: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subsidiary</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745,198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654,548</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745,591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654,852</w:t>
            </w: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745,837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654,875</w:t>
            </w: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0"/>
        </w:trPr>
        <w:tc>
          <w:tcPr>
            <w:tcW w:w="6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Common stock, $0.01 par value; 200,000 shares authorized; 78,246 and 74,654 shares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6"/>
        </w:trPr>
        <w:tc>
          <w:tcPr>
            <w:tcW w:w="6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issued as of December 29, 2018 and December 30, 2017, respectively; 78,167 and 74,654</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shd w:val="clear" w:color="auto" w:fill="CCEEFF"/>
              </w:rPr>
              <w:t>shares outstanding as of December 29, 2018 and December 30, 2017,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631,798</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32,157</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5"/>
        </w:trPr>
        <w:tc>
          <w:tcPr>
            <w:tcW w:w="6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at cost; 79 and 28 shares as of December 29, 2018 and December 30, 2017,</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61"/>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743,154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654,600</w:t>
            </w: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745,837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654,875</w:t>
            </w: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108"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7020" w:type="dxa"/>
            <w:vAlign w:val="bottom"/>
            <w:gridSpan w:val="6"/>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40" w:type="dxa"/>
            <w:vAlign w:val="bottom"/>
            <w:gridSpan w:val="8"/>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7020" w:type="dxa"/>
            <w:vAlign w:val="bottom"/>
            <w:gridSpan w:val="6"/>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 and Comprehensive Income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0"/>
        </w:trPr>
        <w:tc>
          <w:tcPr>
            <w:tcW w:w="1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r>
      <w:tr>
        <w:trPr>
          <w:trHeight w:val="234"/>
        </w:trPr>
        <w:tc>
          <w:tcPr>
            <w:tcW w:w="12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12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applicable to revenue</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r>
      <w:tr>
        <w:trPr>
          <w:trHeight w:val="237"/>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before equity in net income of subsidiaries</w:t>
            </w:r>
          </w:p>
        </w:tc>
        <w:tc>
          <w:tcPr>
            <w:tcW w:w="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of subsidiaries</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13,462</w:t>
            </w:r>
          </w:p>
        </w:tc>
      </w:tr>
      <w:tr>
        <w:trPr>
          <w:trHeight w:val="297"/>
        </w:trPr>
        <w:tc>
          <w:tcPr>
            <w:tcW w:w="5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43,138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r>
      <w:tr>
        <w:trPr>
          <w:trHeight w:val="311"/>
        </w:trPr>
        <w:tc>
          <w:tcPr>
            <w:tcW w:w="128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w:t>
            </w: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provision (benefit) of unrealized gain (loss) on hedge instruments</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57"/>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30,711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47,826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10,071</w:t>
            </w:r>
          </w:p>
        </w:tc>
      </w:tr>
      <w:tr>
        <w:trPr>
          <w:trHeight w:val="20"/>
        </w:trPr>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108"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6920" w:type="dxa"/>
            <w:vAlign w:val="bottom"/>
            <w:gridSpan w:val="6"/>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40" w:type="dxa"/>
            <w:vAlign w:val="bottom"/>
            <w:gridSpan w:val="8"/>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 (Parent Company Only)</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0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36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0"/>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Fiscal Year</w:t>
            </w:r>
          </w:p>
        </w:tc>
      </w:t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2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Dividend from subsidiary</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subsidiary</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7"/>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2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Proceeds from stock option exercises and employee stock purchase plan</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Dividend to stockholders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7"/>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2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108" w:right="2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Registrant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amounts have been revised to correct the effect of immaterial errors related to lease accounting. See further discussion in the “Correction of Errors in Previously Issued Financial Statements” section of Note 1. Business and Significant Accounting Policies” of the accompanying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Guarantees and Restrictions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 2017, the Company declared a recapitalization dividend to its stockholders. The dividend was funded with $175.0 million in new term loans under NVI’s first lien credit agreement.</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in the </w:t>
      </w:r>
      <w:r>
        <w:rPr>
          <w:rFonts w:ascii="Times New Roman" w:cs="Times New Roman" w:eastAsia="Times New Roman" w:hAnsi="Times New Roman"/>
          <w:sz w:val="18"/>
          <w:szCs w:val="18"/>
          <w:i w:val="1"/>
          <w:iCs w:val="1"/>
          <w:color w:val="auto"/>
        </w:rPr>
        <w:t>Initial and Secondary Public Offerings</w:t>
      </w:r>
      <w:r>
        <w:rPr>
          <w:rFonts w:ascii="Times New Roman" w:cs="Times New Roman" w:eastAsia="Times New Roman" w:hAnsi="Times New Roman"/>
          <w:sz w:val="18"/>
          <w:szCs w:val="18"/>
          <w:color w:val="auto"/>
        </w:rPr>
        <w:t xml:space="preserve"> section included in Note 1. “Business and Significant Accounting Policies,” to the NVHI consolidated financial statements, NVI used proceeds from the NVHI IPO to repay all $125.0 million outstanding aggregate amount of its second lien term loans and approximately $235.0 million of the outstanding amount of its First Lien - Term Loan B and accrued and unpaid interest thereon. As of December 29, 2018, NVI had $564.3 million of principal amount of long-term debt outstanding under its first lien credit agreement. Pursuant to the joinder and amendment agreements, as described in Note 4. “Long-term Debt,” to the NVHI consolidated financial statements, the first lien credit agreement also provides for up to $100.0 million in revolving loans (“revolving credit facility”). As of fiscal year end 2018, NVI had no outstanding revolving loan obligations and had $5.5 million in outstanding letters of credit related to the revolving credit facility.</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lien credit agreement contains covenants that, among other things, limit NVI’s ability to incur additional debt, create liens against our assets, make acquisitions, pay dividends or distributions on our stock, merge or consolidate with another entity, and transfer or sell assets. Under the agreement, provided no event of default has occurred and is continuing, NVI is permitted to pay dividends to NVHI with certain restrictions as stated in the credit agreement.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December 29, 2018. Based on that evaluation, the CEO and the CFO have concluded that as a result of the material weakness in our internal control described below, the Company's current disclosure controls and procedures, as of December 29, 2018, were not effective to provide reasonable assurance that information required to be disclosed by the Company in reports that we file or submit under the Exchange Act is recorded, processed, summarized and reported within the time periods specified in SEC rules and forms and is accumulated and communicated to our management, including our CEO and CFO, as appropriate to allow timely decisions regarding required disclosure.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described below, based on the additional analysis and other post-closing procedures performed, management believes the financial statements included in this report are fairly presented, in all material respects, in conformity with accounting principles generally accepted in the United States of America (“U.S.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72" w:lineRule="exact"/>
        <w:rPr>
          <w:sz w:val="20"/>
          <w:szCs w:val="20"/>
          <w:color w:val="auto"/>
        </w:rPr>
      </w:pPr>
    </w:p>
    <w:p>
      <w:pPr>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jc w:val="both"/>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with the participation of our CEO and CFO, has assessed the effectiveness of the Company's internal control over financial reporting as of December 29, 2018 in accordance with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assessment, management believes our internal control over financial reporting as of December 29, 2018 was not effective as a result of the material weakness described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previously identified the following control deficiency that constituted a material weakness in its internal control over financial reporting as of December 30, 2017 (the “Existing Material Weakness”). In part due to errors discovered as a result of the implementation of controls associated with the new lease accounting standard, the Company concluded the following Existing Material Weakness still exists as of December 29, 2018:</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The Company did not design and maintain effective entity level controls to identify and assess changes in our business environment that could significantly impact the system of internal control over financial reporting.</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Deloitte &amp; Touche LLP, has audited our internal control over financial reporting as of December 29, 2018 and issued their attestation report which is set forth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of the Exchange Act) that occurred during the fourth quarter of fiscal year 2018 that have materially affected, or are reasonably likely to materially affect, our internal control over financial reporting, other than as described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Previously Reported Remediated Material Weakness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previously identified the following control deficiency that constituted a material weakness in its internal control over financial reporting as of December 30, 2017. As of December 29, 2018, the following previous material weakness was remediated:</w:t>
      </w:r>
    </w:p>
    <w:p>
      <w:pPr>
        <w:spacing w:after="0" w:line="52"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The Company did not design and maintain effective controls related to the timely detection of damaged, expired or expiring contact lens inventory for purposes of recording inventory at net realizable value.</w:t>
      </w:r>
    </w:p>
    <w:p>
      <w:pPr>
        <w:spacing w:after="0" w:line="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designed, implemented and tested controls to remediate this material weakness, which includes the following new policies, procedures and internal controls:</w:t>
      </w:r>
    </w:p>
    <w:p>
      <w:pPr>
        <w:spacing w:after="0" w:line="54" w:lineRule="exact"/>
        <w:rPr>
          <w:sz w:val="20"/>
          <w:szCs w:val="20"/>
          <w:color w:val="auto"/>
        </w:rPr>
      </w:pPr>
    </w:p>
    <w:p>
      <w:pPr>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to monitor the Company’s compliance with contact lens vendor return policies and estimate the amount of contact lens inventory that will not be returned prior to expiration for purposes of recording inventory at net realizable value.</w:t>
      </w:r>
    </w:p>
    <w:p>
      <w:pPr>
        <w:ind w:left="660" w:right="2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review of inventory turnover at the stock keeping unit (SKU) level in order to identify factors that may affect the net realizable value of unique inventory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Material Weakness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Although the Existing Material Weakness described above was not remediated as of December 29, 2018, we have designed, implemented and tested the following controls associated with this Existing Material Weakness:</w:t>
      </w:r>
    </w:p>
    <w:p>
      <w:pPr>
        <w:spacing w:after="0" w:line="54" w:lineRule="exact"/>
        <w:rPr>
          <w:sz w:val="20"/>
          <w:szCs w:val="20"/>
          <w:color w:val="auto"/>
        </w:rPr>
      </w:pPr>
    </w:p>
    <w:p>
      <w:pPr>
        <w:ind w:left="660" w:right="2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periodic meeting of senior leaders from key business groups, including operations and finance, for purposes of identifying and assessing changes in our business environment that could significantly impact the system of internal control over financial reporting.</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control to incorporate those changes into our risk assessment and control activities.</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disclosure committee, consisting of certain key members of management, to assist in formalizing our disclosure, risk assessment, internal controls and procedures.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we have added additional technical resources to enhance our overall control environment and continue to assess the adequacy of these changes in the context of remediating this Existing Material Weakness.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ASC 842, Leases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29, 2018, we modified our internal controls over financial reporting related to the accounting for leases as a result of the pending adoption of ASU 2016-02. Specifically, we enhanced our controls to take into account risks associated with accounting for leases pursuant to ASC</w:t>
      </w: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designed and implemented controls that address risks associated with accounting for lease assets and liabilities and the related income and expense.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National Vision Holdings, Inc. and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National Vision Holdings, Inc. and subsidiaries (the “Company”) as of December 29,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29, 2018,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COSO.</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consolidated financial statements as of and for the year ended December 29, 2018, of the Company and our report dated February 26, 2019, expressed an unqualified opinion on those financial statements and included an explanatory paragraph regarding the Company’s adoption of Accounting Standards Update No. 2014-09, </w:t>
      </w:r>
      <w:r>
        <w:rPr>
          <w:rFonts w:ascii="Times New Roman" w:cs="Times New Roman" w:eastAsia="Times New Roman" w:hAnsi="Times New Roman"/>
          <w:sz w:val="18"/>
          <w:szCs w:val="18"/>
          <w:i w:val="1"/>
          <w:iCs w:val="1"/>
          <w:color w:val="auto"/>
        </w:rPr>
        <w:t>Revenue from Contracts with Customers.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design and maintain effective entity level controls to identify and assess changes in its business environment that could significantly impact the system of internal control over financial reporting. This material weakness was considered in determining the nature, timing, and extent of audit tests applied in our audit of the consolidated financial statements as of and for the year ended December 29, 2018, of the Company, and this report does not affect our report on such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as of February 27, 2019.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Age</w:t>
            </w: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Position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 Reade Fahs</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Patrick R. Moore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Jared Brandman</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Vaught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Chris Beasley</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Vice President, Accounting, and Controller</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Jeff Busbee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bl>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 Reade Fahs </w:t>
      </w:r>
      <w:r>
        <w:rPr>
          <w:rFonts w:ascii="Times New Roman" w:cs="Times New Roman" w:eastAsia="Times New Roman" w:hAnsi="Times New Roman"/>
          <w:sz w:val="18"/>
          <w:szCs w:val="18"/>
          <w:color w:val="auto"/>
        </w:rPr>
        <w:t>has served as the Chief Executive Officer of NVI since January 2003, having joined NVI in April 2002 as the President and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R. Moore </w:t>
      </w:r>
      <w:r>
        <w:rPr>
          <w:rFonts w:ascii="Times New Roman" w:cs="Times New Roman" w:eastAsia="Times New Roman" w:hAnsi="Times New Roman"/>
          <w:sz w:val="18"/>
          <w:szCs w:val="18"/>
          <w:color w:val="auto"/>
        </w:rPr>
        <w:t>has served as the Senior Vice President, Chief Financial Officer of NVI since September 2014, and was appointed the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in Mechanical Engineering, as well as an MBA from the University of Alabama. Mr. Moore also attended the Stanford Executive program in 2002.</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Jared Brandman </w:t>
      </w:r>
      <w:r>
        <w:rPr>
          <w:rFonts w:ascii="Times New Roman" w:cs="Times New Roman" w:eastAsia="Times New Roman" w:hAnsi="Times New Roman"/>
          <w:sz w:val="18"/>
          <w:szCs w:val="18"/>
          <w:color w:val="auto"/>
        </w:rPr>
        <w:t>has served as the Senior Vice President, General Counsel and Secretary of NVI since February 2019. Mr. Brandman joined the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as Vice President, Assistant General Counsel and Assistant Secretary. Prior to joining the Company, Mr. Brandman was Securities Counsel for The Coca-Cola Company from 2010 to 2017. Mr. Brandman holds a B.A. degree in organizational studies from the University of Michigan and a J.D. degree from Emory University School of Law.</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Vaught </w:t>
      </w:r>
      <w:r>
        <w:rPr>
          <w:rFonts w:ascii="Times New Roman" w:cs="Times New Roman" w:eastAsia="Times New Roman" w:hAnsi="Times New Roman"/>
          <w:sz w:val="18"/>
          <w:szCs w:val="18"/>
          <w:color w:val="auto"/>
        </w:rPr>
        <w:t>has served as the Senior Vice President, Chief Information Officer of NVI since joining National Vision in 2005, and was appointed the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Chief Information Officer of National Vision Holdings, Inc. in June 2017. Mr. Vaught has been involved in all acquisition integrations and growth at National Vision beginning with the acquisition of America’s Best in 2005. Mr. Vaught has 45 years of retail and manufacturing information technology experience, and has held technical and IT management positions at Revco Drug Stores (CVS), Invacare, and Office Depot.</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 Beasley </w:t>
      </w:r>
      <w:r>
        <w:rPr>
          <w:rFonts w:ascii="Times New Roman" w:cs="Times New Roman" w:eastAsia="Times New Roman" w:hAnsi="Times New Roman"/>
          <w:sz w:val="18"/>
          <w:szCs w:val="18"/>
          <w:color w:val="auto"/>
        </w:rPr>
        <w:t>has served as the Senior Vice President, Accounting of NVI since July 2015 and as the Controller since May 2017, and was appointed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Accounting of National Vision Holdings, Inc. in April 2016 and as the Controller in May 2017. Prior to joining NVI, Mr. Beasley served as Chief Financial Officer of Sierra-Cedar Holdings Inc., a private equity owned information technology consulting company, from July 2014 to July 2015. Prior to that role, Mr. Beasley served as Sierra-Cedar’s Global Controller and Vice President of Finance from January 2012 to July 2014. Prior to joining Sierra-Cedar, Mr. Beasley served as Corporate Controller at Eclipsys Corporation and Director of Financial Reporting for BellSouth Corporation (now AT&amp;T). Mr. Beasley began his career with PricewaterhouseCoopers as an audit manager. Mr. Beasley holds a B.B.A. in Accounting from the University of Georgia and is a Certified Public Accountant.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121" w:right="23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 Busbee </w:t>
      </w:r>
      <w:r>
        <w:rPr>
          <w:rFonts w:ascii="Times New Roman" w:cs="Times New Roman" w:eastAsia="Times New Roman" w:hAnsi="Times New Roman"/>
          <w:sz w:val="18"/>
          <w:szCs w:val="18"/>
          <w:color w:val="auto"/>
        </w:rPr>
        <w:t>has served as the Senior Vice President, Chief Human Resources Officer of NVI since January 2010, and was appointed the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Human Resources Officer of National Vision Holdings, Inc. in June 2017. Mr. Busbee joined NVI in November 1995 as Director, Human Resources. Prior to joining NVI, Mr. Busbee held various positions at General Motors Company, Hitachi, Ltd., Delta Airlines and the Coca Cola Export Corporation, Belgium. Mr. Busbee holds a B.B.A degree in Management from Georgia State University.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additional information required by this item will be included in our definitive proxy statement for the 2019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2019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2019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2019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2019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121"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0540" w:type="dxa"/>
            <w:vAlign w:val="bottom"/>
            <w:gridSpan w:val="1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0"/>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26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105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5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94"/>
        </w:trPr>
        <w:tc>
          <w:tcPr>
            <w:tcW w:w="60" w:type="dxa"/>
            <w:vAlign w:val="bottom"/>
          </w:tcPr>
          <w:p>
            <w:pPr>
              <w:spacing w:after="0"/>
              <w:rPr>
                <w:sz w:val="24"/>
                <w:szCs w:val="24"/>
                <w:color w:val="auto"/>
              </w:rPr>
            </w:pPr>
          </w:p>
        </w:tc>
        <w:tc>
          <w:tcPr>
            <w:tcW w:w="10480" w:type="dxa"/>
            <w:vAlign w:val="bottom"/>
            <w:gridSpan w:val="11"/>
          </w:tcPr>
          <w:p>
            <w:pPr>
              <w:ind w:left="80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54"/>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60" w:type="dxa"/>
            <w:vAlign w:val="bottom"/>
            <w:gridSpan w:val="9"/>
          </w:tcPr>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following consolidated financial information included herein, see Part II. Item 8.on Page </w:t>
            </w:r>
            <w:hyperlink w:anchor="page73">
              <w:r>
                <w:rPr>
                  <w:rFonts w:ascii="Times New Roman" w:cs="Times New Roman" w:eastAsia="Times New Roman" w:hAnsi="Times New Roman"/>
                  <w:sz w:val="18"/>
                  <w:szCs w:val="18"/>
                  <w:color w:val="0000EE"/>
                </w:rPr>
                <w:t>73</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15"/>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480" w:type="dxa"/>
            <w:vAlign w:val="bottom"/>
            <w:gridSpan w:val="11"/>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Balance Sheets as of December 29, 2018 and December 30, 2017</w:t>
              </w:r>
            </w:hyperlink>
          </w:p>
        </w:tc>
        <w:tc>
          <w:tcPr>
            <w:tcW w:w="820" w:type="dxa"/>
            <w:vAlign w:val="bottom"/>
            <w:gridSpan w:val="3"/>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75</w:t>
              </w:r>
            </w:hyperlink>
          </w:p>
        </w:tc>
      </w:tr>
      <w:tr>
        <w:trPr>
          <w:trHeight w:val="20"/>
        </w:trPr>
        <w:tc>
          <w:tcPr>
            <w:tcW w:w="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Consolidated Statements of Operations and Comprehensive income for the fiscal years ended December 29, 2018, December 30, 2017 and</w:t>
              </w:r>
            </w:hyperlink>
          </w:p>
        </w:tc>
        <w:tc>
          <w:tcPr>
            <w:tcW w:w="48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December 31, 2016</w:t>
              </w:r>
            </w:hyperlink>
          </w:p>
        </w:tc>
        <w:tc>
          <w:tcPr>
            <w:tcW w:w="9060" w:type="dxa"/>
            <w:vAlign w:val="bottom"/>
            <w:gridSpan w:val="9"/>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75</w:t>
              </w:r>
            </w:hyperlink>
          </w:p>
        </w:tc>
      </w:tr>
      <w:tr>
        <w:trPr>
          <w:trHeight w:val="250"/>
        </w:trPr>
        <w:tc>
          <w:tcPr>
            <w:tcW w:w="60" w:type="dxa"/>
            <w:vAlign w:val="bottom"/>
          </w:tcPr>
          <w:p>
            <w:pPr>
              <w:spacing w:after="0"/>
              <w:rPr>
                <w:sz w:val="21"/>
                <w:szCs w:val="21"/>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Consolidated Statements of Stockholders’ Equity for the fiscal years ended December 29, 2018, December 30, 2017 and December 31, 2016</w:t>
              </w:r>
            </w:hyperlink>
          </w:p>
        </w:tc>
        <w:tc>
          <w:tcPr>
            <w:tcW w:w="34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7">
              <w:r>
                <w:rPr>
                  <w:rFonts w:ascii="Times New Roman" w:cs="Times New Roman" w:eastAsia="Times New Roman" w:hAnsi="Times New Roman"/>
                  <w:sz w:val="18"/>
                  <w:szCs w:val="18"/>
                  <w:color w:val="0000EE"/>
                  <w:w w:val="88"/>
                </w:rPr>
                <w:t>76</w:t>
              </w:r>
            </w:hyperlink>
          </w:p>
        </w:tc>
      </w:tr>
      <w:tr>
        <w:trPr>
          <w:trHeight w:val="250"/>
        </w:trPr>
        <w:tc>
          <w:tcPr>
            <w:tcW w:w="60" w:type="dxa"/>
            <w:vAlign w:val="bottom"/>
          </w:tcPr>
          <w:p>
            <w:pPr>
              <w:spacing w:after="0"/>
              <w:rPr>
                <w:sz w:val="21"/>
                <w:szCs w:val="21"/>
                <w:color w:val="auto"/>
              </w:rPr>
            </w:pPr>
          </w:p>
        </w:tc>
        <w:tc>
          <w:tcPr>
            <w:tcW w:w="94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Consolidated Statements of Cash Flows for the fiscal years ended December 29, 2018, December 30, 2017 and December 31, 2016</w:t>
              </w:r>
            </w:hyperlink>
          </w:p>
        </w:tc>
        <w:tc>
          <w:tcPr>
            <w:tcW w:w="1020" w:type="dxa"/>
            <w:vAlign w:val="bottom"/>
            <w:gridSpan w:val="3"/>
          </w:tcPr>
          <w:p>
            <w:pPr>
              <w:spacing w:after="0"/>
              <w:rPr>
                <w:sz w:val="21"/>
                <w:szCs w:val="21"/>
                <w:color w:val="auto"/>
              </w:rPr>
            </w:pPr>
          </w:p>
        </w:tc>
        <w:tc>
          <w:tcPr>
            <w:tcW w:w="64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8">
              <w:r>
                <w:rPr>
                  <w:rFonts w:ascii="Times New Roman" w:cs="Times New Roman" w:eastAsia="Times New Roman" w:hAnsi="Times New Roman"/>
                  <w:sz w:val="18"/>
                  <w:szCs w:val="18"/>
                  <w:color w:val="0000EE"/>
                  <w:w w:val="88"/>
                </w:rPr>
                <w:t>77</w:t>
              </w:r>
            </w:hyperlink>
          </w:p>
        </w:tc>
      </w:tr>
      <w:tr>
        <w:trPr>
          <w:trHeight w:val="250"/>
        </w:trPr>
        <w:tc>
          <w:tcPr>
            <w:tcW w:w="60" w:type="dxa"/>
            <w:vAlign w:val="bottom"/>
          </w:tcPr>
          <w:p>
            <w:pPr>
              <w:spacing w:after="0"/>
              <w:rPr>
                <w:sz w:val="21"/>
                <w:szCs w:val="21"/>
                <w:color w:val="auto"/>
              </w:rPr>
            </w:pPr>
          </w:p>
        </w:tc>
        <w:tc>
          <w:tcPr>
            <w:tcW w:w="32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Notes to Consolidated Financial Statements</w:t>
              </w:r>
            </w:hyperlink>
          </w:p>
        </w:tc>
        <w:tc>
          <w:tcPr>
            <w:tcW w:w="7280" w:type="dxa"/>
            <w:vAlign w:val="bottom"/>
            <w:gridSpan w:val="8"/>
          </w:tcPr>
          <w:p>
            <w:pPr>
              <w:spacing w:after="0"/>
              <w:rPr>
                <w:sz w:val="21"/>
                <w:szCs w:val="21"/>
                <w:color w:val="auto"/>
              </w:rPr>
            </w:pPr>
          </w:p>
        </w:tc>
        <w:tc>
          <w:tcPr>
            <w:tcW w:w="64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0">
              <w:r>
                <w:rPr>
                  <w:rFonts w:ascii="Times New Roman" w:cs="Times New Roman" w:eastAsia="Times New Roman" w:hAnsi="Times New Roman"/>
                  <w:sz w:val="18"/>
                  <w:szCs w:val="18"/>
                  <w:color w:val="0000EE"/>
                  <w:w w:val="88"/>
                </w:rPr>
                <w:t>78</w:t>
              </w:r>
            </w:hyperlink>
          </w:p>
        </w:tc>
      </w:tr>
      <w:tr>
        <w:trPr>
          <w:trHeight w:val="250"/>
        </w:trPr>
        <w:tc>
          <w:tcPr>
            <w:tcW w:w="60" w:type="dxa"/>
            <w:vAlign w:val="bottom"/>
          </w:tcPr>
          <w:p>
            <w:pPr>
              <w:spacing w:after="0"/>
              <w:rPr>
                <w:sz w:val="21"/>
                <w:szCs w:val="21"/>
                <w:color w:val="auto"/>
              </w:rPr>
            </w:pPr>
          </w:p>
        </w:tc>
        <w:tc>
          <w:tcPr>
            <w:tcW w:w="44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Schedule I – Condensed Financial Information of Registrant</w:t>
              </w:r>
            </w:hyperlink>
          </w:p>
        </w:tc>
        <w:tc>
          <w:tcPr>
            <w:tcW w:w="6080" w:type="dxa"/>
            <w:vAlign w:val="bottom"/>
            <w:gridSpan w:val="7"/>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14">
              <w:r>
                <w:rPr>
                  <w:rFonts w:ascii="Times New Roman" w:cs="Times New Roman" w:eastAsia="Times New Roman" w:hAnsi="Times New Roman"/>
                  <w:sz w:val="18"/>
                  <w:szCs w:val="18"/>
                  <w:color w:val="0000EE"/>
                  <w:w w:val="88"/>
                </w:rPr>
                <w:t>111</w:t>
              </w:r>
            </w:hyperlink>
          </w:p>
        </w:tc>
      </w:tr>
    </w:tbl>
    <w:p>
      <w:pPr>
        <w:spacing w:after="0" w:line="3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Financial statement Schedule I as filed in Part II. Item 8. of this Form 10-K:</w:t>
      </w:r>
    </w:p>
    <w:p>
      <w:pPr>
        <w:spacing w:after="0" w:line="38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Schedule I - Condensed financial information of the Registrant</w:t>
      </w:r>
    </w:p>
    <w:p>
      <w:pPr>
        <w:spacing w:after="0" w:line="63" w:lineRule="exact"/>
        <w:rPr>
          <w:sz w:val="20"/>
          <w:szCs w:val="20"/>
          <w:color w:val="auto"/>
        </w:rPr>
      </w:pPr>
    </w:p>
    <w:p>
      <w:pPr>
        <w:ind w:left="1540" w:right="1220"/>
        <w:spacing w:after="0" w:line="266" w:lineRule="auto"/>
        <w:rPr>
          <w:sz w:val="20"/>
          <w:szCs w:val="20"/>
          <w:color w:val="auto"/>
        </w:rPr>
      </w:pPr>
      <w:r>
        <w:rPr>
          <w:rFonts w:ascii="Times New Roman" w:cs="Times New Roman" w:eastAsia="Times New Roman" w:hAnsi="Times New Roman"/>
          <w:sz w:val="18"/>
          <w:szCs w:val="18"/>
          <w:color w:val="auto"/>
        </w:rPr>
        <w:t>All other financial schedules have been omitted because the required information is not presented in amounts sufficient to require submission of the schedule, or because the information required is included in the Consolidated Financial Statements, including notes thereto.</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60"/>
          </w:cols>
          <w:pgMar w:left="240" w:top="108" w:right="2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840" w:type="dxa"/>
            <w:vAlign w:val="bottom"/>
            <w:gridSpan w:val="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439"/>
        </w:trPr>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15"/>
        </w:trPr>
        <w:tc>
          <w:tcPr>
            <w:tcW w:w="18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196"/>
        </w:trPr>
        <w:tc>
          <w:tcPr>
            <w:tcW w:w="340" w:type="dxa"/>
            <w:vAlign w:val="bottom"/>
            <w:gridSpan w:val="3"/>
          </w:tcPr>
          <w:p>
            <w:pPr>
              <w:ind w:left="40"/>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Second Amended and Restated Certificate of Incorporation of National Vision Holdings, Inc. -incorporated herein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3.1 to the Company’s Current Report on Form 8-K filed on October 31, 2017</w:t>
            </w:r>
          </w:p>
        </w:tc>
      </w:tr>
      <w:tr>
        <w:trPr>
          <w:trHeight w:val="230"/>
        </w:trPr>
        <w:tc>
          <w:tcPr>
            <w:tcW w:w="340" w:type="dxa"/>
            <w:vAlign w:val="bottom"/>
            <w:gridSpan w:val="3"/>
          </w:tcPr>
          <w:p>
            <w:pPr>
              <w:ind w:left="40"/>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Second Amended and Restated Bylaws of National Vision Holdings, Inc. -incorporated herein by reference to Exhibit 3.2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Company’s Current Report on Form 8-K filed on October 31, 2017</w:t>
            </w:r>
          </w:p>
        </w:tc>
      </w:tr>
      <w:tr>
        <w:trPr>
          <w:trHeight w:val="230"/>
        </w:trPr>
        <w:tc>
          <w:tcPr>
            <w:tcW w:w="340" w:type="dxa"/>
            <w:vAlign w:val="bottom"/>
            <w:gridSpan w:val="3"/>
          </w:tcPr>
          <w:p>
            <w:pPr>
              <w:ind w:left="40"/>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Amended and Restated Stockholders’ Agreement, dated as of October 30, 2017, by and among National Vision Holdings, Inc. and</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stockholders party thereto -incorporated herein by reference to Exhibit 4.1 to the Company’s Current Report on Form 8-K filed</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on October 31, 2017</w:t>
            </w:r>
          </w:p>
        </w:tc>
      </w:tr>
      <w:tr>
        <w:trPr>
          <w:trHeight w:val="230"/>
        </w:trPr>
        <w:tc>
          <w:tcPr>
            <w:tcW w:w="340" w:type="dxa"/>
            <w:vAlign w:val="bottom"/>
            <w:gridSpan w:val="3"/>
          </w:tcPr>
          <w:p>
            <w:pPr>
              <w:ind w:left="40"/>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dated as of March 13, 2014, by and among National Vision Holdings, Inc. (formerly known as</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Nautilus Parent, Inc.) and the stockholders party thereto - incorporated herein by reference to Exhibit 4.2 to the Company’s Form S-</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 Registration Statement filed on September 29, 2017</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Amended and Restated Stockholders’ Agreement by and among National Vision Holdings, Inc. and the stockholders party thereto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 to Exhibit 4.1 to the Company’s Current Report on Form 8-K filed on October 31, 2017</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Monitoring Agreement, dated as of March 13, 2014, by and among National Vision, Inc., Kohlberg Kravis Roberts &amp; Co. L.P. and</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Berkshire Partners LLC - incorporated herein by reference to Exhibit 10.2 to the Company’s Amendment No. 2 to Form S-1</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Registration Statement filed on October 16, 2017</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First Lien Credit Agreement, dated as of March 13, 2014, among Nautilus Acquisition Holdings, Inc., Nautilus Merger Sub, Inc.,</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Vision Holdings Corp. and National Vision, Inc., Goldman Sachs Bank USA, as administrative agent, collateral agent, swingline</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lender and a lender, Morgan Stanley Bank N.A., as the letter of credit issuer, Goldman Sachs Bank USA, Morgan Stanley Senior</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Funding, Inc., Citigroup Global Markets Inc., Mizuho Bank, Ltd., KKR Capital Markets LLC, Barclays Bank PLC, and Macquarie</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Capital (USA) Inc., as joint lead arrangers and bookrunners, and the several lenders from time to time parties thereto - incorporated</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herein by reference to Exhibit 10.3 to the Company’s Form S-1 Registration Statement filed on September 29, 2017</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Joinder and Amendment Agreement, dated as of May 29, 2015, among KKR Corporate Lending LLC, National Vision, Inc., as</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borrower, the guarantors party thereto and Goldman Sachs Bank USA, as administrative agent and collateral agent - incorporated</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herein by reference to Exhibit 10.4 to the Company’s Form S-1 Registration Statement filed on September 29, 2017</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Joinder Agreement, dated as of February 3, 2017, among KKR Corporate Lending LLC, National Vision, Inc., as borrower, the</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guarantors party thereto and Goldman Sachs Bank USA, as administrative agent and collateral agent - incorporated herein by</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reference to Exhibit 10.5 to the Company’s Form S-1 Registration Statement filed on September 29, 2017</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Joinder and Amendment Agreement, dated as of October 31, 2017, among National Vision, Inc., as borrower, the guarantors party</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thereto, each revolving credit lender, Goldman Sachs Bank USA, as administrative agent, collateral agent, swingline lender and a</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letter of credit issuer, Bank of America, N.A., as a letter of credit issuer, and Citibank, N.A., as a letter of credit issuer -</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 to Exhibit 10.1 to the Company’s Current Report on Form 8-K filed on October 31, 2017</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Joinder and Amendment Agreement, dated as of November 20, 2017, among National Vision, Inc., as borrower, the guarantors</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party thereto, each lender party thereto, Goldman Sachs Bank USA, as administrative agent and collateral agent-incorporated herein</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by reference to Exhibit 10.5 to the Company’s Current Report on Form 8-K filed on November 20, 2017</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Joinder and Amendment Agreement, dated as of October 9, 2018, including as Annex A thereto, the First Lien Credit Agreement,</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dated as of March 13, 2014, as amended by the Joinder and Amendment Agreement dated as of May 29, 2015, Joinder Agreement</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dated as of February 3, 2017, Joinder and Amendment Agreement dated as of October 31, 2017 and Joinder and Amendment</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Agreement dated as of November 20, 2017, among Nautilus Acquisition Holdings, Inc., Nautilus Merger Sub, Inc., Vision Holdings</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Corp., National Vision, Inc., Goldman Sachs Bank USA, as administrative agent and collateral agent, Morgan Stanley Bank, N.A.,</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 the letter of credit issuer, and the lenders from time to time party thereto and the other parties thereto - incorporated by reference</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 Exhibit 10.1 filed to the Company’s Current Report on Form 8-K filed on October 9, 2018</w:t>
            </w:r>
          </w:p>
        </w:tc>
      </w:tr>
      <w:tr>
        <w:trPr>
          <w:trHeight w:val="230"/>
        </w:trPr>
        <w:tc>
          <w:tcPr>
            <w:tcW w:w="1280" w:type="dxa"/>
            <w:vAlign w:val="bottom"/>
            <w:gridSpan w:val="4"/>
          </w:tcPr>
          <w:p>
            <w:pPr>
              <w:ind w:left="40"/>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First Lien Guarantee, dated as of March 13, 2014, by the guarantors party thereto - - incorporated herein by reference to Exhibit</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10.6 to the Company’s Form S-1 Registration Statement filed on September 29, 2017</w:t>
            </w:r>
          </w:p>
        </w:tc>
      </w:tr>
      <w:tr>
        <w:trPr>
          <w:trHeight w:val="486"/>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122</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800" w:type="dxa"/>
            <w:vAlign w:val="bottom"/>
          </w:tcPr>
          <w:p>
            <w:pPr>
              <w:spacing w:after="0"/>
              <w:rPr>
                <w:sz w:val="17"/>
                <w:szCs w:val="17"/>
                <w:color w:val="auto"/>
              </w:rPr>
            </w:pPr>
          </w:p>
        </w:tc>
      </w:tr>
      <w:tr>
        <w:trPr>
          <w:trHeight w:val="601"/>
        </w:trPr>
        <w:tc>
          <w:tcPr>
            <w:tcW w:w="480" w:type="dxa"/>
            <w:vAlign w:val="bottom"/>
            <w:tcBorders>
              <w:top w:val="single" w:sz="8" w:color="0000EE"/>
            </w:tcBorders>
            <w:gridSpan w:val="3"/>
          </w:tcPr>
          <w:p>
            <w:pPr>
              <w:ind w:left="40"/>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Lien Security Agreement, dated as of March 13, 2014, among Nautilus Acquisition Holdings, Inc., Nautilus Merger Sub, Inc.,</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Vision Holdings Corp., National Vision, Inc., subsidiary grantors party thereto, Goldman Sachs Bank USA, as collateral agent - -</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 to Exhibit 10.7 to the Company’s Form S-1 Registration Statement filed on September 29, 2017</w:t>
            </w:r>
          </w:p>
        </w:tc>
      </w:tr>
      <w:tr>
        <w:trPr>
          <w:trHeight w:val="230"/>
        </w:trPr>
        <w:tc>
          <w:tcPr>
            <w:tcW w:w="440" w:type="dxa"/>
            <w:vAlign w:val="bottom"/>
            <w:gridSpan w:val="2"/>
          </w:tcPr>
          <w:p>
            <w:pPr>
              <w:ind w:left="40"/>
              <w:spacing w:after="0"/>
              <w:rPr>
                <w:rFonts w:ascii="Times New Roman" w:cs="Times New Roman" w:eastAsia="Times New Roman" w:hAnsi="Times New Roman"/>
                <w:sz w:val="18"/>
                <w:szCs w:val="18"/>
                <w:color w:val="0000FF"/>
                <w:w w:val="93"/>
              </w:rPr>
            </w:pPr>
            <w:hyperlink r:id="rId4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Lien Pledge Agreement, dated as of March 13, 2014, among Nautilus Acquisition Holdings, Inc., Nautilus Merger Sub, Inc.,</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Vision Holdings Corp., National Vision, Inc. subsidiary pledgors party thereto, Goldman Sachs Bank USA, as collateral agent -</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 to Exhibit 10.8 to the Company’s Form S-1 Registration Statement filed on September 29, 2017</w:t>
            </w:r>
          </w:p>
        </w:tc>
      </w:tr>
      <w:tr>
        <w:trPr>
          <w:trHeight w:val="230"/>
        </w:trPr>
        <w:tc>
          <w:tcPr>
            <w:tcW w:w="480" w:type="dxa"/>
            <w:vAlign w:val="bottom"/>
            <w:gridSpan w:val="3"/>
          </w:tcPr>
          <w:p>
            <w:pPr>
              <w:ind w:left="40"/>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Second Lien Credit Agreement, dated as of March 13, 2014, among Nautilus Acquisition Holdings, Inc., Nautilus Merger Sub, Inc.,</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Vision Holdings Corp. and National Vision, Inc., Morgan Stanley Senior Funding, Inc., as administrative agent and collateral agent,</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Goldman Sachs Bank USA, Morgan Stanley Senior Funding, Inc., Citigroup Global Markets Inc., Mizuho Bank, Ltd., KKR</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Markets LLC, Barclays Bank PLC, and Macquarie Capital (USA) Inc., as joint lead arrangers and bookrunners, and the</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several lenders from time to time parties thereto - incorporated herein by reference to Exhibit 10.9 to the Company’s Form S-1</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r>
      <w:tr>
        <w:trPr>
          <w:trHeight w:val="230"/>
        </w:trPr>
        <w:tc>
          <w:tcPr>
            <w:tcW w:w="480" w:type="dxa"/>
            <w:vAlign w:val="bottom"/>
            <w:gridSpan w:val="3"/>
          </w:tcPr>
          <w:p>
            <w:pPr>
              <w:ind w:left="40"/>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 Lien Guarantee, dated as of March 13, 2014, by the guarantors party thereto - incorporated herein by reference to Exhibit</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10.10 to the Company’s Form S-1 Registration Statement filed on September 29, 2017</w:t>
            </w:r>
          </w:p>
        </w:tc>
      </w:tr>
      <w:tr>
        <w:trPr>
          <w:trHeight w:val="230"/>
        </w:trPr>
        <w:tc>
          <w:tcPr>
            <w:tcW w:w="480" w:type="dxa"/>
            <w:vAlign w:val="bottom"/>
            <w:gridSpan w:val="3"/>
          </w:tcPr>
          <w:p>
            <w:pPr>
              <w:ind w:left="4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 Lien Security Agreement, dated as of March 13, 2014, among Nautilus Acquisition Holdings, Inc., Nautilus Merger Sub,</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 Vision Holdings Corp., National Vision, Inc., subsidiary grantors party thereto, Morgan Stanley Senior Funding, Inc., as</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collateral agent - incorporated herein by reference to Exhibit 10.11 to the Company’s Form S-1 Registration Statement filed on</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September 29, 2017</w:t>
            </w:r>
          </w:p>
        </w:tc>
      </w:tr>
      <w:tr>
        <w:trPr>
          <w:trHeight w:val="230"/>
        </w:trPr>
        <w:tc>
          <w:tcPr>
            <w:tcW w:w="480" w:type="dxa"/>
            <w:vAlign w:val="bottom"/>
            <w:gridSpan w:val="3"/>
          </w:tcPr>
          <w:p>
            <w:pPr>
              <w:ind w:left="4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 Lien Pledge Agreement, dated as of March 13, 2014, among Nautilus Acquisition Holdings, Inc., Nautilus Merger Sub,</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 Vision Holdings Corp., National Vision, Inc., subsidiary pledgors party thereto, Morgan Stanley Senior Funding, Inc., as</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collateral agent - incorporated herein by reference to Exhibit 10.12 to the Company’s Form S-1 Registration Statement filed on</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September 29, 2017</w:t>
            </w:r>
          </w:p>
        </w:tc>
      </w:tr>
      <w:tr>
        <w:trPr>
          <w:trHeight w:val="230"/>
        </w:trPr>
        <w:tc>
          <w:tcPr>
            <w:tcW w:w="480" w:type="dxa"/>
            <w:vAlign w:val="bottom"/>
            <w:gridSpan w:val="3"/>
          </w:tcPr>
          <w:p>
            <w:pPr>
              <w:ind w:left="4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 Lien/Second Lien Intercreditor Agreement, dated as of March 13, 2014, among Nautilus Acquisition Holdings, Inc., Nautilus</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Merger Sub, Inc., other grantors party thereto, Goldman Sachs Bank USA, Morgan Stanley Senior Funding, Inc. and each</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additional representative from time to time party thereto - incorporated herein by reference to Exhibit 10.13 to the Company’s Form</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S-1 Registration Statement filed on September 29, 2017</w:t>
            </w:r>
          </w:p>
        </w:tc>
      </w:tr>
      <w:tr>
        <w:trPr>
          <w:trHeight w:val="216"/>
        </w:trPr>
        <w:tc>
          <w:tcPr>
            <w:tcW w:w="1580" w:type="dxa"/>
            <w:vAlign w:val="bottom"/>
            <w:gridSpan w:val="6"/>
          </w:tcPr>
          <w:p>
            <w:pPr>
              <w:ind w:left="40"/>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17†</w:t>
              </w:r>
            </w:hyperlink>
          </w:p>
        </w:tc>
        <w:tc>
          <w:tcPr>
            <w:tcW w:w="98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National Vision Holdings, Inc. 2017 Omnibus Incentive Plan - incorporated herein by reference to Exhibit 10.2 to the Company’s</w:t>
            </w:r>
          </w:p>
        </w:tc>
      </w:tr>
      <w:tr>
        <w:trPr>
          <w:trHeight w:val="250"/>
        </w:trPr>
        <w:tc>
          <w:tcPr>
            <w:tcW w:w="40" w:type="dxa"/>
            <w:vAlign w:val="bottom"/>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Report on Form 8-K filed on October 31, 2017</w:t>
            </w:r>
          </w:p>
        </w:tc>
      </w:tr>
      <w:tr>
        <w:trPr>
          <w:trHeight w:val="230"/>
        </w:trPr>
        <w:tc>
          <w:tcPr>
            <w:tcW w:w="1580" w:type="dxa"/>
            <w:vAlign w:val="bottom"/>
            <w:gridSpan w:val="6"/>
          </w:tcPr>
          <w:p>
            <w:pPr>
              <w:ind w:left="4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Restricted Stock Agreement for Non-Employee Directors under the 2017 Omnibus Incentive Plan - incorporated herein by</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to Exhibit 10.15 to the Company’s Amendment No. 2 to Form S-1 Registration Statement filed on October 16, 2017</w:t>
            </w:r>
          </w:p>
        </w:tc>
      </w:tr>
      <w:tr>
        <w:trPr>
          <w:trHeight w:val="230"/>
        </w:trPr>
        <w:tc>
          <w:tcPr>
            <w:tcW w:w="1580" w:type="dxa"/>
            <w:vAlign w:val="bottom"/>
            <w:gridSpan w:val="6"/>
          </w:tcPr>
          <w:p>
            <w:pPr>
              <w:ind w:left="4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2014 Stock Incentive Plan for Key Employees of National Vision Holdings, Inc. (formerly known as Nautilus Parent, Inc.) and its</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 - incorporated herein by reference to Exhibit 10.16 to the Company’s Form S-1 Registration Statement filed on</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September 29, 2017</w:t>
            </w:r>
          </w:p>
        </w:tc>
      </w:tr>
      <w:tr>
        <w:trPr>
          <w:trHeight w:val="230"/>
        </w:trPr>
        <w:tc>
          <w:tcPr>
            <w:tcW w:w="1580" w:type="dxa"/>
            <w:vAlign w:val="bottom"/>
            <w:gridSpan w:val="6"/>
          </w:tcPr>
          <w:p>
            <w:pPr>
              <w:ind w:left="4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No. 1 to the 2014 Stock Incentive Plan for Key Employees of National Vision Holdings, Inc. (formerly known as</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Nautilus Parent, Inc.) and its Subsidiaries - incorporated herein by reference to Exhibit 10.17 to the Company’s Form S-1</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r>
      <w:tr>
        <w:trPr>
          <w:trHeight w:val="230"/>
        </w:trPr>
        <w:tc>
          <w:tcPr>
            <w:tcW w:w="1580" w:type="dxa"/>
            <w:vAlign w:val="bottom"/>
            <w:gridSpan w:val="6"/>
          </w:tcPr>
          <w:p>
            <w:pPr>
              <w:ind w:left="40"/>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No. 2 to the 2014 Stock Incentive Plan for Key Employees of National Vision Holdings, Inc. (formerly known as</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Nautilus Parent, Inc.) and its Subsidiaries - incorporated herein by reference to Exhibit 10.18 to the Company’s Form S-1</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r>
      <w:tr>
        <w:trPr>
          <w:trHeight w:val="230"/>
        </w:trPr>
        <w:tc>
          <w:tcPr>
            <w:tcW w:w="1580" w:type="dxa"/>
            <w:vAlign w:val="bottom"/>
            <w:gridSpan w:val="6"/>
          </w:tcPr>
          <w:p>
            <w:pPr>
              <w:ind w:left="40"/>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Stock Option Agreement under the 2014 Stock Incentive Plan for Key Employees of National Vision Holdings, Inc.</w:t>
            </w:r>
          </w:p>
        </w:tc>
      </w:tr>
      <w:tr>
        <w:trPr>
          <w:trHeight w:val="218"/>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(formerly known as Nautilus Parent, Inc.) and its Subsidiaries - incorporated herein by reference to Exhibit 10.19 to the Company’s</w:t>
            </w:r>
          </w:p>
        </w:tc>
      </w:t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S-1 Registration Statement filed on September 29, 2017</w:t>
            </w:r>
          </w:p>
        </w:tc>
      </w:tr>
      <w:tr>
        <w:trPr>
          <w:trHeight w:val="230"/>
        </w:trPr>
        <w:tc>
          <w:tcPr>
            <w:tcW w:w="1580" w:type="dxa"/>
            <w:vAlign w:val="bottom"/>
            <w:gridSpan w:val="6"/>
          </w:tcPr>
          <w:p>
            <w:pPr>
              <w:ind w:left="40"/>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Management Stockholder’s Agreement - incorporated herein by reference to Exhibit 10.20 to the Company’s Form S-1</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r>
      <w:tr>
        <w:trPr>
          <w:trHeight w:val="230"/>
        </w:trPr>
        <w:tc>
          <w:tcPr>
            <w:tcW w:w="1580" w:type="dxa"/>
            <w:vAlign w:val="bottom"/>
            <w:gridSpan w:val="6"/>
          </w:tcPr>
          <w:p>
            <w:pPr>
              <w:ind w:left="40"/>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Option Rollover Agreement - incorporated herein by reference to Exhibit 10.21 to the Company’s Form S-1 Registration</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Statement filed on September 29, 2017</w:t>
            </w:r>
          </w:p>
        </w:tc>
      </w:tr>
      <w:tr>
        <w:trPr>
          <w:trHeight w:val="230"/>
        </w:trPr>
        <w:tc>
          <w:tcPr>
            <w:tcW w:w="1580" w:type="dxa"/>
            <w:vAlign w:val="bottom"/>
            <w:gridSpan w:val="6"/>
          </w:tcPr>
          <w:p>
            <w:pPr>
              <w:ind w:left="40"/>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Sale Participation Agreement - incorporated herein by reference to Exhibit 10.22 to the Company’s Form S-1 Registration</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Statement filed on September 29, 2017</w:t>
            </w:r>
          </w:p>
        </w:tc>
      </w:tr>
      <w:tr>
        <w:trPr>
          <w:trHeight w:val="486"/>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123</w:t>
            </w:r>
          </w:p>
        </w:tc>
      </w:tr>
    </w:tbl>
    <w:p>
      <w:pPr>
        <w:sectPr>
          <w:pgSz w:w="11900" w:h="16838" w:orient="portrait"/>
          <w:cols w:equalWidth="0" w:num="1">
            <w:col w:w="11380"/>
          </w:cols>
          <w:pgMar w:left="240" w:top="108" w:right="27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820" w:type="dxa"/>
            <w:vAlign w:val="bottom"/>
          </w:tcPr>
          <w:p>
            <w:pPr>
              <w:spacing w:after="0"/>
              <w:rPr>
                <w:sz w:val="17"/>
                <w:szCs w:val="17"/>
                <w:color w:val="auto"/>
              </w:rPr>
            </w:pPr>
          </w:p>
        </w:tc>
      </w:tr>
      <w:tr>
        <w:trPr>
          <w:trHeight w:val="601"/>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gridSpan w:val="4"/>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300" w:type="dxa"/>
            <w:vAlign w:val="bottom"/>
          </w:tcPr>
          <w:p>
            <w:pPr>
              <w:spacing w:after="0"/>
              <w:rPr>
                <w:sz w:val="24"/>
                <w:szCs w:val="24"/>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Contribution Agreement - incorporated herein by reference to Exhibit 10.23 to the Company’s Form S-1 Registration</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National Vision, Inc. Severance Plan, as amended and restated as of March 15, 2017 - incorporated herein by reference to Exhibit</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10.24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28†</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National Vision, Inc. Severance Plan Summary Plan Description (Executives), effective as of July 21, 2011 - incorporated herein by</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to Exhibit 10.25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National Vision Holdings, Inc. Executive Severance Plan - incorporated by reference to Exhibit 10.1 filed to the Company’s Current</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 on Form 8-K filed on December 18, 2018</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National Vision, Inc. Management Incentive Plan - incorporated herein by reference to Exhibit 10.27 to the Company’s Form S-1</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Registration Statement filed on September 29, 2017</w:t>
            </w:r>
          </w:p>
        </w:tc>
      </w:tr>
      <w:tr>
        <w:trPr>
          <w:trHeight w:val="230"/>
        </w:trPr>
        <w:tc>
          <w:tcPr>
            <w:tcW w:w="520" w:type="dxa"/>
            <w:vAlign w:val="bottom"/>
            <w:gridSpan w:val="4"/>
          </w:tcPr>
          <w:p>
            <w:pPr>
              <w:ind w:left="4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Indemnification Agreement, dated as of March 13, 2014, among National Vision Holdings, Inc. (formerly known as Nautilus</w:t>
            </w:r>
          </w:p>
        </w:tc>
      </w:tr>
      <w:tr>
        <w:trPr>
          <w:trHeight w:val="21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Parent, Inc.), Nautilus Acquisition Holdings, Inc., Vision Holding Corp., National Vision, Inc., Kohlberg Kravis Roberts &amp; Co. L.P.</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Berkshire Partners LLC - incorporated herein by reference to Exhibit 10.28 to the Company’s Form S-1 Registration Statement</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Letter Agreement between National Vision, Inc. and Essilor of America, Inc., dated as of May 25, 2011 - incorporated herein by</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to Exhibit 10.29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Letter of Amendment between National Vision, Inc. and Essilor of America, Inc., dated as of December 2, 2014 - incorporated</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herein by reference to Exhibit 10.30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34‡</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Management &amp; Services Agreement by and between National Vision, Inc. and Wal-Mart Stores, Inc., dated as of May 1, 2012 -</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 to Exhibit 10.31 to the Company’s Form S-1 Registration Statement filed on October 16, 2017</w:t>
            </w:r>
          </w:p>
        </w:tc>
      </w:tr>
      <w:tr>
        <w:trPr>
          <w:trHeight w:val="230"/>
        </w:trPr>
        <w:tc>
          <w:tcPr>
            <w:tcW w:w="520" w:type="dxa"/>
            <w:vAlign w:val="bottom"/>
            <w:gridSpan w:val="4"/>
          </w:tcPr>
          <w:p>
            <w:pPr>
              <w:ind w:left="4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hyperlink>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Letter Agreement between National Vision, Inc. and Essilor of America, Inc. dated as of March 9, 2018 - incorporated herein by</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to Exhibit 10.1 to the Company’s Form 10-Q filed on May 15, 2018</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w:anchor="page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Letter Agreement between National Vision, Inc. and Essilor of America, Inc., dated as of November 12, 2018</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250"/>
        </w:trPr>
        <w:tc>
          <w:tcPr>
            <w:tcW w:w="520" w:type="dxa"/>
            <w:vAlign w:val="bottom"/>
            <w:gridSpan w:val="4"/>
          </w:tcPr>
          <w:p>
            <w:pPr>
              <w:ind w:left="40"/>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Letter Agreement by and between National Vision, Inc. and Wal-Mart Stores, Inc. re: Management &amp; Services Agreement, dated as</w:t>
            </w:r>
          </w:p>
        </w:tc>
      </w:tr>
      <w:tr>
        <w:trPr>
          <w:trHeight w:val="21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January 11, 2017 - incorporated herein by reference to Exhibit 10.32 to the Company’s Form S-1 Registration Statement filed on</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38‡</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Supplier Agreement between National Vision, Inc. and Walmart, dated as of January 17, 2017 -</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incorporated herein by reference to Exhibit 10.33 to the Company’s Form S-1 Registration Statement filed on September 29,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Option Agreement for Patrick R. Moore under the 2017 Omnibus Incentive Plan - incorporated herein by reference to Exhibit 10.34</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the Company’s Amendment No. 2 to Form S-1 Registration Statement filed on October 16,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40†</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Stock Award Agreement for David M. Tehle under the 2014 Stock Incentive Plan for Key Employees of National Vision</w:t>
            </w:r>
          </w:p>
        </w:tc>
      </w:tr>
      <w:tr>
        <w:trPr>
          <w:trHeight w:val="21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Holdings, Inc. (formerly known as Nautilus Parent, Inc.) and its Subsidiaries - incorporated herein by reference to Exhibit 10.35 to</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Company’s Amendment No. 2 to Form S-1 Registration Statement filed on October 16,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41†</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Director Indemnification Agreement - incorporated herein by reference to Exhibit 10.36 to the Company’s Amendment</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2 to Form S-1 Registration Statement filed on October 16, 2017</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42†</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Option Agreement for Jeff McAllister under the 2014 Stock Incentive Plan for Key Employees of National Vision Holdings, Inc.</w:t>
            </w:r>
          </w:p>
        </w:tc>
      </w:tr>
      <w:tr>
        <w:trPr>
          <w:trHeight w:val="218"/>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(formerly known as Nautilus Parent, Inc.) and its Subsidiaries incorporated herein by reference to the Company’s Form 10-K filed</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 March 8, 2018</w:t>
            </w:r>
          </w:p>
        </w:tc>
      </w:tr>
      <w:tr>
        <w:trPr>
          <w:trHeight w:val="446"/>
        </w:trPr>
        <w:tc>
          <w:tcPr>
            <w:tcW w:w="40" w:type="dxa"/>
            <w:vAlign w:val="bottom"/>
          </w:tcPr>
          <w:p>
            <w:pPr>
              <w:spacing w:after="0"/>
              <w:rPr>
                <w:sz w:val="24"/>
                <w:szCs w:val="24"/>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43†</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Director Stockholder’s Agreement - incorporated herein by reference to Exhibit 10.1 to the Company’s Current Report on</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8-K filed on January 23, 2018</w:t>
            </w:r>
          </w:p>
        </w:tc>
      </w:tr>
      <w:tr>
        <w:trPr>
          <w:trHeight w:val="230"/>
        </w:trPr>
        <w:tc>
          <w:tcPr>
            <w:tcW w:w="40" w:type="dxa"/>
            <w:vAlign w:val="bottom"/>
          </w:tcPr>
          <w:p>
            <w:pPr>
              <w:spacing w:after="0"/>
              <w:rPr>
                <w:sz w:val="19"/>
                <w:szCs w:val="19"/>
                <w:color w:val="auto"/>
              </w:rPr>
            </w:pPr>
          </w:p>
        </w:tc>
        <w:tc>
          <w:tcPr>
            <w:tcW w:w="1540" w:type="dxa"/>
            <w:vAlign w:val="bottom"/>
            <w:gridSpan w:val="5"/>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44†</w:t>
              </w:r>
            </w:hyperlink>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Vision Holding Corp. Amended and Restated 2013 Equity Incentive Plan - incorporated herein by reference to Exhibit 4.4 to the</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Company’s Form S-8 Registration Statement filed on October 26, 2017</w:t>
            </w:r>
          </w:p>
        </w:tc>
      </w:tr>
      <w:tr>
        <w:trPr>
          <w:trHeight w:val="230"/>
        </w:trPr>
        <w:tc>
          <w:tcPr>
            <w:tcW w:w="360" w:type="dxa"/>
            <w:vAlign w:val="bottom"/>
            <w:gridSpan w:val="2"/>
          </w:tcPr>
          <w:p>
            <w:pPr>
              <w:ind w:left="40"/>
              <w:spacing w:after="0"/>
              <w:rPr>
                <w:rFonts w:ascii="Times New Roman" w:cs="Times New Roman" w:eastAsia="Times New Roman" w:hAnsi="Times New Roman"/>
                <w:sz w:val="18"/>
                <w:szCs w:val="18"/>
                <w:color w:val="0000FF"/>
                <w:w w:val="88"/>
              </w:rPr>
            </w:pPr>
            <w:hyperlink w:anchor="page140">
              <w:r>
                <w:rPr>
                  <w:rFonts w:ascii="Times New Roman" w:cs="Times New Roman" w:eastAsia="Times New Roman" w:hAnsi="Times New Roman"/>
                  <w:sz w:val="18"/>
                  <w:szCs w:val="18"/>
                  <w:color w:val="0000FF"/>
                  <w:w w:val="88"/>
                </w:rPr>
                <w:t>21.</w:t>
              </w:r>
              <w:r>
                <w:rPr>
                  <w:rFonts w:ascii="Times New Roman" w:cs="Times New Roman" w:eastAsia="Times New Roman" w:hAnsi="Times New Roman"/>
                  <w:sz w:val="18"/>
                  <w:szCs w:val="18"/>
                  <w:u w:val="single" w:color="auto"/>
                  <w:color w:val="0000FF"/>
                  <w:w w:val="88"/>
                </w:rPr>
                <w:t>1</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 of National Vision Holdings, Inc.</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Times New Roman" w:cs="Times New Roman" w:eastAsia="Times New Roman" w:hAnsi="Times New Roman"/>
                <w:sz w:val="18"/>
                <w:szCs w:val="18"/>
                <w:color w:val="0000FF"/>
                <w:w w:val="88"/>
              </w:rPr>
            </w:pPr>
            <w:hyperlink w:anchor="page141">
              <w:r>
                <w:rPr>
                  <w:rFonts w:ascii="Times New Roman" w:cs="Times New Roman" w:eastAsia="Times New Roman" w:hAnsi="Times New Roman"/>
                  <w:sz w:val="18"/>
                  <w:szCs w:val="18"/>
                  <w:color w:val="0000FF"/>
                  <w:w w:val="88"/>
                </w:rPr>
                <w:t>23.</w:t>
              </w:r>
              <w:r>
                <w:rPr>
                  <w:rFonts w:ascii="Times New Roman" w:cs="Times New Roman" w:eastAsia="Times New Roman" w:hAnsi="Times New Roman"/>
                  <w:sz w:val="18"/>
                  <w:szCs w:val="18"/>
                  <w:u w:val="single" w:color="auto"/>
                  <w:color w:val="0000FF"/>
                  <w:w w:val="88"/>
                </w:rPr>
                <w:t>1</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507"/>
        </w:trPr>
        <w:tc>
          <w:tcPr>
            <w:tcW w:w="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2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124</w:t>
            </w:r>
          </w:p>
        </w:tc>
      </w:tr>
    </w:tbl>
    <w:p>
      <w:pPr>
        <w:sectPr>
          <w:pgSz w:w="11900" w:h="16838" w:orient="portrait"/>
          <w:cols w:equalWidth="0" w:num="1">
            <w:col w:w="11400"/>
          </w:cols>
          <w:pgMar w:left="240" w:top="108" w:right="25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820" w:type="dxa"/>
            <w:vAlign w:val="bottom"/>
          </w:tcPr>
          <w:p>
            <w:pPr>
              <w:spacing w:after="0"/>
              <w:rPr>
                <w:sz w:val="17"/>
                <w:szCs w:val="17"/>
                <w:color w:val="auto"/>
              </w:rPr>
            </w:pPr>
          </w:p>
        </w:tc>
      </w:tr>
      <w:tr>
        <w:trPr>
          <w:trHeight w:val="601"/>
        </w:trPr>
        <w:tc>
          <w:tcPr>
            <w:tcW w:w="1280" w:type="dxa"/>
            <w:vAlign w:val="bottom"/>
            <w:tcBorders>
              <w:top w:val="single" w:sz="8" w:color="0000EE"/>
            </w:tcBorders>
            <w:gridSpan w:val="3"/>
          </w:tcPr>
          <w:p>
            <w:pPr>
              <w:ind w:left="40"/>
              <w:spacing w:after="0"/>
              <w:rPr>
                <w:rFonts w:ascii="Times New Roman" w:cs="Times New Roman" w:eastAsia="Times New Roman" w:hAnsi="Times New Roman"/>
                <w:sz w:val="18"/>
                <w:szCs w:val="18"/>
                <w:color w:val="0000FF"/>
              </w:rPr>
            </w:pPr>
            <w:hyperlink w:anchor="page142">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300" w:type="dxa"/>
            <w:vAlign w:val="bottom"/>
          </w:tcPr>
          <w:p>
            <w:pPr>
              <w:spacing w:after="0"/>
              <w:rPr>
                <w:sz w:val="24"/>
                <w:szCs w:val="24"/>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 (furnished</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herewith)</w:t>
            </w:r>
          </w:p>
        </w:tc>
      </w:tr>
      <w:tr>
        <w:trPr>
          <w:trHeight w:val="230"/>
        </w:trPr>
        <w:tc>
          <w:tcPr>
            <w:tcW w:w="1280" w:type="dxa"/>
            <w:vAlign w:val="bottom"/>
            <w:gridSpan w:val="3"/>
          </w:tcPr>
          <w:p>
            <w:pPr>
              <w:ind w:left="40"/>
              <w:spacing w:after="0"/>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 (furnished</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herewith)</w:t>
            </w:r>
          </w:p>
        </w:tc>
      </w:tr>
      <w:tr>
        <w:trPr>
          <w:trHeight w:val="230"/>
        </w:trPr>
        <w:tc>
          <w:tcPr>
            <w:tcW w:w="1280" w:type="dxa"/>
            <w:vAlign w:val="bottom"/>
            <w:gridSpan w:val="3"/>
          </w:tcPr>
          <w:p>
            <w:pPr>
              <w:ind w:left="40"/>
              <w:spacing w:after="0"/>
              <w:rPr>
                <w:rFonts w:ascii="Times New Roman" w:cs="Times New Roman" w:eastAsia="Times New Roman" w:hAnsi="Times New Roman"/>
                <w:sz w:val="18"/>
                <w:szCs w:val="18"/>
                <w:color w:val="0000FF"/>
              </w:rPr>
            </w:pPr>
            <w:hyperlink w:anchor="page144">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230"/>
        </w:trPr>
        <w:tc>
          <w:tcPr>
            <w:tcW w:w="1280" w:type="dxa"/>
            <w:vAlign w:val="bottom"/>
            <w:gridSpan w:val="3"/>
          </w:tcPr>
          <w:p>
            <w:pPr>
              <w:ind w:left="40"/>
              <w:spacing w:after="0"/>
              <w:rPr>
                <w:rFonts w:ascii="Times New Roman" w:cs="Times New Roman" w:eastAsia="Times New Roman" w:hAnsi="Times New Roman"/>
                <w:sz w:val="18"/>
                <w:szCs w:val="18"/>
                <w:color w:val="0000FF"/>
              </w:rPr>
            </w:pPr>
            <w:hyperlink w:anchor="page145">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3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270"/>
        </w:trPr>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193"/>
        </w:trPr>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300" w:type="dxa"/>
            <w:vAlign w:val="bottom"/>
          </w:tcPr>
          <w:p>
            <w:pPr>
              <w:spacing w:after="0"/>
              <w:rPr>
                <w:sz w:val="16"/>
                <w:szCs w:val="16"/>
                <w:color w:val="auto"/>
              </w:rPr>
            </w:pPr>
          </w:p>
        </w:tc>
        <w:tc>
          <w:tcPr>
            <w:tcW w:w="9820" w:type="dxa"/>
            <w:vAlign w:val="bottom"/>
          </w:tcPr>
          <w:p>
            <w:pPr>
              <w:spacing w:after="0"/>
              <w:rPr>
                <w:sz w:val="16"/>
                <w:szCs w:val="16"/>
                <w:color w:val="auto"/>
              </w:rPr>
            </w:pPr>
          </w:p>
        </w:tc>
      </w:tr>
    </w:tbl>
    <w:p>
      <w:pPr>
        <w:spacing w:after="0" w:line="41"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Identifies exhibits that consist of a management contract or compensatory plan or arrangement.</w:t>
      </w:r>
    </w:p>
    <w:p>
      <w:pPr>
        <w:spacing w:after="0" w:line="19" w:lineRule="exact"/>
        <w:rPr>
          <w:sz w:val="20"/>
          <w:szCs w:val="20"/>
          <w:color w:val="auto"/>
        </w:rPr>
      </w:pPr>
    </w:p>
    <w:p>
      <w:pPr>
        <w:ind w:left="240" w:hanging="232"/>
        <w:spacing w:after="0"/>
        <w:tabs>
          <w:tab w:leader="none" w:pos="2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Confidential treatment has been requested with respect to certain portions of identified exhibits. Omitted portions have been filed separately with the Securities and Exchange Commission.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00"/>
          </w:cols>
          <w:pgMar w:left="240" w:top="108" w:right="25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333" w:lineRule="exact"/>
        <w:rPr>
          <w:sz w:val="20"/>
          <w:szCs w:val="20"/>
          <w:color w:val="auto"/>
        </w:rPr>
      </w:pPr>
    </w:p>
    <w:p>
      <w:pPr>
        <w:ind w:left="54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L. Reade Fahs</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65"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542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2019</w:t>
      </w:r>
    </w:p>
    <w:p>
      <w:pPr>
        <w:spacing w:after="0" w:line="1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7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56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L. Reade Fahs</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 Reade Fahs</w:t>
            </w:r>
          </w:p>
        </w:tc>
        <w:tc>
          <w:tcPr>
            <w:tcW w:w="4780" w:type="dxa"/>
            <w:vAlign w:val="bottom"/>
            <w:vMerge w:val="continue"/>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Patrick R. Moore</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Patrick R. Moore</w:t>
            </w:r>
          </w:p>
        </w:tc>
        <w:tc>
          <w:tcPr>
            <w:tcW w:w="4780" w:type="dxa"/>
            <w:vAlign w:val="bottom"/>
            <w:vMerge w:val="continue"/>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Chris Beasley</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Vice President, Accounting, and Controller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Chris Beasley</w:t>
            </w:r>
          </w:p>
        </w:tc>
        <w:tc>
          <w:tcPr>
            <w:tcW w:w="4780" w:type="dxa"/>
            <w:vAlign w:val="bottom"/>
            <w:vMerge w:val="continue"/>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Felix Gernburd</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Felix Gernburd</w:t>
            </w:r>
          </w:p>
        </w:tc>
        <w:tc>
          <w:tcPr>
            <w:tcW w:w="4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Virginia A. Hepner</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Virginia A. Hepner</w:t>
            </w:r>
          </w:p>
        </w:tc>
        <w:tc>
          <w:tcPr>
            <w:tcW w:w="4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 Randolph Peeler</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 Randolph Peeler</w:t>
            </w:r>
          </w:p>
        </w:tc>
        <w:tc>
          <w:tcPr>
            <w:tcW w:w="4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Nathaniel H. Taylor</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Chairman and Director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Nathaniel H. Taylor</w:t>
            </w:r>
          </w:p>
        </w:tc>
        <w:tc>
          <w:tcPr>
            <w:tcW w:w="4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Thomas V. Taylor, Jr.</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Thomas V. Taylor, Jr.</w:t>
            </w:r>
          </w:p>
        </w:tc>
        <w:tc>
          <w:tcPr>
            <w:tcW w:w="4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M. Tehle</w:t>
            </w: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February 27, 2019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M. Tehle</w:t>
            </w:r>
          </w:p>
        </w:tc>
        <w:tc>
          <w:tcPr>
            <w:tcW w:w="4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1420"/>
          </w:cols>
          <w:pgMar w:left="240" w:top="121" w:right="239" w:bottom="1440" w:gutter="0" w:footer="0" w:header="0"/>
          <w:type w:val="continuous"/>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5980430</wp:posOffset>
            </wp:positionH>
            <wp:positionV relativeFrom="page">
              <wp:posOffset>88900</wp:posOffset>
            </wp:positionV>
            <wp:extent cx="1423670" cy="943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423670" cy="943610"/>
                    </a:xfrm>
                    <a:prstGeom prst="rect">
                      <a:avLst/>
                    </a:prstGeom>
                    <a:noFill/>
                  </pic:spPr>
                </pic:pic>
              </a:graphicData>
            </a:graphic>
          </wp:anchor>
        </w:drawing>
      </w: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10.36</w:t>
      </w:r>
    </w:p>
    <w:p>
      <w:pPr>
        <w:spacing w:after="0" w:line="3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Note: Information has been omitted from this agreement pursuant to a request for confidential treatment, and such information has been separately filed with the Securities and Exchange Commission. The omitted information has been marked with a bracketed asterisk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12,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Megan Molony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National Vision, Inc.</w:t>
      </w:r>
    </w:p>
    <w:p>
      <w:pPr>
        <w:spacing w:after="0"/>
        <w:rPr>
          <w:sz w:val="20"/>
          <w:szCs w:val="20"/>
          <w:color w:val="auto"/>
        </w:rPr>
      </w:pPr>
      <w:r>
        <w:rPr>
          <w:rFonts w:ascii="Times New Roman" w:cs="Times New Roman" w:eastAsia="Times New Roman" w:hAnsi="Times New Roman"/>
          <w:sz w:val="20"/>
          <w:szCs w:val="20"/>
          <w:color w:val="auto"/>
        </w:rPr>
        <w:t>2435 Commerce Ave.</w:t>
      </w:r>
    </w:p>
    <w:p>
      <w:pPr>
        <w:spacing w:after="0"/>
        <w:rPr>
          <w:sz w:val="20"/>
          <w:szCs w:val="20"/>
          <w:color w:val="auto"/>
        </w:rPr>
      </w:pPr>
      <w:r>
        <w:rPr>
          <w:rFonts w:ascii="Times New Roman" w:cs="Times New Roman" w:eastAsia="Times New Roman" w:hAnsi="Times New Roman"/>
          <w:sz w:val="20"/>
          <w:szCs w:val="20"/>
          <w:color w:val="auto"/>
        </w:rPr>
        <w:t>Building 2200</w:t>
      </w:r>
    </w:p>
    <w:p>
      <w:pPr>
        <w:spacing w:after="0"/>
        <w:rPr>
          <w:sz w:val="20"/>
          <w:szCs w:val="20"/>
          <w:color w:val="auto"/>
        </w:rPr>
      </w:pPr>
      <w:r>
        <w:rPr>
          <w:rFonts w:ascii="Times New Roman" w:cs="Times New Roman" w:eastAsia="Times New Roman" w:hAnsi="Times New Roman"/>
          <w:sz w:val="20"/>
          <w:szCs w:val="20"/>
          <w:color w:val="auto"/>
        </w:rPr>
        <w:t>Duluth, GA 30096</w:t>
      </w:r>
    </w:p>
    <w:p>
      <w:pPr>
        <w:spacing w:after="0"/>
        <w:rPr>
          <w:sz w:val="20"/>
          <w:szCs w:val="20"/>
          <w:color w:val="auto"/>
        </w:rPr>
      </w:pPr>
      <w:r>
        <w:rPr>
          <w:rFonts w:ascii="Times New Roman" w:cs="Times New Roman" w:eastAsia="Times New Roman" w:hAnsi="Times New Roman"/>
          <w:sz w:val="20"/>
          <w:szCs w:val="20"/>
          <w:color w:val="auto"/>
        </w:rPr>
        <w:t>Megan.Molony@nationalvision.com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Via </w:t>
      </w:r>
      <w:r>
        <w:rPr>
          <w:rFonts w:ascii="Times New Roman" w:cs="Times New Roman" w:eastAsia="Times New Roman" w:hAnsi="Times New Roman"/>
          <w:sz w:val="20"/>
          <w:szCs w:val="20"/>
          <w:b w:val="1"/>
          <w:bCs w:val="1"/>
          <w:color w:val="auto"/>
        </w:rPr>
        <w:t>Electronic Mail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Ms. Molony:</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Letter Agreement and the attached Schedules (collectively, the “Agreement”) reflect the terms and conditions agreed upon by and among National Vision, Inc. (“Customer”) and Essilor of America, Inc., on behalf of itself or one of its affiliates (collectively, “Essilor”), regarding Customer’s purchase from Essilor of ophthalmic lenses and certain licensed products from Essilor during the Term (as defined below in Section 4 of this Agreement). If Customer agrees with all of the terms and conditions set forth herein, it should sign and execute this Agreement in the signature blocks set forth below.</w:t>
      </w:r>
    </w:p>
    <w:p>
      <w:pPr>
        <w:spacing w:after="0" w:line="17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Background</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Essilor is a leading manufacturer of lens products and operates a network of optical laboratories. Customer currently operates a diverse portfolio of 1,067 retail stores across five retail brands as of September 29, 2018, under the banners “America’s Best Contacts &amp; Eyeglasses,” “Eyeglass World,” “Vista Optical,” and “The Vision Center brought to you by Walmart” (the “Retail Stores”), and several e-commerce websites, including “AC Lens”. For purposes of the exclusivity provisions of this Agreement, the term “Retail Stores” shall include any new Retail Stores added by Customer during the Term under the above-referenced banners (up to 75 locations per year) with the exception of those retail stores operating under the banner “The Vision Center brought to you by Walmart.”</w:t>
      </w:r>
    </w:p>
    <w:p>
      <w:pPr>
        <w:spacing w:after="0" w:line="18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Direct Lenses</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On behalf of its Retail Stores, Customer wishes to purchase from Essilor, and Essilor, in turn, wishes to provide to Customer on an exclusive basis, the categories of ophthalmic lenses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“Direct Lenses”), unless otherwise mutually agreed upon by the parties. To avoid confusion, unless otherwise mutually agreed upon by the parties, Customer agrees to purchase the categories of Direct Lenses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exclusively from Essilor, with the exception of specialty sun lenses; Essilor, however, will be free to provide Direct Lenses to other customers.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the event Customer elects to offer a new product category to its customers not included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or the License Agreements (as defined herein), Customer agrees to provide Essilor with a right of first refusal to provide such product category. Customer will provide Essilor with a right of first refusal notice (the “Notice”) that will specify Customer’s reasonable product needs, technical, laboratory, delivery and any other requirements with respect to the new product</w:t>
      </w:r>
    </w:p>
    <w:p>
      <w:pPr>
        <w:sectPr>
          <w:pgSz w:w="11900" w:h="16838" w:orient="portrait"/>
          <w:cols w:equalWidth="0" w:num="1">
            <w:col w:w="11420"/>
          </w:cols>
          <w:pgMar w:left="240" w:top="1440" w:right="239" w:bottom="1440" w:gutter="0" w:footer="0" w:header="0"/>
        </w:sectPr>
      </w:pPr>
    </w:p>
    <w:bookmarkStart w:id="130" w:name="page131"/>
    <w:bookmarkEnd w:id="130"/>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category; provided that Essilor will be given a period of at least three (3) months with respect to the initial delivery of the product. The parties will agree upon a reasonable timeline for Essilor to respond to the Notice (such time not to exceed thirty days). Essilor shall have the opportunity to respond to the Notice by submitting an offer to Customer to provide a comparable product at a competitive price. If Essilor does not respond to the Notice by the agreed upon deadline or is unable to reasonably meet the Customer’s specified, requirements as set forth in the Notice, which shall be reasonably measured by Customer based on technical requirements, quality of laboratory operations impact and cost, Customer shall have the right to source the new product category from a third party other than Essilor. The parties agree that if there is a question or dispute regarding whether a product constitutes an existing product category covered under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or is a new product category subject to this right of first refusal provision, and the parties cannot resolve such question or dispute after working in good faith, the right of first refusal provisions of this paragraph shall apply.</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parties agree that, except as provided herein, Essilor will not sell lenses directly to Customer’s Hong Kong partner laboratory (“HKO”) or Mexico partner laboratory (“OMX”) under this Agreement to be processed by HKO or OMX so that they will, in effect, be purchased by and billed to Customer. Notwithstanding the foregoing, Essilor will reasonably consider alternative arrangements for the supply by Essilor of lenses to HKO and OMX, which alternative arrangements may include the direct supply by Essilor of lenses to HKO and OMX.</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Notwithstanding the foregoing, Customer agrees that the Direct Lenses supplied by Essilor pursuant to this Agreement shall be utilized solely for resale in Customer’s retail establishments and shall not be resold in a wholesale context.</w:t>
      </w:r>
    </w:p>
    <w:p>
      <w:pPr>
        <w:spacing w:after="0" w:line="16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Technology Agreements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parties acknowledge that arrangements with respect to Customer’s access digital surfacing and lens coating technology shall be governed by the Digital Surfacing License Agreement and the Agreement Regarding Lens Coating (collectively, the “License Agreements”) entered into between the parties.</w:t>
      </w:r>
    </w:p>
    <w:p>
      <w:pPr>
        <w:spacing w:after="0" w:line="171" w:lineRule="exact"/>
        <w:rPr>
          <w:sz w:val="20"/>
          <w:szCs w:val="20"/>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Term and Termination</w:t>
      </w:r>
    </w:p>
    <w:p>
      <w:pPr>
        <w:spacing w:after="0" w:line="215"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438"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Term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 of this Agreement shall extend from June 1, 2019, until May 31, 2023 (the “Initial Term”), unless terminated earlier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extended) pursuant to the terms of this Agreement. Thereafter, this Agreement shall automatically renew on a month-to-month basis (collectively the “Renewal Term”), unless either party gives the other at least thirty (30) days’ prior written notice of the end of the Initial Term or Renewal Term, as applicable, of its desire to terminate the Agreement. Notwithstanding the foregoing, Customer shall have the ability to unilaterally extend this Agreement an additional calendar quarter after the proposed termination date. Each one (1) year anniversary of this Agreement shall be referred to as a “Contract Year.” By way of example, Contract Year 1 shall extend from June 1, 2019 until May 31, 2020.</w:t>
      </w:r>
    </w:p>
    <w:p>
      <w:pPr>
        <w:spacing w:after="0" w:line="168" w:lineRule="exact"/>
        <w:rPr>
          <w:rFonts w:ascii="Times New Roman" w:cs="Times New Roman" w:eastAsia="Times New Roman" w:hAnsi="Times New Roman"/>
          <w:sz w:val="19"/>
          <w:szCs w:val="19"/>
          <w:b w:val="1"/>
          <w:bCs w:val="1"/>
          <w:color w:val="auto"/>
        </w:rPr>
      </w:pPr>
    </w:p>
    <w:p>
      <w:pPr>
        <w:jc w:val="both"/>
        <w:ind w:firstLine="8"/>
        <w:spacing w:after="0" w:line="256" w:lineRule="auto"/>
        <w:tabs>
          <w:tab w:leader="none" w:pos="489"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 In addition to all other remedies provided by law or specified in this Agreement, each of Customer and Essilor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“Non-Breaching Party”) may immediately terminate this Agreement by providing notice of such termination to the other party (the “Breaching Party”) upon the occurrence of any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54875"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7">
                      <a:extLst>
                        <a:ext uri="{28A0092B-C50C-407E-A947-70E740481C1C}"/>
                      </a:extLst>
                    </a:blip>
                    <a:srcRect/>
                    <a:stretch>
                      <a:fillRect/>
                    </a:stretch>
                  </pic:blipFill>
                  <pic:spPr bwMode="auto">
                    <a:xfrm>
                      <a:off x="0" y="0"/>
                      <a:ext cx="7254875" cy="342900"/>
                    </a:xfrm>
                    <a:prstGeom prst="rect">
                      <a:avLst/>
                    </a:prstGeom>
                    <a:noFill/>
                  </pic:spPr>
                </pic:pic>
              </a:graphicData>
            </a:graphic>
          </wp:anchor>
        </w:drawing>
      </w:r>
    </w:p>
    <w:p>
      <w:pPr>
        <w:spacing w:after="0" w:line="112" w:lineRule="exact"/>
        <w:rPr>
          <w:sz w:val="20"/>
          <w:szCs w:val="20"/>
          <w:color w:val="auto"/>
        </w:rPr>
      </w:pPr>
    </w:p>
    <w:p>
      <w:pPr>
        <w:ind w:left="40" w:right="60"/>
        <w:spacing w:after="0" w:line="269" w:lineRule="auto"/>
        <w:rPr>
          <w:sz w:val="20"/>
          <w:szCs w:val="20"/>
          <w:color w:val="auto"/>
        </w:rPr>
      </w:pPr>
      <w:r>
        <w:rPr>
          <w:rFonts w:ascii="Times New Roman" w:cs="Times New Roman" w:eastAsia="Times New Roman" w:hAnsi="Times New Roman"/>
          <w:sz w:val="20"/>
          <w:szCs w:val="20"/>
          <w:color w:val="auto"/>
        </w:rPr>
        <w:t>Confidential treatment has been requested with respect to information contained within the [*] marking. Such portions have been omitted from this filing and have been separately filed with the Securities and Exchange Commission.</w:t>
      </w:r>
    </w:p>
    <w:p>
      <w:pPr>
        <w:spacing w:after="0" w:line="214" w:lineRule="exact"/>
        <w:rPr>
          <w:sz w:val="20"/>
          <w:szCs w:val="20"/>
          <w:color w:val="auto"/>
        </w:rPr>
      </w:pPr>
    </w:p>
    <w:p>
      <w:pPr>
        <w:jc w:val="both"/>
        <w:ind w:left="660" w:hanging="4"/>
        <w:spacing w:after="0" w:line="254"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insolvency of, filing of a petition in bankruptcy by, against, or on behalf of, or appointment of a receiver or trustee for all or substantially all of the property of, the Breaching Party; or any dissolution, liquidation, or other insolvency proceeding by, against, or on behalf of the Breaching Party; or</w:t>
      </w:r>
    </w:p>
    <w:p>
      <w:pPr>
        <w:spacing w:after="0" w:line="174" w:lineRule="exact"/>
        <w:rPr>
          <w:rFonts w:ascii="Times New Roman" w:cs="Times New Roman" w:eastAsia="Times New Roman" w:hAnsi="Times New Roman"/>
          <w:sz w:val="20"/>
          <w:szCs w:val="20"/>
          <w:color w:val="auto"/>
        </w:rPr>
      </w:pPr>
    </w:p>
    <w:p>
      <w:pPr>
        <w:jc w:val="both"/>
        <w:ind w:left="660" w:hanging="4"/>
        <w:spacing w:after="0" w:line="254" w:lineRule="auto"/>
        <w:tabs>
          <w:tab w:leader="none" w:pos="105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Breaching Party’s material breach of or material failure to perform any of the terms, conditions, or covenants contained in this Agreement that is not corrected within thirty (30) days after receipt of notice of such breach; provided, however, if the breach is not capable of being cured within such thirty (30) day period</w:t>
      </w:r>
    </w:p>
    <w:p>
      <w:pPr>
        <w:sectPr>
          <w:pgSz w:w="11900" w:h="16838" w:orient="portrait"/>
          <w:cols w:equalWidth="0" w:num="1">
            <w:col w:w="11420"/>
          </w:cols>
          <w:pgMar w:left="240" w:top="360" w:right="239" w:bottom="1440" w:gutter="0" w:footer="0" w:header="0"/>
        </w:sectPr>
      </w:pPr>
    </w:p>
    <w:bookmarkStart w:id="131" w:name="page132"/>
    <w:bookmarkEnd w:id="131"/>
    <w:p>
      <w:pPr>
        <w:ind w:left="660"/>
        <w:spacing w:after="0" w:line="269" w:lineRule="auto"/>
        <w:rPr>
          <w:sz w:val="20"/>
          <w:szCs w:val="20"/>
          <w:color w:val="auto"/>
        </w:rPr>
      </w:pPr>
      <w:r>
        <w:rPr>
          <w:rFonts w:ascii="Times New Roman" w:cs="Times New Roman" w:eastAsia="Times New Roman" w:hAnsi="Times New Roman"/>
          <w:sz w:val="20"/>
          <w:szCs w:val="20"/>
          <w:color w:val="auto"/>
        </w:rPr>
        <w:t>and the Breaching Party is diligently pursuing such a cure, the Breaching Party shall not be deemed to be in default. In no event shall such cure period exceed sixty (60) days.</w:t>
      </w:r>
    </w:p>
    <w:p>
      <w:pPr>
        <w:spacing w:after="0" w:line="160" w:lineRule="exact"/>
        <w:rPr>
          <w:sz w:val="20"/>
          <w:szCs w:val="20"/>
          <w:color w:val="auto"/>
        </w:rPr>
      </w:pPr>
    </w:p>
    <w:p>
      <w:pPr>
        <w:jc w:val="both"/>
        <w:ind w:firstLine="1305"/>
        <w:spacing w:after="0" w:line="249" w:lineRule="auto"/>
        <w:tabs>
          <w:tab w:leader="none" w:pos="1732" w:val="left"/>
        </w:tabs>
        <w:numPr>
          <w:ilvl w:val="3"/>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all other remedies provided by law or specified in this Agreement, and at the request of NVI in light of the recent combination of Essilor International SA and Luxottica Group, all exclusivity provisions of this Agreement shall terminate and/or Customer may terminate this Agreement by providing at least thirty (30) days’ notice to Essilor upon the occurrence of any of the following events:</w:t>
      </w:r>
    </w:p>
    <w:p>
      <w:pPr>
        <w:spacing w:after="0" w:line="180" w:lineRule="exact"/>
        <w:rPr>
          <w:rFonts w:ascii="Times New Roman" w:cs="Times New Roman" w:eastAsia="Times New Roman" w:hAnsi="Times New Roman"/>
          <w:sz w:val="20"/>
          <w:szCs w:val="20"/>
          <w:color w:val="auto"/>
        </w:rPr>
      </w:pPr>
    </w:p>
    <w:p>
      <w:pPr>
        <w:ind w:left="660" w:hanging="4"/>
        <w:spacing w:after="0" w:line="269" w:lineRule="auto"/>
        <w:tabs>
          <w:tab w:leader="none" w:pos="1018"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amendment or extension to the EyeMed Vision Care Eye Care Professional Agreement between EyeMed Vision Care, LLC (“EyeMed”) and NVI (the “EyeMed Agreement”) is not executed prior to December 31, 2018; or</w:t>
      </w:r>
    </w:p>
    <w:p>
      <w:pPr>
        <w:spacing w:after="0" w:line="159" w:lineRule="exact"/>
        <w:rPr>
          <w:rFonts w:ascii="Times New Roman" w:cs="Times New Roman" w:eastAsia="Times New Roman" w:hAnsi="Times New Roman"/>
          <w:sz w:val="20"/>
          <w:szCs w:val="20"/>
          <w:color w:val="auto"/>
        </w:rPr>
      </w:pPr>
    </w:p>
    <w:p>
      <w:pPr>
        <w:jc w:val="both"/>
        <w:ind w:left="660" w:hanging="4"/>
        <w:spacing w:after="0" w:line="247" w:lineRule="auto"/>
        <w:tabs>
          <w:tab w:leader="none" w:pos="988"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(1) EyeMed terminates the EyeMed Agreement, or (2) </w:t>
      </w:r>
      <w:r>
        <w:rPr>
          <w:rFonts w:ascii="Times New Roman" w:cs="Times New Roman" w:eastAsia="Times New Roman" w:hAnsi="Times New Roman"/>
          <w:sz w:val="20"/>
          <w:szCs w:val="20"/>
          <w:color w:val="222222"/>
        </w:rPr>
        <w:t>EyeMed materially changes the terms of the EyeMed Agreement in a way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2222"/>
        </w:rPr>
        <w:t>that negatively impacts NVI or any of its Brands (as defined in the EyeMed Agreement) that results in termination of the EyeMed Agreement</w:t>
      </w:r>
      <w:r>
        <w:rPr>
          <w:rFonts w:ascii="Times New Roman" w:cs="Times New Roman" w:eastAsia="Times New Roman" w:hAnsi="Times New Roman"/>
          <w:sz w:val="20"/>
          <w:szCs w:val="20"/>
          <w:color w:val="000000"/>
        </w:rPr>
        <w:t>, or (3) causes NVI or any of its Brands (as defined in the EyeMed Agreement) to no longer be eligible to provide in-network services under the EyeMed Agreement, provided that the foregoing shall not apply to a termination due to a material breach of the EyeMed Agreement by NVI.</w:t>
      </w:r>
    </w:p>
    <w:p>
      <w:pPr>
        <w:spacing w:after="0" w:line="176" w:lineRule="exact"/>
        <w:rPr>
          <w:rFonts w:ascii="Times New Roman" w:cs="Times New Roman" w:eastAsia="Times New Roman" w:hAnsi="Times New Roman"/>
          <w:sz w:val="20"/>
          <w:szCs w:val="20"/>
          <w:color w:val="auto"/>
        </w:rPr>
      </w:pPr>
    </w:p>
    <w:p>
      <w:pPr>
        <w:jc w:val="both"/>
        <w:ind w:firstLine="8"/>
        <w:spacing w:after="0" w:line="250" w:lineRule="auto"/>
        <w:tabs>
          <w:tab w:leader="none" w:pos="4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Effect of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a termination of this Agreement, the following amounts shall become fully and automatically due, 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payable within (10) days after the effective date of termination: (1) any account balances, (2) any other amounts that Customer owes to Essilor under this Agreement and (3) all amounts that Essilor owes to Customer under this Agreement pursuant to Section 10 through the effective date of termination. In such event, the parties agree to waive any and all rights to offset.</w:t>
      </w:r>
    </w:p>
    <w:p>
      <w:pPr>
        <w:spacing w:after="0" w:line="176" w:lineRule="exact"/>
        <w:rPr>
          <w:rFonts w:ascii="Times New Roman" w:cs="Times New Roman" w:eastAsia="Times New Roman" w:hAnsi="Times New Roman"/>
          <w:sz w:val="20"/>
          <w:szCs w:val="20"/>
          <w:b w:val="1"/>
          <w:bCs w:val="1"/>
          <w:color w:val="auto"/>
        </w:rPr>
      </w:pPr>
    </w:p>
    <w:p>
      <w:pPr>
        <w:ind w:left="660" w:hanging="328"/>
        <w:spacing w:after="0"/>
        <w:tabs>
          <w:tab w:leader="none" w:pos="66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Pricing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During the Term, Customer shall compensate Essilor for the Direct Lenses in accordance with prices set forth in the attached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Payment Terms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Shipping and Freight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parties agree that shipments by Essilor to HKO and OMX will be either to (i) the addresses set forth on Schedule B for the respective facilities, (ii) other addresses for HKO and OMX within their current shipping jurisdictions, upon the reasonable discussion between the parties regarding the technicalities and terms related to shipping to such addresses, or (iii) to such other addresses as mutually agreed between the parties.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Other than as described below with respect to lenses processed by an Essilor laboratory, Essilor will be responsible for all freight and other charges including duties on shipments to Customer’s U.S. and OMX production facilities. Customer will be responsible for all freight and other charges including duties on shipments to HKO. Shipping method will be ground freight for stock replenishment orders and 2-Day freight to domestic labs. Customer agrees to cover actual shipping costs for all shipments of lenses processed by an Essilor laboratory that are then shipped to Customer from such laboratory. Other than with respect to shipments to HKO, which will be shipped Exworks, title for all shipments will pass and Customer will assume all risk of loss of product at the time of delivery, which will be F.O.B. point of delivery. Except as described above, Essilor shall ship lenses in accordance with practices and timeframes currently in effect for domestic shipments by Essilor to Customer.</w:t>
      </w:r>
    </w:p>
    <w:p>
      <w:pPr>
        <w:spacing w:after="0" w:line="186"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Defect Rates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360" w:right="239" w:bottom="1440" w:gutter="0" w:footer="0" w:header="0"/>
        </w:sectPr>
      </w:pPr>
    </w:p>
    <w:bookmarkStart w:id="132" w:name="page133"/>
    <w:bookmarkEnd w:id="132"/>
    <w:p>
      <w:pPr>
        <w:ind w:left="660" w:hanging="328"/>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Forecasting Information</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Customer and Essilor agree to meet quarterly to review Customer’s upcoming planned promotions, sales initiatives, planned new store openings, and seasonality trends as they may impact Essilor’s supply chain forecasting.</w:t>
      </w:r>
    </w:p>
    <w:p>
      <w:pPr>
        <w:spacing w:after="0" w:line="15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Loyalty and Transitions® Lens Rebates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Inspection and Audit</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Customer shall keep accurate and complete registers which shall record the exact number of Direct Lenses purchased under this Agreement and any other information needed to determine its compliance with the requirements of this Agreement.</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Upon reasonable belief that Customer is not in compliance with the exclusivity provisions of this Agreement, Essilor shall have the right to appoint an accountant and, at a mutually agreeable time, inspect NVI’s registers for the sole purpose of determining Customer’s compliance with the terms of this Agreement.</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costs of such inspection and examination shall be borne by Essilor. They shall, however, be reimbursed by Customer to the extent the audit results in a finding that Customer has failed to fully comply with the exclusivity provisions of this Agreement.</w:t>
      </w:r>
    </w:p>
    <w:p>
      <w:pPr>
        <w:spacing w:after="0" w:line="15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Rebate Reports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Within ninety (90) days of the end of each Contract Year, Essilor shall send Customer a written “Rebate Report” detailing:</w:t>
      </w:r>
    </w:p>
    <w:p>
      <w:pPr>
        <w:spacing w:after="0" w:line="216" w:lineRule="exact"/>
        <w:rPr>
          <w:sz w:val="20"/>
          <w:szCs w:val="20"/>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amount of Customer's Direct Lens purchases and License Fees in the just concluded Contract Year;</w:t>
      </w:r>
    </w:p>
    <w:p>
      <w:pPr>
        <w:spacing w:after="0" w:line="215" w:lineRule="exact"/>
        <w:rPr>
          <w:rFonts w:ascii="Times New Roman" w:cs="Times New Roman" w:eastAsia="Times New Roman" w:hAnsi="Times New Roman"/>
          <w:sz w:val="18"/>
          <w:szCs w:val="18"/>
          <w:color w:val="auto"/>
        </w:rPr>
      </w:pPr>
    </w:p>
    <w:p>
      <w:pPr>
        <w:ind w:left="980" w:hanging="648"/>
        <w:spacing w:after="0" w:line="269"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annual Performance Rebate and Transitions Rebate that Customer earned pursuant to the terms and conditions of the Agreement in the just concluded Contract Year; and</w:t>
      </w:r>
    </w:p>
    <w:p>
      <w:pPr>
        <w:spacing w:after="0" w:line="159" w:lineRule="exact"/>
        <w:rPr>
          <w:rFonts w:ascii="Times New Roman" w:cs="Times New Roman" w:eastAsia="Times New Roman" w:hAnsi="Times New Roman"/>
          <w:sz w:val="18"/>
          <w:szCs w:val="18"/>
          <w:color w:val="auto"/>
        </w:rPr>
      </w:pPr>
    </w:p>
    <w:p>
      <w:pPr>
        <w:ind w:left="980" w:hanging="648"/>
        <w:spacing w:after="0" w:line="269"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type, quantity, and dollar amounts of Customer’s Direct Lens purchases and License Fees paid to Essilor for the just concluded Contract Year; and</w:t>
      </w:r>
    </w:p>
    <w:p>
      <w:pPr>
        <w:spacing w:after="0" w:line="15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rebates or discounts, if any, received by Customer.</w:t>
      </w:r>
    </w:p>
    <w:p>
      <w:pPr>
        <w:spacing w:after="0" w:line="21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Compliance with Terms and Law</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of the parties to this Agreement agrees to comply with (1) the terms and conditions of this Agreement and (2) all applicable laws and regulations during the Term.</w:t>
      </w:r>
    </w:p>
    <w:p>
      <w:pPr>
        <w:spacing w:after="0" w:line="156"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Price Transparency</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Customer understands and acknowledges that Customer may be requested-pursuant to applicable laws, regulations or contractual provisions-to fully and accurately report and disclose all price reductions (e.g., discounts and rebates) received by Essilor under this Agreement, which such information shall be contained in the Rebate Reports provided under this Agreement. Customer covenants and agrees that it shall (1) comply with its reporting and disclosure requirements, if any, and (2) provide the relevant governmental authority, health care plan or program, or third party payer with such other information about the price reductions it received, upon request.</w:t>
      </w:r>
    </w:p>
    <w:p>
      <w:pPr>
        <w:sectPr>
          <w:pgSz w:w="11900" w:h="16838" w:orient="portrait"/>
          <w:cols w:equalWidth="0" w:num="1">
            <w:col w:w="11420"/>
          </w:cols>
          <w:pgMar w:left="240" w:top="1031" w:right="239" w:bottom="1440" w:gutter="0" w:footer="0" w:header="0"/>
        </w:sectPr>
      </w:pPr>
    </w:p>
    <w:bookmarkStart w:id="133" w:name="page134"/>
    <w:bookmarkEnd w:id="133"/>
    <w:p>
      <w:pPr>
        <w:ind w:right="20"/>
        <w:spacing w:after="0" w:line="254" w:lineRule="auto"/>
        <w:rPr>
          <w:sz w:val="20"/>
          <w:szCs w:val="20"/>
          <w:color w:val="auto"/>
        </w:rPr>
      </w:pPr>
      <w:r>
        <w:rPr>
          <w:rFonts w:ascii="Times New Roman" w:cs="Times New Roman" w:eastAsia="Times New Roman" w:hAnsi="Times New Roman"/>
          <w:sz w:val="20"/>
          <w:szCs w:val="20"/>
          <w:color w:val="auto"/>
        </w:rPr>
        <w:t>Customer may wish to consult with its legal advisers regarding how, where, and when any price reductions received under this Agreement should be reported and otherwise disclosed, including whether and how such price reductions should be apportioned over Customer's purchases during the relevant Contract Year.</w:t>
      </w:r>
    </w:p>
    <w:p>
      <w:pPr>
        <w:spacing w:after="0" w:line="171"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20" w:lineRule="exact"/>
        <w:rPr>
          <w:sz w:val="20"/>
          <w:szCs w:val="20"/>
          <w:color w:val="auto"/>
        </w:rPr>
      </w:pPr>
    </w:p>
    <w:p>
      <w:pPr>
        <w:jc w:val="both"/>
        <w:ind w:right="360"/>
        <w:spacing w:after="0" w:line="269" w:lineRule="auto"/>
        <w:rPr>
          <w:sz w:val="20"/>
          <w:szCs w:val="20"/>
          <w:color w:val="auto"/>
        </w:rPr>
      </w:pPr>
      <w:r>
        <w:rPr>
          <w:rFonts w:ascii="Times New Roman" w:cs="Times New Roman" w:eastAsia="Times New Roman" w:hAnsi="Times New Roman"/>
          <w:sz w:val="20"/>
          <w:szCs w:val="20"/>
          <w:color w:val="auto"/>
        </w:rPr>
        <w:t>Each party represents and warrants to the other that on and as of the date of this Agreement, each and every representation and warranty set forth is true and accurate.</w:t>
      </w:r>
    </w:p>
    <w:p>
      <w:pPr>
        <w:spacing w:after="0" w:line="160" w:lineRule="exact"/>
        <w:rPr>
          <w:sz w:val="20"/>
          <w:szCs w:val="20"/>
          <w:color w:val="auto"/>
        </w:rPr>
      </w:pPr>
    </w:p>
    <w:p>
      <w:pPr>
        <w:jc w:val="both"/>
        <w:ind w:right="360"/>
        <w:spacing w:after="0" w:line="254" w:lineRule="auto"/>
        <w:rPr>
          <w:sz w:val="20"/>
          <w:szCs w:val="20"/>
          <w:color w:val="auto"/>
        </w:rPr>
      </w:pPr>
      <w:r>
        <w:rPr>
          <w:rFonts w:ascii="Times New Roman" w:cs="Times New Roman" w:eastAsia="Times New Roman" w:hAnsi="Times New Roman"/>
          <w:sz w:val="20"/>
          <w:szCs w:val="20"/>
          <w:color w:val="auto"/>
        </w:rPr>
        <w:t>Each party has full corporate power and authority to execute, deliver and perform the obligations contemplated by this Agreement and this Agreement and the transactions contemplated hereby have been duly and validly authorized by all necessary corporate action on the part of such party.</w:t>
      </w:r>
    </w:p>
    <w:p>
      <w:pPr>
        <w:spacing w:after="0" w:line="17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This Agreement, as executed and delivered, constitutes legal, valid and binding obligations of each party enforceable in accordance with its terms. The execution, delivery and performance of this Agreement does not violate or contravene any provision of law, or conflict with the Articles of Incorporation of either party or any other document or charter under which such party was established, or conflict with or result in the breach of any provision of any agreement to which such party is a party, or constitute a default or an event that, with the giving of notice, or the passing of time, would create such a default.</w:t>
      </w:r>
    </w:p>
    <w:p>
      <w:pPr>
        <w:spacing w:after="0" w:line="18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Essilor represents and warrants that (a) it possesses all federal, state and local licenses and permits necessary to manufacture and sell the products in accordance with the terms of this Agreement, (b) the products manufactured by Essilor will be in accordance with legal and industry specifications (including ANSI standards) and will be free from defects in workmanship and material, and (c) Essilor shall comply with all federal, state and local laws and regulations applicable to the manufacture and sale of the products in accordance with the terms of this Agreement.</w:t>
      </w:r>
    </w:p>
    <w:p>
      <w:pPr>
        <w:spacing w:after="0" w:line="177"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Force Majeure</w:t>
      </w:r>
    </w:p>
    <w:p>
      <w:pPr>
        <w:spacing w:after="0" w:line="2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the event either party is prevented or delayed in the performance of any obligation required under this Agreement due to delays caused by fire, catastrophe, strikes or labor trouble, civil commotion, acts of God, governmental prohibitions or regulation, inability or difficulty to obtain materials or other causes beyond the performing party's reasonable control, the performing party shall, within ten (10) days of the event causing such delay, provide written notice to the other party of the event causing the delay and the anticipated period of delay, and the period of such delay shall be added to the time for performance thereof. The performing party shall have no liability by reason of such permitted delays. In the event the performing party fails to provide notice to the other party of the force majeure delay within such ten (10) day period, the performing party shall not be excused from the timely performance of such obligation regardless of the cause. Notwithstanding the foregoing, Customer shall have the right, in the event of a force majeure delay that adversely affects the ability of Essilor to timely deliver the Direct Lenses under this Agreement, to order any Direct Lenses from a source other than Essilor.</w:t>
      </w:r>
    </w:p>
    <w:p>
      <w:pPr>
        <w:spacing w:after="0" w:line="183"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Confidentiality</w:t>
      </w:r>
    </w:p>
    <w:p>
      <w:pPr>
        <w:spacing w:after="0" w:line="2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9"/>
          <w:szCs w:val="19"/>
          <w:color w:val="auto"/>
        </w:rPr>
        <w:t>The contents of this Agreement and confidential information exchanged in connection therewith are deemed confidential, shall not be disclosed to third parties, and shall be treated under an existing non-disclosure agreement between the parties. Notwithstanding the foregoing, each party may disclose such matters (a) in connection with tax proceedings, arbitration, or litigation that involves the terms of this Agreement and (b) to</w:t>
      </w:r>
    </w:p>
    <w:p>
      <w:pPr>
        <w:spacing w:after="0" w:line="1" w:lineRule="exact"/>
        <w:rPr>
          <w:sz w:val="20"/>
          <w:szCs w:val="20"/>
          <w:color w:val="auto"/>
        </w:rPr>
      </w:pPr>
    </w:p>
    <w:p>
      <w:pPr>
        <w:ind w:right="20" w:firstLine="8"/>
        <w:spacing w:after="0" w:line="241" w:lineRule="auto"/>
        <w:tabs>
          <w:tab w:leader="none" w:pos="2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officers, directors, affiliates, employees, accountants, attorneys, advisors, and other individuals who need to know such contents in connection with their duties on behalf of such party; (ii) actual or potential financing sources, and other parties that may enter into business transactions with each party or its affiliates (including any Contract Laboratories, hereafter defined); and (iii) government authorities (including courts and administrative agencies) if required by or advisable under applicable legal requirements. The foregoing shall not prevent either party from disclosing the existence of their vendor/customer arrangement.</w:t>
      </w:r>
    </w:p>
    <w:p>
      <w:pPr>
        <w:spacing w:after="0" w:line="18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Confidentiality of Price List as to HKO and Mexico Laboratory</w:t>
      </w:r>
    </w:p>
    <w:p>
      <w:pPr>
        <w:sectPr>
          <w:pgSz w:w="11900" w:h="16838" w:orient="portrait"/>
          <w:cols w:equalWidth="0" w:num="1">
            <w:col w:w="11400"/>
          </w:cols>
          <w:pgMar w:left="240" w:top="360" w:right="259" w:bottom="1440" w:gutter="0" w:footer="0" w:header="0"/>
        </w:sectPr>
      </w:pPr>
    </w:p>
    <w:bookmarkStart w:id="134" w:name="page135"/>
    <w:bookmarkEnd w:id="134"/>
    <w:p>
      <w:pPr>
        <w:ind w:right="20"/>
        <w:spacing w:after="0" w:line="258" w:lineRule="auto"/>
        <w:rPr>
          <w:sz w:val="20"/>
          <w:szCs w:val="20"/>
          <w:color w:val="auto"/>
        </w:rPr>
      </w:pPr>
      <w:r>
        <w:rPr>
          <w:rFonts w:ascii="Times New Roman" w:cs="Times New Roman" w:eastAsia="Times New Roman" w:hAnsi="Times New Roman"/>
          <w:sz w:val="19"/>
          <w:szCs w:val="19"/>
          <w:color w:val="auto"/>
        </w:rPr>
        <w:t>The parties acknowledge that Essilor considers the Price List confidential and that Customer intends to contract with HKO and laboratories in Mexico, and may in the future contract with other laboratories not owned or under common control with Customer (all the foregoing, “Contract Laboratories”) to process certain of the Direct Lenses for Customer. The parties accordingly agree that Customer will not contract with a Contract Laboratory for the processing of Direct Lenses unless and until either (a) the Contract Laboratory has entered into a customary confidentiality agreement, in a form and on terms substantially the same as that attached hereto as Schedule C, pursuant to which the Contract Laboratory has agreed to keep confidential the terms of the Price List or (b) Essilor and Customer have agreed upon procedures to enable the Contract Laboratory to process the Direct Lenses without having access to such terms (such procedure may include the direct shipment of the Direct Lenses to the Contract Laboratory). Essilor and Customer agree to work reasonably together to agree upon such procedures.</w:t>
      </w:r>
    </w:p>
    <w:p>
      <w:pPr>
        <w:spacing w:after="0" w:line="170"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Relationships of the Parties</w:t>
      </w:r>
    </w:p>
    <w:p>
      <w:pPr>
        <w:spacing w:after="0" w:line="220"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For purposes of the Agreement and the transactions provided for herein, the parties to the Agreement shall be deemed to be independent contractors. Nothing in the Agreement is intended to create, nor shall it be construed to create, an employer-employee, franchisor-franchisee, joint venture or partnership relationship between the parties.</w:t>
      </w:r>
    </w:p>
    <w:p>
      <w:pPr>
        <w:spacing w:after="0" w:line="171"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Indemnification, Warranties and Limitation of Remedy and Liabilities</w:t>
      </w:r>
    </w:p>
    <w:p>
      <w:pPr>
        <w:spacing w:after="0" w:line="22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Each party, on behalf of its respective successors, heirs and assigns, agrees to protect, defend, hold harmless and indemnify the other party, its respective parent, subsidiaries and affiliated corporations, as well as their directors, officers and employees, from and against any and all expenses, claims (including third party claims), actions, liabilities, losses and damages of any kind whatsoever (including, without limitation of the foregoing, death or injury to persons) resulting or arising out of the performance of or failure of the indemnifying party, its respective agents, employees or permitted assignees, to perform any of their joint or respective obligations pursuant to the terms of the Agreement or from any misrepresentation or the omission or commission of any act, lawful or unlawful, by the indemnifying party or any of its agents, employees or permitted assignees.</w:t>
      </w:r>
    </w:p>
    <w:p>
      <w:pPr>
        <w:spacing w:after="0" w:line="18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EXCEPT AS PROVIDED FOR HEREIN, ESSILOR HEREBY DISCLAIMS ALL WARRANTIES, REPRESENTATIONS AND CONDITIONS, STATUTORY OR OTHERWISE, EXPRESS OR IMPLIED, OF MERCHANTABILITY AND FITNESS FOR A PARTICULAR PURPOSE. THE SOLE AND EXCLUSIVE REMEDY AVAILABLE TO SHALL BE AS PROVIDED IN THIS AGREEMENT. IN NO EVENT WILL EITHER PARTY BE LIABLE FOR ANY DIRECT, INDIRECT, SPECIAL, INCIDENTAL, PUNITIVE, OR CONSEQUENTIAL DAMAGES ON ANY LEGAL THEORY, WHETHER IN CONTRACT, TORT, EQUITY, OR AT LAW, EVEN IF ADVISED OF THE POSSIBILITY OF SUCH DAMAGES.</w:t>
      </w:r>
    </w:p>
    <w:p>
      <w:pPr>
        <w:spacing w:after="0" w:line="181"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Arbitration</w:t>
      </w:r>
    </w:p>
    <w:p>
      <w:pPr>
        <w:spacing w:after="0" w:line="2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Any controversy, dispute or claim arising out of the interpretation, performance or breach of the Agreement shall be resolved by binding arbitration at the request of either party, in accordance with the Commercial Arbitration Rules of the American Arbitration Association. The arbitrators shall apply New York substantive law and federal substantive law where state law is preempted. Civil discovery for use in such arbitration may be conducted in accordance with the provisions of New York law, and the arbitrator(s) selected shall have the power to enforce the rights, remedies, duties, liabilities and obligations of discovery by the imposition of the same terms, conditions and penalties as can be imposed in like circumstances in a civil action by a court of competent jurisdiction of the State of New York. The provisions of New York law concerning the right to discovery and the use of depositions in arbitration are incorporated herein by reference and made applicable to the Agreement. The arbitrators shall have the power to grant all legal and equitable remedies and award compensatory damages provided by New York law, subject to the limitations on damages set forth above. The arbitrators shall prepare in writing and provide to the parties an award including factual findings and the legal reasons on which the award is based. The arbitrators shall not have the power to commit errors of law or legal reasoning. Notwithstanding the above, in the event any party wishes to obtain injunctive relief or a temporary restraining order, such party may initiate an action for such relief in</w:t>
      </w:r>
    </w:p>
    <w:p>
      <w:pPr>
        <w:sectPr>
          <w:pgSz w:w="11900" w:h="16838" w:orient="portrait"/>
          <w:cols w:equalWidth="0" w:num="1">
            <w:col w:w="11420"/>
          </w:cols>
          <w:pgMar w:left="240" w:top="576"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any court of competent jurisdiction. However, the courts shall not have the authority to review or grant any request or demand for damages.</w:t>
      </w:r>
    </w:p>
    <w:p>
      <w:pPr>
        <w:spacing w:after="0" w:line="200" w:lineRule="exact"/>
        <w:rPr>
          <w:sz w:val="20"/>
          <w:szCs w:val="20"/>
          <w:color w:val="auto"/>
        </w:rPr>
      </w:pPr>
    </w:p>
    <w:p>
      <w:pPr>
        <w:spacing w:after="0" w:line="22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Attorneys’ Fees; Interest</w:t>
      </w:r>
    </w:p>
    <w:p>
      <w:pPr>
        <w:spacing w:after="0" w:line="2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In the event that either party to the Agreement institutes litigation or arbitration against the other party to enforce any of the terms or conditions of the Agreement, the prevailing party in such litigation or arbitration shall be entitled to recover reasonable costs and attorneys’ fees incurred by it from the other party. If any monthly statements are not timely paid by Customer, such obligation shall accrue interest at the lower of the highest interest rate allowed by applicable law and one and one-half percent (1 ½%) per month from the date that each such obligation is due until paid.</w:t>
      </w:r>
    </w:p>
    <w:p>
      <w:pPr>
        <w:spacing w:after="0" w:line="177"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Waiver</w:t>
      </w:r>
    </w:p>
    <w:p>
      <w:pPr>
        <w:spacing w:after="0" w:line="22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failure of either party to seek redress for violation of, or to insist upon strict performance of, any term, covenant or condition contained in the Agreement shall not prevent a similar subsequent act from constituting a default under the Agreement.</w:t>
      </w:r>
    </w:p>
    <w:p>
      <w:pPr>
        <w:spacing w:after="0" w:line="156"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Previous Agreements, Modifications, and Assignment</w:t>
      </w:r>
    </w:p>
    <w:p>
      <w:pPr>
        <w:spacing w:after="0" w:line="22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This Agreement replaces any other preceding agreement, whether written or oral, between the parties on the subject matter hereof. The parties acknowledge that certain Direct Lens Supply Letter Agreement, dated May 25, 2011, as amended (the “Original Agreement”) shall remain in effect until the commencement of the Initial Term under this Agreement. No addition or modification to this Agreement shall be valid unless made in writing signed by both parties hereto. If any provision or clause of this Agreement is found to be null and void or unenforceable, the balance of this Agreement will be construed as a whole to effect as closely as practicable the original intent of the parties. Neither party may assign any of its rights or obligations under this Agreement to any other party without the prior written consent of the other, except for a transfer to an entity controlled by or under common control with the assigning party. Each and every assignee of any right(s) or obligation(s) under this Agreement shall be bound by all of the terms and conditions hereof.</w:t>
      </w:r>
    </w:p>
    <w:p>
      <w:pPr>
        <w:spacing w:after="0" w:line="186"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notices required or permitted to be given hereunder or under the Agreement shall be given in writing and shall be delivered (i) in person,</w:t>
      </w:r>
    </w:p>
    <w:p>
      <w:pPr>
        <w:spacing w:after="0" w:line="22" w:lineRule="exact"/>
        <w:rPr>
          <w:sz w:val="20"/>
          <w:szCs w:val="20"/>
          <w:color w:val="auto"/>
        </w:rPr>
      </w:pPr>
    </w:p>
    <w:p>
      <w:pPr>
        <w:ind w:firstLine="8"/>
        <w:spacing w:after="0" w:line="246" w:lineRule="auto"/>
        <w:tabs>
          <w:tab w:leader="none" w:pos="29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certified mail, postage prepaid, return receipt requested, (iii) by facsimile, or (iv) by a commercial overnight courier that guarantees next day delivery and provides a receipt, and such notices shall be addressed as follows:</w:t>
      </w:r>
    </w:p>
    <w:p>
      <w:pPr>
        <w:sectPr>
          <w:pgSz w:w="11900" w:h="16838" w:orient="portrait"/>
          <w:cols w:equalWidth="0" w:num="1">
            <w:col w:w="11360"/>
          </w:cols>
          <w:pgMar w:left="240" w:top="360" w:right="29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Essilor: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Essilor of America, Inc.</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Office of the General Counsel</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13555 N. Stemmons Freeway</w:t>
      </w:r>
    </w:p>
    <w:p>
      <w:pPr>
        <w:ind w:left="320"/>
        <w:spacing w:after="0"/>
        <w:rPr>
          <w:sz w:val="20"/>
          <w:szCs w:val="20"/>
          <w:color w:val="auto"/>
        </w:rPr>
      </w:pPr>
      <w:r>
        <w:rPr>
          <w:rFonts w:ascii="Times New Roman" w:cs="Times New Roman" w:eastAsia="Times New Roman" w:hAnsi="Times New Roman"/>
          <w:sz w:val="20"/>
          <w:szCs w:val="20"/>
          <w:color w:val="auto"/>
        </w:rPr>
        <w:t>Dallas, Texas 75234</w:t>
      </w:r>
    </w:p>
    <w:p>
      <w:pPr>
        <w:ind w:left="320"/>
        <w:spacing w:after="0"/>
        <w:rPr>
          <w:sz w:val="20"/>
          <w:szCs w:val="20"/>
          <w:color w:val="auto"/>
        </w:rPr>
      </w:pPr>
      <w:r>
        <w:rPr>
          <w:rFonts w:ascii="Times New Roman" w:cs="Times New Roman" w:eastAsia="Times New Roman" w:hAnsi="Times New Roman"/>
          <w:sz w:val="20"/>
          <w:szCs w:val="20"/>
          <w:color w:val="auto"/>
        </w:rPr>
        <w:t>Facsimile: (972) 241-1162</w:t>
      </w:r>
    </w:p>
    <w:p>
      <w:pPr>
        <w:spacing w:after="0" w:line="194" w:lineRule="exact"/>
        <w:rPr>
          <w:sz w:val="20"/>
          <w:szCs w:val="20"/>
          <w:color w:val="auto"/>
        </w:rPr>
      </w:pPr>
    </w:p>
    <w:p>
      <w:pPr>
        <w:sectPr>
          <w:pgSz w:w="11900" w:h="16838" w:orient="portrait"/>
          <w:cols w:equalWidth="0" w:num="2">
            <w:col w:w="620" w:space="360"/>
            <w:col w:w="10380"/>
          </w:cols>
          <w:pgMar w:left="240" w:top="360" w:right="29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Customer: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National Vision, Inc.</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2435 Commerce Ave., Building 2200</w:t>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Duluth, GA 30096</w:t>
      </w:r>
    </w:p>
    <w:p>
      <w:pPr>
        <w:ind w:left="280"/>
        <w:spacing w:after="0"/>
        <w:rPr>
          <w:sz w:val="20"/>
          <w:szCs w:val="20"/>
          <w:color w:val="auto"/>
        </w:rPr>
      </w:pPr>
      <w:r>
        <w:rPr>
          <w:rFonts w:ascii="Times New Roman" w:cs="Times New Roman" w:eastAsia="Times New Roman" w:hAnsi="Times New Roman"/>
          <w:sz w:val="20"/>
          <w:szCs w:val="20"/>
          <w:color w:val="auto"/>
        </w:rPr>
        <w:t>Attn: General Counsel</w:t>
      </w:r>
    </w:p>
    <w:p>
      <w:pPr>
        <w:ind w:left="280"/>
        <w:spacing w:after="0"/>
        <w:rPr>
          <w:sz w:val="20"/>
          <w:szCs w:val="20"/>
          <w:color w:val="auto"/>
        </w:rPr>
      </w:pPr>
      <w:r>
        <w:rPr>
          <w:rFonts w:ascii="Times New Roman" w:cs="Times New Roman" w:eastAsia="Times New Roman" w:hAnsi="Times New Roman"/>
          <w:sz w:val="20"/>
          <w:szCs w:val="20"/>
          <w:color w:val="auto"/>
        </w:rPr>
        <w:t>With a copy to: Megan Molony</w:t>
      </w:r>
    </w:p>
    <w:p>
      <w:pPr>
        <w:spacing w:after="0" w:line="194" w:lineRule="exact"/>
        <w:rPr>
          <w:sz w:val="20"/>
          <w:szCs w:val="20"/>
          <w:color w:val="auto"/>
        </w:rPr>
      </w:pPr>
    </w:p>
    <w:p>
      <w:pPr>
        <w:sectPr>
          <w:pgSz w:w="11900" w:h="16838" w:orient="portrait"/>
          <w:cols w:equalWidth="0" w:num="2">
            <w:col w:w="840" w:space="180"/>
            <w:col w:w="10340"/>
          </w:cols>
          <w:pgMar w:left="240" w:top="360" w:right="299" w:bottom="1440" w:gutter="0" w:footer="0" w:header="0"/>
          <w:type w:val="continuous"/>
        </w:sect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or to such other address as either party may from time to time specify in writing to the other party. Any notice shall be effective only upon delivery, which for any notice given by facsimile shall mean notice that has been received by the party to whom it is sent as evidenced by confirmation slip.</w:t>
      </w:r>
    </w:p>
    <w:p>
      <w:pPr>
        <w:sectPr>
          <w:pgSz w:w="11900" w:h="16838" w:orient="portrait"/>
          <w:cols w:equalWidth="0" w:num="1">
            <w:col w:w="11360"/>
          </w:cols>
          <w:pgMar w:left="240" w:top="360" w:right="299" w:bottom="1440" w:gutter="0" w:footer="0" w:header="0"/>
          <w:type w:val="continuous"/>
        </w:sectPr>
      </w:pPr>
    </w:p>
    <w:bookmarkStart w:id="136" w:name="page137"/>
    <w:bookmarkEnd w:id="136"/>
    <w:p>
      <w:pPr>
        <w:ind w:left="660" w:hanging="328"/>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u w:val="single" w:color="auto"/>
          <w:color w:val="auto"/>
        </w:rPr>
        <w:t>Counterparts; Facsimiles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each of which shall be deemed to be an original and all of which together shall be deemed to be one and the same instrument. A signature sent by telecopy or facsimile transmission shall be as valid and binding upon the party as an original signature of such party.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ESSILOR OF AMERICA, INC.</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Steve Nussbaumer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 Steve Nussbaumer</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Title: SVP and General Manager, Key Accounts</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By executing below, the undersigned hereby represents and warrants that he/she has the authority to execute this Agreement on behalf of Customer, as applicable, and in furtherance of this Agreement.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TO AND ACCEPTED BY: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National Vision, Inc.</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Megan Molony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667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 Megan Molony</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Title: Sr. Vice President, Merchandising</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November 12, 2018</w:t>
      </w:r>
    </w:p>
    <w:p>
      <w:pPr>
        <w:sectPr>
          <w:pgSz w:w="11900" w:h="16838" w:orient="portrait"/>
          <w:cols w:equalWidth="0" w:num="1">
            <w:col w:w="11420"/>
          </w:cols>
          <w:pgMar w:left="240" w:top="1261" w:right="239" w:bottom="1440" w:gutter="0" w:footer="0" w:header="0"/>
        </w:sectPr>
      </w:pPr>
    </w:p>
    <w:bookmarkStart w:id="137" w:name="page138"/>
    <w:bookmarkEnd w:id="13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911860</wp:posOffset>
            </wp:positionV>
            <wp:extent cx="725487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0">
                      <a:extLst>
                        <a:ext uri="{28A0092B-C50C-407E-A947-70E740481C1C}"/>
                      </a:extLst>
                    </a:blip>
                    <a:srcRect/>
                    <a:stretch>
                      <a:fillRect/>
                    </a:stretch>
                  </pic:blipFill>
                  <pic:spPr bwMode="auto">
                    <a:xfrm>
                      <a:off x="0" y="0"/>
                      <a:ext cx="7254875" cy="342900"/>
                    </a:xfrm>
                    <a:prstGeom prst="rect">
                      <a:avLst/>
                    </a:prstGeom>
                    <a:noFill/>
                  </pic:spPr>
                </pic:pic>
              </a:graphicData>
            </a:graphic>
          </wp:anchor>
        </w:drawing>
      </w:r>
    </w:p>
    <w:p>
      <w:pPr>
        <w:spacing w:after="0" w:line="269" w:lineRule="auto"/>
        <w:rPr>
          <w:sz w:val="20"/>
          <w:szCs w:val="20"/>
          <w:color w:val="auto"/>
        </w:rPr>
      </w:pPr>
      <w:r>
        <w:rPr>
          <w:rFonts w:ascii="Times New Roman" w:cs="Times New Roman" w:eastAsia="Times New Roman" w:hAnsi="Times New Roman"/>
          <w:sz w:val="20"/>
          <w:szCs w:val="20"/>
          <w:color w:val="auto"/>
        </w:rPr>
        <w:t>Confidential treatment has been requested with respect to information contained within the [*] marking. Such portions have been omitted from this filing and have been separately filed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374650</wp:posOffset>
            </wp:positionV>
            <wp:extent cx="725487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extLst>
                        <a:ext uri="{28A0092B-C50C-407E-A947-70E740481C1C}"/>
                      </a:extLst>
                    </a:blip>
                    <a:srcRect/>
                    <a:stretch>
                      <a:fillRect/>
                    </a:stretch>
                  </pic:blipFill>
                  <pic:spPr bwMode="auto">
                    <a:xfrm>
                      <a:off x="0" y="0"/>
                      <a:ext cx="7254875" cy="34290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120" w:firstLine="9"/>
        <w:spacing w:after="0" w:line="269" w:lineRule="auto"/>
        <w:tabs>
          <w:tab w:leader="none" w:pos="14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four-page schedule, for which confidential treatment has been requested, has been omitted. All such omitted material has been separately filed.</w:t>
      </w:r>
    </w:p>
    <w:p>
      <w:pPr>
        <w:sectPr>
          <w:pgSz w:w="11900" w:h="16838" w:orient="portrait"/>
          <w:cols w:equalWidth="0" w:num="1">
            <w:col w:w="11320"/>
          </w:cols>
          <w:pgMar w:left="280" w:top="1440" w:right="29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Laboratorio Optimex, S.A. de C.V.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Eugenio Cuzin #945 Parque Industrial Belenes Norte</w:t>
      </w:r>
    </w:p>
    <w:p>
      <w:pPr>
        <w:spacing w:after="0"/>
        <w:rPr>
          <w:sz w:val="20"/>
          <w:szCs w:val="20"/>
          <w:color w:val="auto"/>
        </w:rPr>
      </w:pPr>
      <w:r>
        <w:rPr>
          <w:rFonts w:ascii="Times New Roman" w:cs="Times New Roman" w:eastAsia="Times New Roman" w:hAnsi="Times New Roman"/>
          <w:sz w:val="20"/>
          <w:szCs w:val="20"/>
          <w:color w:val="auto"/>
        </w:rPr>
        <w:t>Zapopan, Jal. Mexico 45150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Hong Kong Optical,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Flat 03, 10/F, Kwong Sang Hong Centre</w:t>
      </w:r>
    </w:p>
    <w:p>
      <w:pPr>
        <w:spacing w:after="0"/>
        <w:rPr>
          <w:sz w:val="20"/>
          <w:szCs w:val="20"/>
          <w:color w:val="auto"/>
        </w:rPr>
      </w:pPr>
      <w:r>
        <w:rPr>
          <w:rFonts w:ascii="Times New Roman" w:cs="Times New Roman" w:eastAsia="Times New Roman" w:hAnsi="Times New Roman"/>
          <w:sz w:val="20"/>
          <w:szCs w:val="20"/>
          <w:color w:val="auto"/>
        </w:rPr>
        <w:t>151 Hoi Bun Rd, Kwun Tong, Kowloon, Hong Kong</w:t>
      </w:r>
    </w:p>
    <w:p>
      <w:pPr>
        <w:sectPr>
          <w:pgSz w:w="11900" w:h="16838" w:orient="portrait"/>
          <w:cols w:equalWidth="0" w:num="1">
            <w:col w:w="10219"/>
          </w:cols>
          <w:pgMar w:left="240" w:top="1440" w:right="144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200" w:type="dxa"/>
            <w:vAlign w:val="bottom"/>
            <w:tcBorders>
              <w:top w:val="single" w:sz="8" w:color="auto"/>
              <w:left w:val="single" w:sz="8" w:color="auto"/>
              <w:right w:val="single" w:sz="8" w:color="auto"/>
            </w:tcBorders>
            <w:shd w:val="clear" w:color="auto" w:fill="969696"/>
          </w:tcPr>
          <w:p>
            <w:pPr>
              <w:spacing w:after="0"/>
              <w:rPr>
                <w:sz w:val="20"/>
                <w:szCs w:val="20"/>
                <w:color w:val="auto"/>
              </w:rPr>
            </w:pPr>
          </w:p>
        </w:tc>
        <w:tc>
          <w:tcPr>
            <w:tcW w:w="2020" w:type="dxa"/>
            <w:vAlign w:val="bottom"/>
            <w:tcBorders>
              <w:top w:val="single" w:sz="8" w:color="auto"/>
              <w:right w:val="single" w:sz="8" w:color="auto"/>
            </w:tcBorders>
            <w:shd w:val="clear" w:color="auto" w:fill="969696"/>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16"/>
        </w:trPr>
        <w:tc>
          <w:tcPr>
            <w:tcW w:w="7200" w:type="dxa"/>
            <w:vAlign w:val="bottom"/>
            <w:tcBorders>
              <w:left w:val="single" w:sz="8" w:color="auto"/>
              <w:right w:val="single" w:sz="8" w:color="auto"/>
            </w:tcBorders>
            <w:shd w:val="clear" w:color="auto" w:fill="969696"/>
          </w:tcPr>
          <w:p>
            <w:pPr>
              <w:spacing w:after="0"/>
              <w:rPr>
                <w:sz w:val="18"/>
                <w:szCs w:val="18"/>
                <w:color w:val="auto"/>
              </w:rPr>
            </w:pPr>
          </w:p>
        </w:tc>
        <w:tc>
          <w:tcPr>
            <w:tcW w:w="2020" w:type="dxa"/>
            <w:vAlign w:val="bottom"/>
            <w:tcBorders>
              <w:right w:val="single" w:sz="8" w:color="auto"/>
            </w:tcBorders>
            <w:shd w:val="clear" w:color="auto" w:fill="969696"/>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70"/>
        </w:trPr>
        <w:tc>
          <w:tcPr>
            <w:tcW w:w="7200" w:type="dxa"/>
            <w:vAlign w:val="bottom"/>
            <w:tcBorders>
              <w:left w:val="single" w:sz="8" w:color="auto"/>
              <w:bottom w:val="single" w:sz="8" w:color="969696"/>
              <w:right w:val="single" w:sz="8" w:color="auto"/>
            </w:tcBorders>
            <w:shd w:val="clear" w:color="auto" w:fill="969696"/>
          </w:tcPr>
          <w:p>
            <w:pPr>
              <w:ind w:left="31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020" w:type="dxa"/>
            <w:vAlign w:val="bottom"/>
            <w:tcBorders>
              <w:bottom w:val="single" w:sz="8" w:color="969696"/>
              <w:right w:val="single" w:sz="8" w:color="auto"/>
            </w:tcBorders>
            <w:shd w:val="clear" w:color="auto" w:fill="96969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37"/>
        </w:trPr>
        <w:tc>
          <w:tcPr>
            <w:tcW w:w="72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Nautilus Acquisition Holdings, Inc.</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18"/>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National Vision, Inc. (dba Eyeglass World, America’s Best Contacts and Eyeglasses, Vision</w:t>
            </w:r>
          </w:p>
        </w:tc>
        <w:tc>
          <w:tcPr>
            <w:tcW w:w="2020" w:type="dxa"/>
            <w:vAlign w:val="bottom"/>
            <w:tcBorders>
              <w:right w:val="single" w:sz="8" w:color="auto"/>
            </w:tcBorders>
          </w:tcPr>
          <w:p>
            <w:pPr>
              <w:spacing w:after="0"/>
              <w:rPr>
                <w:sz w:val="18"/>
                <w:szCs w:val="18"/>
                <w:color w:val="auto"/>
              </w:rPr>
            </w:pPr>
          </w:p>
        </w:tc>
      </w:tr>
      <w:tr>
        <w:trPr>
          <w:trHeight w:val="234"/>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Center and Vista Optical)</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Arlington Contact Lens Service, Inc. (dba AC Lens)</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NVAL Healthcare Systems,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FirstSight Vision Services, Inc. (dba FirstSight)</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Vision Administrators, Inc.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International Vision Associates, Ltd.</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Opti-Vision Finance Services, LLC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VC IV, LLC</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Czech Vision Associates, s.r.o.</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37"/>
        </w:trPr>
        <w:tc>
          <w:tcPr>
            <w:tcW w:w="7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Slovak Vision Associates, s.r.o.</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Slovakia</w:t>
            </w:r>
          </w:p>
        </w:tc>
      </w:tr>
      <w:tr>
        <w:trPr>
          <w:trHeight w:val="27"/>
        </w:trPr>
        <w:tc>
          <w:tcPr>
            <w:tcW w:w="72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300"/>
          </w:cols>
          <w:pgMar w:left="1360" w:top="553"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3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 No. 333- 228382 on Form S-3 and in Registration Statement Nos. 333-221131 and 333-225611 on Form S-8 of our reports dated February 26, 2019, relating to the consolidated financial statements and financial statement schedule of National Vision Holdings, Inc. and subsidiaries (the “Company”) (which report expresses an unqualified opinion and includes an explanatory paragraph relating to the adoption of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the effectiveness of the Company’s internal control over financial reporting (which report expresses an adverse opinion on the effectiveness of the Company's internal control over financial reporting because of a material weakness), appearing in this Annual Report on Form 10-K of National Vision Holding, Inc. for the year ended December 29, 2018.</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ectPr>
          <w:pgSz w:w="11900" w:h="16838" w:orient="portrait"/>
          <w:cols w:equalWidth="0" w:num="1">
            <w:col w:w="11420"/>
          </w:cols>
          <w:pgMar w:left="240" w:top="580"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National Vision Holdings, Inc.;</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17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3926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 Reade Fahs</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National Vision Holdings, Inc.;</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17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Patrick R. Moore</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National Vision Holdings, Inc. (the “Company”) on Form 10-K for the fiscal year ended December 29, 2018, as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38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3926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 Reade Fahs</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National Vision Holdings, Inc. (the “Company”) on Form 10-K for the fiscal year ended December 29, 2018, as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b w:val="1"/>
          <w:bCs w:val="1"/>
          <w:color w:val="auto"/>
        </w:rPr>
      </w:pPr>
    </w:p>
    <w:p>
      <w:pPr>
        <w:ind w:left="340" w:right="160" w:hanging="332"/>
        <w:spacing w:after="0" w:line="282" w:lineRule="auto"/>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Patrick R. Moore</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lowerRoman"/>
      <w:start w:val="2"/>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lowerLetter"/>
      <w:start w:val="1"/>
    </w:lvl>
  </w:abstractNum>
  <w:abstractNum w:abstractNumId="24">
    <w:nsid w:val="79A1DEAA"/>
    <w:multiLevelType w:val="hybridMultilevel"/>
    <w:lvl w:ilvl="0">
      <w:lvlJc w:val="left"/>
      <w:lvlText w:val="(%1)"/>
      <w:numFmt w:val="lowerLetter"/>
      <w:start w:val="2"/>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lowerLetter"/>
      <w:start w:val="1"/>
    </w:lvl>
  </w:abstractNum>
  <w:abstractNum w:abstractNumId="27">
    <w:nsid w:val="70C6A529"/>
    <w:multiLevelType w:val="hybridMultilevel"/>
    <w:lvl w:ilvl="0">
      <w:lvlJc w:val="left"/>
      <w:lvlText w:val="(%1)"/>
      <w:numFmt w:val="lowerLetter"/>
      <w:start w:val="5"/>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1"/>
    </w:lvl>
    <w:lvl w:ilvl="1">
      <w:lvlJc w:val="left"/>
      <w:lvlText w:val="(%2)"/>
      <w:numFmt w:val="decimal"/>
      <w:start w:val="1"/>
    </w:lvl>
  </w:abstractNum>
  <w:abstractNum w:abstractNumId="31">
    <w:nsid w:val="23F9C13C"/>
    <w:multiLevelType w:val="hybridMultilevel"/>
    <w:lvl w:ilvl="0">
      <w:lvlJc w:val="left"/>
      <w:lvlText w:val="%1."/>
      <w:numFmt w:val="decimal"/>
      <w:start w:val="3"/>
    </w:lvl>
    <w:lvl w:ilvl="1">
      <w:lvlJc w:val="left"/>
      <w:lvlText w:val="%2"/>
      <w:numFmt w:val="decimal"/>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decimal"/>
      <w:start w:val="842"/>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2"/>
    </w:lvl>
  </w:abstractNum>
  <w:abstractNum w:abstractNumId="43">
    <w:nsid w:val="10233C99"/>
    <w:multiLevelType w:val="hybridMultilevel"/>
    <w:lvl w:ilvl="0">
      <w:lvlJc w:val="left"/>
      <w:lvlText w:val="%1."/>
      <w:numFmt w:val="decimal"/>
      <w:start w:val="3"/>
    </w:lvl>
  </w:abstractNum>
  <w:abstractNum w:abstractNumId="44">
    <w:nsid w:val="3F6AB60F"/>
    <w:multiLevelType w:val="hybridMultilevel"/>
    <w:lvl w:ilvl="0">
      <w:lvlJc w:val="left"/>
      <w:lvlText w:val="%1"/>
      <w:numFmt w:val="lowerLetter"/>
      <w:start w:val="1"/>
    </w:lvl>
    <w:lvl w:ilvl="1">
      <w:lvlJc w:val="left"/>
      <w:lvlText w:val="%2."/>
      <w:numFmt w:val="decimal"/>
      <w:start w:val="4"/>
    </w:lvl>
  </w:abstractNum>
  <w:abstractNum w:abstractNumId="45">
    <w:nsid w:val="61574095"/>
    <w:multiLevelType w:val="hybridMultilevel"/>
    <w:lvl w:ilvl="0">
      <w:lvlJc w:val="left"/>
      <w:lvlText w:val="(%1)"/>
      <w:numFmt w:val="lowerLetter"/>
      <w:start w:val="1"/>
    </w:lvl>
    <w:lvl w:ilvl="1">
      <w:lvlJc w:val="left"/>
      <w:lvlText w:val="%2"/>
      <w:numFmt w:val="decimal"/>
      <w:start w:val="1"/>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48">
    <w:nsid w:val="579BE4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9">
    <w:nsid w:val="310C50B3"/>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50">
    <w:nsid w:val="5FF87E05"/>
    <w:multiLevelType w:val="hybridMultilevel"/>
    <w:lvl w:ilvl="0">
      <w:lvlJc w:val="left"/>
      <w:lvlText w:val="%1."/>
      <w:numFmt w:val="decimal"/>
      <w:start w:val="6"/>
    </w:lvl>
  </w:abstractNum>
  <w:abstractNum w:abstractNumId="51">
    <w:nsid w:val="2F305DEF"/>
    <w:multiLevelType w:val="hybridMultilevel"/>
    <w:lvl w:ilvl="0">
      <w:lvlJc w:val="left"/>
      <w:lvlText w:val="%1."/>
      <w:numFmt w:val="decimal"/>
      <w:start w:val="7"/>
    </w:lvl>
  </w:abstractNum>
  <w:abstractNum w:abstractNumId="52">
    <w:nsid w:val="25A70BF7"/>
    <w:multiLevelType w:val="hybridMultilevel"/>
    <w:lvl w:ilvl="0">
      <w:lvlJc w:val="left"/>
      <w:lvlText w:val="%1."/>
      <w:numFmt w:val="decimal"/>
      <w:start w:val="8"/>
    </w:lvl>
  </w:abstractNum>
  <w:abstractNum w:abstractNumId="53">
    <w:nsid w:val="1DBABF00"/>
    <w:multiLevelType w:val="hybridMultilevel"/>
    <w:lvl w:ilvl="0">
      <w:lvlJc w:val="left"/>
      <w:lvlText w:val="%1."/>
      <w:numFmt w:val="decimal"/>
      <w:start w:val="9"/>
    </w:lvl>
  </w:abstractNum>
  <w:abstractNum w:abstractNumId="54">
    <w:nsid w:val="4AD084E9"/>
    <w:multiLevelType w:val="hybridMultilevel"/>
    <w:lvl w:ilvl="0">
      <w:lvlJc w:val="left"/>
      <w:lvlText w:val="%1."/>
      <w:numFmt w:val="decimal"/>
      <w:start w:val="10"/>
    </w:lvl>
  </w:abstractNum>
  <w:abstractNum w:abstractNumId="55">
    <w:nsid w:val="1F48EAA1"/>
    <w:multiLevelType w:val="hybridMultilevel"/>
    <w:lvl w:ilvl="0">
      <w:lvlJc w:val="left"/>
      <w:lvlText w:val="%1."/>
      <w:numFmt w:val="decimal"/>
      <w:start w:val="11"/>
    </w:lvl>
  </w:abstractNum>
  <w:abstractNum w:abstractNumId="56">
    <w:nsid w:val="1381823A"/>
    <w:multiLevelType w:val="hybridMultilevel"/>
    <w:lvl w:ilvl="0">
      <w:lvlJc w:val="left"/>
      <w:lvlText w:val="%1."/>
      <w:numFmt w:val="decimal"/>
      <w:start w:val="12"/>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1."/>
      <w:numFmt w:val="decimal"/>
      <w:start w:val="13"/>
    </w:lvl>
  </w:abstractNum>
  <w:abstractNum w:abstractNumId="59">
    <w:nsid w:val="6590700B"/>
    <w:multiLevelType w:val="hybridMultilevel"/>
    <w:lvl w:ilvl="0">
      <w:lvlJc w:val="left"/>
      <w:lvlText w:val="%1."/>
      <w:numFmt w:val="decimal"/>
      <w:start w:val="14"/>
    </w:lvl>
  </w:abstractNum>
  <w:abstractNum w:abstractNumId="60">
    <w:nsid w:val="15014ACB"/>
    <w:multiLevelType w:val="hybridMultilevel"/>
    <w:lvl w:ilvl="0">
      <w:lvlJc w:val="left"/>
      <w:lvlText w:val="%1."/>
      <w:numFmt w:val="decimal"/>
      <w:start w:val="15"/>
    </w:lvl>
  </w:abstractNum>
  <w:abstractNum w:abstractNumId="61">
    <w:nsid w:val="5F5E7FD0"/>
    <w:multiLevelType w:val="hybridMultilevel"/>
    <w:lvl w:ilvl="0">
      <w:lvlJc w:val="left"/>
      <w:lvlText w:val="%1."/>
      <w:numFmt w:val="decimal"/>
      <w:start w:val="16"/>
    </w:lvl>
  </w:abstractNum>
  <w:abstractNum w:abstractNumId="62">
    <w:nsid w:val="98A3148"/>
    <w:multiLevelType w:val="hybridMultilevel"/>
    <w:lvl w:ilvl="0">
      <w:lvlJc w:val="left"/>
      <w:lvlText w:val="%1."/>
      <w:numFmt w:val="decimal"/>
      <w:start w:val="17"/>
    </w:lvl>
  </w:abstractNum>
  <w:abstractNum w:abstractNumId="63">
    <w:nsid w:val="799D0247"/>
    <w:multiLevelType w:val="hybridMultilevel"/>
    <w:lvl w:ilvl="0">
      <w:lvlJc w:val="left"/>
      <w:lvlText w:val="(%1)"/>
      <w:numFmt w:val="lowerRoman"/>
      <w:start w:val="1"/>
    </w:lvl>
    <w:lvl w:ilvl="1">
      <w:lvlJc w:val="left"/>
      <w:lvlText w:val="%2."/>
      <w:numFmt w:val="decimal"/>
      <w:start w:val="18"/>
    </w:lvl>
  </w:abstractNum>
  <w:abstractNum w:abstractNumId="64">
    <w:nsid w:val="6B94764"/>
    <w:multiLevelType w:val="hybridMultilevel"/>
    <w:lvl w:ilvl="0">
      <w:lvlJc w:val="left"/>
      <w:lvlText w:val="%1."/>
      <w:numFmt w:val="decimal"/>
      <w:start w:val="19"/>
    </w:lvl>
  </w:abstractNum>
  <w:abstractNum w:abstractNumId="65">
    <w:nsid w:val="42C296BD"/>
    <w:multiLevelType w:val="hybridMultilevel"/>
    <w:lvl w:ilvl="0">
      <w:lvlJc w:val="left"/>
      <w:lvlText w:val="%1."/>
      <w:numFmt w:val="decimal"/>
      <w:start w:val="20"/>
    </w:lvl>
  </w:abstractNum>
  <w:abstractNum w:abstractNumId="66">
    <w:nsid w:val="168E121F"/>
    <w:multiLevelType w:val="hybridMultilevel"/>
    <w:lvl w:ilvl="0">
      <w:lvlJc w:val="left"/>
      <w:lvlText w:val="%1."/>
      <w:numFmt w:val="decimal"/>
      <w:start w:val="21"/>
    </w:lvl>
  </w:abstractNum>
  <w:abstractNum w:abstractNumId="67">
    <w:nsid w:val="1EBA5D23"/>
    <w:multiLevelType w:val="hybridMultilevel"/>
    <w:lvl w:ilvl="0">
      <w:lvlJc w:val="left"/>
      <w:lvlText w:val="%1."/>
      <w:numFmt w:val="decimal"/>
      <w:start w:val="22"/>
    </w:lvl>
  </w:abstractNum>
  <w:abstractNum w:abstractNumId="68">
    <w:nsid w:val="661E3F1E"/>
    <w:multiLevelType w:val="hybridMultilevel"/>
    <w:lvl w:ilvl="0">
      <w:lvlJc w:val="left"/>
      <w:lvlText w:val="%1."/>
      <w:numFmt w:val="decimal"/>
      <w:start w:val="23"/>
    </w:lvl>
  </w:abstractNum>
  <w:abstractNum w:abstractNumId="69">
    <w:nsid w:val="5DC79EA8"/>
    <w:multiLevelType w:val="hybridMultilevel"/>
    <w:lvl w:ilvl="0">
      <w:lvlJc w:val="left"/>
      <w:lvlText w:val="%1."/>
      <w:numFmt w:val="decimal"/>
      <w:start w:val="14"/>
    </w:lvl>
  </w:abstractNum>
  <w:abstractNum w:abstractNumId="70">
    <w:nsid w:val="540A471C"/>
    <w:multiLevelType w:val="hybridMultilevel"/>
    <w:lvl w:ilvl="0">
      <w:lvlJc w:val="left"/>
      <w:lvlText w:val="%1."/>
      <w:numFmt w:val="decimal"/>
      <w:start w:val="24"/>
    </w:lvl>
  </w:abstractNum>
  <w:abstractNum w:abstractNumId="71">
    <w:nsid w:val="7BD3EE7B"/>
    <w:multiLevelType w:val="hybridMultilevel"/>
    <w:lvl w:ilvl="0">
      <w:lvlJc w:val="left"/>
      <w:lvlText w:val="(%1)"/>
      <w:numFmt w:val="lowerRoman"/>
      <w:start w:val="2"/>
    </w:lvl>
  </w:abstractNum>
  <w:abstractNum w:abstractNumId="72">
    <w:nsid w:val="51D9C564"/>
    <w:multiLevelType w:val="hybridMultilevel"/>
    <w:lvl w:ilvl="0">
      <w:lvlJc w:val="left"/>
      <w:lvlText w:val="%1."/>
      <w:numFmt w:val="decimal"/>
      <w:start w:val="25"/>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75" Type="http://schemas.openxmlformats.org/officeDocument/2006/relationships/image" Target="media/image22.png"/><Relationship Id="rId76" Type="http://schemas.openxmlformats.org/officeDocument/2006/relationships/image" Target="media/image23.jpeg"/><Relationship Id="rId77" Type="http://schemas.openxmlformats.org/officeDocument/2006/relationships/image" Target="media/image24.png"/><Relationship Id="rId78" Type="http://schemas.openxmlformats.org/officeDocument/2006/relationships/image" Target="media/image25.png"/><Relationship Id="rId79" Type="http://schemas.openxmlformats.org/officeDocument/2006/relationships/image" Target="media/image26.png"/><Relationship Id="rId80" Type="http://schemas.openxmlformats.org/officeDocument/2006/relationships/image" Target="media/image27.png"/><Relationship Id="rId81" Type="http://schemas.openxmlformats.org/officeDocument/2006/relationships/image" Target="media/image28.png"/><Relationship Id="rId82" Type="http://schemas.openxmlformats.org/officeDocument/2006/relationships/image" Target="media/image29.png"/><Relationship Id="rId83" Type="http://schemas.openxmlformats.org/officeDocument/2006/relationships/image" Target="media/image30.png"/><Relationship Id="rId84" Type="http://schemas.openxmlformats.org/officeDocument/2006/relationships/image" Target="media/image31.png"/><Relationship Id="rId85" Type="http://schemas.openxmlformats.org/officeDocument/2006/relationships/image" Target="media/image32.png"/><Relationship Id="rId29" Type="http://schemas.openxmlformats.org/officeDocument/2006/relationships/hyperlink" Target="http://www.sec.gov/Archives/edgar/data/1710155/000156761917002270/s001582x19_ex3-1.htm" TargetMode="External"/><Relationship Id="rId30" Type="http://schemas.openxmlformats.org/officeDocument/2006/relationships/hyperlink" Target="http://www.sec.gov/Archives/edgar/data/1710155/000156761917002270/s001582x19_ex3-2.htm" TargetMode="External"/><Relationship Id="rId31" Type="http://schemas.openxmlformats.org/officeDocument/2006/relationships/hyperlink" Target="http://www.sec.gov/Archives/edgar/data/1710155/000156761917002270/s001582x19_ex4-1.htm" TargetMode="External"/><Relationship Id="rId32" Type="http://schemas.openxmlformats.org/officeDocument/2006/relationships/hyperlink" Target="http://www.sec.gov/Archives/edgar/data/1710155/000156761917002082/s001582x7_ex4-2.htm" TargetMode="External"/><Relationship Id="rId33" Type="http://schemas.openxmlformats.org/officeDocument/2006/relationships/hyperlink" Target="http://www.sec.gov/Archives/edgar/data/1710155/000156761917002184/s001582x10_ex10-2.htm" TargetMode="External"/><Relationship Id="rId34" Type="http://schemas.openxmlformats.org/officeDocument/2006/relationships/hyperlink" Target="http://www.sec.gov/Archives/edgar/data/1710155/000156761917002082/s001582x7_ex10-3.htm" TargetMode="External"/><Relationship Id="rId35" Type="http://schemas.openxmlformats.org/officeDocument/2006/relationships/hyperlink" Target="http://www.sec.gov/Archives/edgar/data/1710155/000156761917002082/s001582x7_ex10-4.htm" TargetMode="External"/><Relationship Id="rId36" Type="http://schemas.openxmlformats.org/officeDocument/2006/relationships/hyperlink" Target="http://www.sec.gov/Archives/edgar/data/1710155/000156761917002082/s001582x7_ex10-5.htm" TargetMode="External"/><Relationship Id="rId37" Type="http://schemas.openxmlformats.org/officeDocument/2006/relationships/hyperlink" Target="http://www.sec.gov/Archives/edgar/data/1710155/000156761917002270/s001582x19_ex10-1.htm" TargetMode="External"/><Relationship Id="rId38" Type="http://schemas.openxmlformats.org/officeDocument/2006/relationships/hyperlink" Target="http://www.sec.gov/Archives/edgar/data/1710155/000156761917002367/s001971x1_ex10-5.htm" TargetMode="External"/><Relationship Id="rId39" Type="http://schemas.openxmlformats.org/officeDocument/2006/relationships/hyperlink" Target="http://www.sec.gov/Archives/edgar/data/1710155/000114036118040325/ex10_1.htm" TargetMode="External"/><Relationship Id="rId40" Type="http://schemas.openxmlformats.org/officeDocument/2006/relationships/hyperlink" Target="http://www.sec.gov/Archives/edgar/data/1710155/000156761917002082/s001582x7_ex10-6.htm" TargetMode="External"/><Relationship Id="rId41" Type="http://schemas.openxmlformats.org/officeDocument/2006/relationships/hyperlink" Target="http://www.sec.gov/Archives/edgar/data/1710155/000156761917002082/s001582x7_ex10-7.htm" TargetMode="External"/><Relationship Id="rId42" Type="http://schemas.openxmlformats.org/officeDocument/2006/relationships/hyperlink" Target="http://www.sec.gov/Archives/edgar/data/1710155/000156761917002082/s001582x7_ex10-8.htm" TargetMode="External"/><Relationship Id="rId43" Type="http://schemas.openxmlformats.org/officeDocument/2006/relationships/hyperlink" Target="http://www.sec.gov/Archives/edgar/data/1710155/000156761917002082/s001582x7_ex10-9.htm" TargetMode="External"/><Relationship Id="rId44" Type="http://schemas.openxmlformats.org/officeDocument/2006/relationships/hyperlink" Target="http://www.sec.gov/Archives/edgar/data/1710155/000156761917002082/s001582x7_ex10-10.htm" TargetMode="External"/><Relationship Id="rId45" Type="http://schemas.openxmlformats.org/officeDocument/2006/relationships/hyperlink" Target="http://www.sec.gov/Archives/edgar/data/1710155/000156761917002082/s001582x7_ex10-11.htm" TargetMode="External"/><Relationship Id="rId46" Type="http://schemas.openxmlformats.org/officeDocument/2006/relationships/hyperlink" Target="http://www.sec.gov/Archives/edgar/data/1710155/000156761917002082/s001582x7_ex10-12.htm" TargetMode="External"/><Relationship Id="rId47" Type="http://schemas.openxmlformats.org/officeDocument/2006/relationships/hyperlink" Target="http://www.sec.gov/Archives/edgar/data/1710155/000156761917002082/s001582x7_ex10-13.htm" TargetMode="External"/><Relationship Id="rId48" Type="http://schemas.openxmlformats.org/officeDocument/2006/relationships/hyperlink" Target="http://www.sec.gov/Archives/edgar/data/1710155/000156761917002270/s001582x19_ex10-2.htm" TargetMode="External"/><Relationship Id="rId49" Type="http://schemas.openxmlformats.org/officeDocument/2006/relationships/hyperlink" Target="http://www.sec.gov/Archives/edgar/data/1710155/000156761917002184/s001582x10_ex10-15.htm" TargetMode="External"/><Relationship Id="rId50" Type="http://schemas.openxmlformats.org/officeDocument/2006/relationships/hyperlink" Target="http://www.sec.gov/Archives/edgar/data/1710155/000156761917002082/s001582x7_ex10-16.htm" TargetMode="External"/><Relationship Id="rId51" Type="http://schemas.openxmlformats.org/officeDocument/2006/relationships/hyperlink" Target="http://www.sec.gov/Archives/edgar/data/1710155/000156761917002082/s001582x7_ex10-17.htm" TargetMode="External"/><Relationship Id="rId52" Type="http://schemas.openxmlformats.org/officeDocument/2006/relationships/hyperlink" Target="http://www.sec.gov/Archives/edgar/data/1710155/000156761917002082/s001582x7_ex10-18.htm" TargetMode="External"/><Relationship Id="rId53" Type="http://schemas.openxmlformats.org/officeDocument/2006/relationships/hyperlink" Target="http://www.sec.gov/Archives/edgar/data/1710155/000156761917002082/s001582x7_ex10-19.htm" TargetMode="External"/><Relationship Id="rId54" Type="http://schemas.openxmlformats.org/officeDocument/2006/relationships/hyperlink" Target="http://www.sec.gov/Archives/edgar/data/1710155/000156761917002082/s001582x7_ex10-20.htm" TargetMode="External"/><Relationship Id="rId55" Type="http://schemas.openxmlformats.org/officeDocument/2006/relationships/hyperlink" Target="http://www.sec.gov/Archives/edgar/data/1710155/000156761917002082/s001582x7_ex10-21.htm" TargetMode="External"/><Relationship Id="rId56" Type="http://schemas.openxmlformats.org/officeDocument/2006/relationships/hyperlink" Target="http://www.sec.gov/Archives/edgar/data/1710155/000156761917002082/s001582x7_ex10-22.htm" TargetMode="External"/><Relationship Id="rId57" Type="http://schemas.openxmlformats.org/officeDocument/2006/relationships/hyperlink" Target="http://www.sec.gov/Archives/edgar/data/1710155/000156761917002082/s001582x7_ex10-23.htm" TargetMode="External"/><Relationship Id="rId58" Type="http://schemas.openxmlformats.org/officeDocument/2006/relationships/hyperlink" Target="http://www.sec.gov/Archives/edgar/data/1710155/000156761917002082/s001582x7_ex10-24.htm" TargetMode="External"/><Relationship Id="rId59" Type="http://schemas.openxmlformats.org/officeDocument/2006/relationships/hyperlink" Target="http://www.sec.gov/Archives/edgar/data/1710155/000156761917002082/s001582x7_ex10-25.htm" TargetMode="External"/><Relationship Id="rId60" Type="http://schemas.openxmlformats.org/officeDocument/2006/relationships/hyperlink" Target="http://www.sec.gov/Archives/edgar/data/1710155/000171015518000052/nationalvisionholdingsinc-.htm" TargetMode="External"/><Relationship Id="rId61" Type="http://schemas.openxmlformats.org/officeDocument/2006/relationships/hyperlink" Target="http://www.sec.gov/Archives/edgar/data/1710155/000156761917002082/s001582x7_ex10-27.htm" TargetMode="External"/><Relationship Id="rId62" Type="http://schemas.openxmlformats.org/officeDocument/2006/relationships/hyperlink" Target="http://www.sec.gov/Archives/edgar/data/1710155/000156761917002082/s001582x7_ex10-28.htm" TargetMode="External"/><Relationship Id="rId63" Type="http://schemas.openxmlformats.org/officeDocument/2006/relationships/hyperlink" Target="http://www.sec.gov/Archives/edgar/data/1710155/000156761917002082/s001582x7_ex10-29.htm" TargetMode="External"/><Relationship Id="rId64" Type="http://schemas.openxmlformats.org/officeDocument/2006/relationships/hyperlink" Target="http://www.sec.gov/Archives/edgar/data/1710155/000156761917002082/s001582x7_ex10-30.htm" TargetMode="External"/><Relationship Id="rId65" Type="http://schemas.openxmlformats.org/officeDocument/2006/relationships/hyperlink" Target="http://www.sec.gov/Archives/edgar/data/1710155/000156761917002184/s001582x10_ex10-31.htm" TargetMode="External"/><Relationship Id="rId66" Type="http://schemas.openxmlformats.org/officeDocument/2006/relationships/hyperlink" Target="http://www.sec.gov/Archives/edgar/data/1710155/000171015518000020/exhibit101essilor-ltragmt3.htm" TargetMode="External"/><Relationship Id="rId67" Type="http://schemas.openxmlformats.org/officeDocument/2006/relationships/hyperlink" Target="http://www.sec.gov/Archives/edgar/data/1710155/000156761917002082/s001582x7_ex10-32.htm" TargetMode="External"/><Relationship Id="rId68" Type="http://schemas.openxmlformats.org/officeDocument/2006/relationships/hyperlink" Target="http://www.sec.gov/Archives/edgar/data/1710155/000156761917002082/s001582x7_ex10-33.htm" TargetMode="External"/><Relationship Id="rId69" Type="http://schemas.openxmlformats.org/officeDocument/2006/relationships/hyperlink" Target="http://www.sec.gov/Archives/edgar/data/1710155/000156761917002184/s001582x10_ex10-34.htm" TargetMode="External"/><Relationship Id="rId70" Type="http://schemas.openxmlformats.org/officeDocument/2006/relationships/hyperlink" Target="http://www.sec.gov/Archives/edgar/data/1710155/000156761917002184/s001582x10_ex10-35.htm" TargetMode="External"/><Relationship Id="rId71" Type="http://schemas.openxmlformats.org/officeDocument/2006/relationships/hyperlink" Target="http://www.sec.gov/Archives/edgar/data/1710155/000156761917002184/s001582x10_ex10-36.htm" TargetMode="External"/><Relationship Id="rId72" Type="http://schemas.openxmlformats.org/officeDocument/2006/relationships/hyperlink" Target="http://www.sec.gov/Archives/edgar/data/1710155/000171015518000012/exhibit1039-jmcallistersto.htm" TargetMode="External"/><Relationship Id="rId73" Type="http://schemas.openxmlformats.org/officeDocument/2006/relationships/hyperlink" Target="http://www.sec.gov/Archives/edgar/data/1710155/000171015518000005/ex101formofdirectorstockho.htm" TargetMode="External"/><Relationship Id="rId74" Type="http://schemas.openxmlformats.org/officeDocument/2006/relationships/hyperlink" Target="http://www.sec.gov/Archives/edgar/data/1710155/000162612917000582/s001582x16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2019-12-28T15:50:50Z</dcterms:created>
  <dcterms:modified xsi:type="dcterms:W3CDTF">2019-12-28T15:50:50Z</dcterms:modified>
</cp:coreProperties>
</file>